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3720" w:right="1860" w:hanging="3640"/>
        <w:spacing w:after="0" w:line="443" w:lineRule="auto"/>
        <w:tabs>
          <w:tab w:leader="none" w:pos="3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397" w:lineRule="exact"/>
        <w:rPr>
          <w:sz w:val="24"/>
          <w:szCs w:val="24"/>
          <w:color w:val="auto"/>
        </w:rPr>
      </w:pPr>
    </w:p>
    <w:p>
      <w:pPr>
        <w:ind w:left="14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234"/>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Times New Roman" w:cs="Times New Roman" w:eastAsia="Times New Roman" w:hAnsi="Times New Roman"/>
                <w:sz w:val="18"/>
                <w:szCs w:val="18"/>
                <w:color w:val="auto"/>
              </w:rPr>
              <w:t>________________________________</w:t>
            </w:r>
          </w:p>
        </w:tc>
      </w:tr>
      <w:tr>
        <w:trPr>
          <w:trHeight w:val="477"/>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29"/>
                <w:szCs w:val="29"/>
                <w:b w:val="1"/>
                <w:bCs w:val="1"/>
                <w:color w:val="auto"/>
                <w:w w:val="99"/>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34"/>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Times New Roman" w:cs="Times New Roman" w:eastAsia="Times New Roman" w:hAnsi="Times New Roman"/>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20" w:type="dxa"/>
            <w:vAlign w:val="bottom"/>
          </w:tcPr>
          <w:p>
            <w:pPr>
              <w:jc w:val="center"/>
              <w:ind w:left="4176"/>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0"/>
        </w:trPr>
        <w:tc>
          <w:tcPr>
            <w:tcW w:w="2020" w:type="dxa"/>
            <w:vAlign w:val="bottom"/>
          </w:tcPr>
          <w:p>
            <w:pPr>
              <w:jc w:val="center"/>
              <w:ind w:right="202"/>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320" w:type="dxa"/>
            <w:vAlign w:val="bottom"/>
          </w:tcPr>
          <w:p>
            <w:pPr>
              <w:jc w:val="center"/>
              <w:ind w:left="4176"/>
              <w:spacing w:after="0"/>
              <w:rPr>
                <w:sz w:val="20"/>
                <w:szCs w:val="20"/>
                <w:color w:val="auto"/>
              </w:rPr>
            </w:pPr>
            <w:r>
              <w:rPr>
                <w:rFonts w:ascii="Times New Roman" w:cs="Times New Roman" w:eastAsia="Times New Roman" w:hAnsi="Times New Roman"/>
                <w:sz w:val="14"/>
                <w:szCs w:val="14"/>
                <w:color w:val="auto"/>
              </w:rPr>
              <w:t>(I.R.S. Employer</w:t>
            </w:r>
          </w:p>
        </w:tc>
      </w:tr>
      <w:tr>
        <w:trPr>
          <w:trHeight w:val="203"/>
        </w:trPr>
        <w:tc>
          <w:tcPr>
            <w:tcW w:w="2020" w:type="dxa"/>
            <w:vAlign w:val="bottom"/>
          </w:tcPr>
          <w:p>
            <w:pPr>
              <w:jc w:val="center"/>
              <w:ind w:right="20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320" w:type="dxa"/>
            <w:vAlign w:val="bottom"/>
          </w:tcPr>
          <w:p>
            <w:pPr>
              <w:jc w:val="center"/>
              <w:ind w:left="4156"/>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63"/>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Times New Roman" w:cs="Times New Roman" w:eastAsia="Times New Roman" w:hAnsi="Times New Roman"/>
                <w:sz w:val="14"/>
                <w:szCs w:val="14"/>
                <w:b w:val="1"/>
                <w:bCs w:val="1"/>
                <w:color w:val="auto"/>
              </w:rPr>
              <w:t>6000 Shoreline Court, Suite 300</w:t>
            </w:r>
          </w:p>
        </w:tc>
      </w:tr>
      <w:tr>
        <w:trPr>
          <w:trHeight w:val="164"/>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tc>
      </w:tr>
      <w:tr>
        <w:trPr>
          <w:trHeight w:val="188"/>
        </w:trPr>
        <w:tc>
          <w:tcPr>
            <w:tcW w:w="2020" w:type="dxa"/>
            <w:vAlign w:val="bottom"/>
          </w:tcPr>
          <w:p>
            <w:pPr>
              <w:spacing w:after="0"/>
              <w:rPr>
                <w:sz w:val="16"/>
                <w:szCs w:val="16"/>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298"/>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Times New Roman" w:cs="Times New Roman" w:eastAsia="Times New Roman" w:hAnsi="Times New Roman"/>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34"/>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Times New Roman" w:cs="Times New Roman" w:eastAsia="Times New Roman" w:hAnsi="Times New Roman"/>
                <w:sz w:val="18"/>
                <w:szCs w:val="18"/>
                <w:color w:val="auto"/>
                <w:w w:val="99"/>
              </w:rPr>
              <w:t>________________________________</w:t>
            </w:r>
          </w:p>
        </w:tc>
      </w:tr>
    </w:tbl>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54"/>
        </w:trPr>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VCYT</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jc w:val="both"/>
        <w:ind w:right="120" w:firstLine="243"/>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23" w:lineRule="exact"/>
        <w:rPr>
          <w:sz w:val="24"/>
          <w:szCs w:val="24"/>
          <w:color w:val="auto"/>
        </w:rPr>
      </w:pPr>
    </w:p>
    <w:p>
      <w:pPr>
        <w:ind w:firstLine="243"/>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23" w:lineRule="exact"/>
        <w:rPr>
          <w:sz w:val="24"/>
          <w:szCs w:val="24"/>
          <w:color w:val="auto"/>
        </w:rPr>
      </w:pPr>
    </w:p>
    <w:p>
      <w:pPr>
        <w:ind w:right="340" w:firstLine="243"/>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25" w:right="25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ectPr>
          <w:pgSz w:w="11900" w:h="16838" w:orient="portrait"/>
          <w:cols w:equalWidth="0" w:num="1">
            <w:col w:w="10920"/>
          </w:cols>
          <w:pgMar w:left="240" w:top="118" w:right="7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Large accelerated filer 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 x</w:t>
      </w:r>
    </w:p>
    <w:p>
      <w:pPr>
        <w:spacing w:after="0" w:line="200" w:lineRule="exact"/>
        <w:rPr>
          <w:sz w:val="20"/>
          <w:szCs w:val="20"/>
          <w:color w:val="auto"/>
        </w:rPr>
      </w:pPr>
    </w:p>
    <w:p>
      <w:pPr>
        <w:sectPr>
          <w:pgSz w:w="11900" w:h="16838" w:orient="portrait"/>
          <w:cols w:equalWidth="0" w:num="2">
            <w:col w:w="7420" w:space="720"/>
            <w:col w:w="2780"/>
          </w:cols>
          <w:pgMar w:left="240" w:top="118" w:right="739" w:bottom="1440" w:gutter="0" w:footer="0" w:header="0"/>
          <w:type w:val="continuous"/>
        </w:sectPr>
      </w:pPr>
    </w:p>
    <w:p>
      <w:pPr>
        <w:spacing w:after="0" w:line="3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Non-accelerated filer 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 x</w:t>
      </w:r>
    </w:p>
    <w:p>
      <w:pPr>
        <w:spacing w:after="0" w:line="200" w:lineRule="exact"/>
        <w:rPr>
          <w:sz w:val="20"/>
          <w:szCs w:val="20"/>
          <w:color w:val="auto"/>
        </w:rPr>
      </w:pPr>
    </w:p>
    <w:p>
      <w:pPr>
        <w:sectPr>
          <w:pgSz w:w="11900" w:h="16838" w:orient="portrait"/>
          <w:cols w:equalWidth="0" w:num="2">
            <w:col w:w="7120" w:space="720"/>
            <w:col w:w="3080"/>
          </w:cols>
          <w:pgMar w:left="240" w:top="118" w:right="739" w:bottom="1440" w:gutter="0" w:footer="0" w:header="0"/>
          <w:type w:val="continuous"/>
        </w:sectPr>
      </w:pPr>
    </w:p>
    <w:p>
      <w:pPr>
        <w:spacing w:after="0" w:line="3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Emerging growth company o</w:t>
      </w:r>
    </w:p>
    <w:p>
      <w:pPr>
        <w:spacing w:after="0" w:line="5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5" w:lineRule="exact"/>
        <w:rPr>
          <w:sz w:val="20"/>
          <w:szCs w:val="20"/>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October 18, 2019, there were 48,840,294 shares of common stock, par value $0.001 per share, outstanding.</w:t>
      </w:r>
    </w:p>
    <w:p>
      <w:pPr>
        <w:sectPr>
          <w:pgSz w:w="11900" w:h="16838" w:orient="portrait"/>
          <w:cols w:equalWidth="0" w:num="1">
            <w:col w:w="10920"/>
          </w:cols>
          <w:pgMar w:left="240" w:top="118" w:right="739" w:bottom="1440" w:gutter="0" w:footer="0" w:header="0"/>
          <w:type w:val="continuous"/>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89"/>
        </w:trPr>
        <w:tc>
          <w:tcPr>
            <w:tcW w:w="10360" w:type="dxa"/>
            <w:vAlign w:val="bottom"/>
            <w:gridSpan w:val="19"/>
          </w:tcPr>
          <w:p>
            <w:pPr>
              <w:spacing w:after="0" w:line="189"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 —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Condensed Financial Statements (Unaudited)</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Balance Sheets as of September 30, 2019 and December 31, 2018</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Statements of Operations and Comprehensive Loss for the Three and Nine Month Periods Ended September 30, 2019 and</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0" w:type="dxa"/>
            <w:vAlign w:val="bottom"/>
            <w:gridSpan w:val="2"/>
            <w:vMerge w:val="restart"/>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2018</w:t>
              </w:r>
            </w:hyperlink>
          </w:p>
        </w:tc>
        <w:tc>
          <w:tcPr>
            <w:tcW w:w="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vMerge w:val="restart"/>
          </w:tcPr>
          <w:p>
            <w:pPr>
              <w:spacing w:after="0"/>
              <w:rPr>
                <w:sz w:val="17"/>
                <w:szCs w:val="17"/>
                <w:color w:val="auto"/>
              </w:rPr>
            </w:pPr>
          </w:p>
        </w:tc>
        <w:tc>
          <w:tcPr>
            <w:tcW w:w="100" w:type="dxa"/>
            <w:vAlign w:val="bottom"/>
            <w:vMerge w:val="restart"/>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2</w:t>
              </w:r>
            </w:hyperlink>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40" w:type="dxa"/>
            <w:vAlign w:val="bottom"/>
            <w:gridSpan w:val="2"/>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Borders>
              <w:bottom w:val="single" w:sz="8" w:color="0000EE"/>
            </w:tcBorders>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Statements of Stockholders' Equity for the Three and Nine Month Periods Ended September 30, 2019 and 2018</w:t>
              </w:r>
            </w:hyperlink>
          </w:p>
        </w:tc>
        <w:tc>
          <w:tcPr>
            <w:tcW w:w="114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Statements of Cash Flows for the Nine Month Periods Ended September 30, 2019 and 2018</w:t>
              </w:r>
            </w:hyperlink>
          </w:p>
        </w:tc>
        <w:tc>
          <w:tcPr>
            <w:tcW w:w="256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17"/>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Condensed Financial Statements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Item 2.</w:t>
              </w:r>
            </w:hyperlink>
          </w:p>
        </w:tc>
        <w:tc>
          <w:tcPr>
            <w:tcW w:w="9700" w:type="dxa"/>
            <w:vAlign w:val="bottom"/>
            <w:gridSpan w:val="16"/>
          </w:tcPr>
          <w:p>
            <w:pPr>
              <w:ind w:lef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16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3.</w:t>
              </w:r>
            </w:hyperlink>
          </w:p>
        </w:tc>
        <w:tc>
          <w:tcPr>
            <w:tcW w:w="6480" w:type="dxa"/>
            <w:vAlign w:val="bottom"/>
            <w:gridSpan w:val="12"/>
          </w:tcPr>
          <w:p>
            <w:pPr>
              <w:ind w:lef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Quantitative and Qualitative Disclosures About Market Risk</w:t>
              </w:r>
            </w:hyperlink>
          </w:p>
        </w:tc>
        <w:tc>
          <w:tcPr>
            <w:tcW w:w="322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Item 4.</w:t>
              </w:r>
            </w:hyperlink>
          </w:p>
        </w:tc>
        <w:tc>
          <w:tcPr>
            <w:tcW w:w="1800" w:type="dxa"/>
            <w:vAlign w:val="bottom"/>
            <w:gridSpan w:val="5"/>
          </w:tcPr>
          <w:p>
            <w:pPr>
              <w:ind w:left="20"/>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Controls and Procedures</w:t>
              </w:r>
            </w:hyperlink>
          </w:p>
        </w:tc>
        <w:tc>
          <w:tcPr>
            <w:tcW w:w="2580" w:type="dxa"/>
            <w:vAlign w:val="bottom"/>
            <w:gridSpan w:val="5"/>
          </w:tcPr>
          <w:p>
            <w:pPr>
              <w:spacing w:after="0"/>
              <w:rPr>
                <w:sz w:val="21"/>
                <w:szCs w:val="21"/>
                <w:color w:val="auto"/>
              </w:rPr>
            </w:pPr>
          </w:p>
        </w:tc>
        <w:tc>
          <w:tcPr>
            <w:tcW w:w="532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360" w:type="dxa"/>
            <w:vAlign w:val="bottom"/>
            <w:gridSpan w:val="19"/>
          </w:tcPr>
          <w:p>
            <w:pPr>
              <w:spacing w:after="0"/>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PART II. — OTHER INFORMATION</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6"/>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380" w:type="dxa"/>
            <w:vAlign w:val="bottom"/>
            <w:gridSpan w:val="10"/>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4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58">
              <w:r>
                <w:rPr>
                  <w:rFonts w:ascii="Times New Roman" w:cs="Times New Roman" w:eastAsia="Times New Roman" w:hAnsi="Times New Roman"/>
                  <w:sz w:val="18"/>
                  <w:szCs w:val="18"/>
                  <w:color w:val="0000EE"/>
                  <w:w w:val="97"/>
                </w:rPr>
                <w:t>Item 6.</w:t>
              </w:r>
            </w:hyperlink>
          </w:p>
        </w:tc>
        <w:tc>
          <w:tcPr>
            <w:tcW w:w="1060" w:type="dxa"/>
            <w:vAlign w:val="bottom"/>
            <w:gridSpan w:val="4"/>
          </w:tcPr>
          <w:p>
            <w:pPr>
              <w:ind w:lef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Exhibits</w:t>
              </w:r>
            </w:hyperlink>
          </w:p>
        </w:tc>
        <w:tc>
          <w:tcPr>
            <w:tcW w:w="864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5"/>
          </w:tcPr>
          <w:p>
            <w:pPr>
              <w:spacing w:after="0"/>
              <w:rPr>
                <w:rFonts w:ascii="Times New Roman" w:cs="Times New Roman" w:eastAsia="Times New Roman" w:hAnsi="Times New Roman"/>
                <w:sz w:val="18"/>
                <w:szCs w:val="18"/>
                <w:color w:val="0000EE"/>
                <w:w w:val="96"/>
              </w:rPr>
            </w:pPr>
            <w:hyperlink w:anchor="page59">
              <w:r>
                <w:rPr>
                  <w:rFonts w:ascii="Times New Roman" w:cs="Times New Roman" w:eastAsia="Times New Roman" w:hAnsi="Times New Roman"/>
                  <w:sz w:val="18"/>
                  <w:szCs w:val="18"/>
                  <w:color w:val="0000EE"/>
                  <w:w w:val="96"/>
                </w:rPr>
                <w:t>SIGNATURES</w:t>
              </w:r>
            </w:hyperlink>
          </w:p>
        </w:tc>
        <w:tc>
          <w:tcPr>
            <w:tcW w:w="926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3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(See Note 1)</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195,662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77,995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Supplies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96,952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 finance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260,307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120,638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portion of finance lease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40,883</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and outstanding as of</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September 30, 2019 and December 31, 2018</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$0.001 par value; 125,000,000 shares authorized, 48,821,975 and 40,863,202 shares issued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and outstanding as of September 30, 2019 and December 31, 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231,024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79,755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260,307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120,638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30,973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66,258</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24,374</w:t>
            </w: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11,695</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31,247</w:t>
            </w:r>
          </w:p>
        </w:tc>
      </w:tr>
      <w:tr>
        <w:trPr>
          <w:trHeight w:val="243"/>
        </w:trPr>
        <w:tc>
          <w:tcPr>
            <w:tcW w:w="5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17,318</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r>
      <w:tr>
        <w:trPr>
          <w:trHeight w:val="237"/>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32,736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27,770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97,568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85,434</w:t>
            </w: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709</w:t>
            </w:r>
          </w:p>
        </w:tc>
      </w:tr>
      <w:tr>
        <w:trPr>
          <w:trHeight w:val="297"/>
        </w:trPr>
        <w:tc>
          <w:tcPr>
            <w:tcW w:w="5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(19,894)</w:t>
            </w:r>
          </w:p>
        </w:tc>
      </w:tr>
      <w:tr>
        <w:trPr>
          <w:trHeight w:val="251"/>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48,588,296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38,620,036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45,141,502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35,769,623</w:t>
            </w: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94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4"/>
        </w:trPr>
        <w:tc>
          <w:tcPr>
            <w:tcW w:w="54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2019</w:t>
            </w:r>
          </w:p>
        </w:tc>
        <w:tc>
          <w:tcPr>
            <w:tcW w:w="10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48,255</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48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462,689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(238,497)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224,240</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on exercise of stock options and vesting of restricted stock units</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4,232</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(ESPP)</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2,324</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282"/>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at September 30, 2019</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48,822</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49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470,202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(239,227)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231,024</w:t>
            </w:r>
          </w:p>
        </w:tc>
        <w:tc>
          <w:tcPr>
            <w:tcW w:w="0" w:type="dxa"/>
            <w:vAlign w:val="bottom"/>
          </w:tcPr>
          <w:p>
            <w:pPr>
              <w:spacing w:after="0"/>
              <w:rPr>
                <w:sz w:val="1"/>
                <w:szCs w:val="1"/>
                <w:color w:val="auto"/>
              </w:rPr>
            </w:pPr>
          </w:p>
        </w:tc>
      </w:tr>
      <w:tr>
        <w:trPr>
          <w:trHeight w:val="264"/>
        </w:trPr>
        <w:tc>
          <w:tcPr>
            <w:tcW w:w="54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40,863</w:t>
            </w:r>
          </w:p>
        </w:tc>
        <w:tc>
          <w:tcPr>
            <w:tcW w:w="120" w:type="dxa"/>
            <w:vAlign w:val="bottom"/>
          </w:tcPr>
          <w:p>
            <w:pPr>
              <w:spacing w:after="0"/>
              <w:rPr>
                <w:sz w:val="23"/>
                <w:szCs w:val="23"/>
                <w:color w:val="auto"/>
              </w:rPr>
            </w:pP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41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313,800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(234,086)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79,755</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common stock in a public offering, net of issuance costs of $9,208</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6,325</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137,842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137,848</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on exercise of stock options and vesting of restricted stock units</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1,498</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11,141</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ESPP</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6,255</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26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23"/>
                <w:szCs w:val="2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w:t>
            </w:r>
          </w:p>
        </w:tc>
        <w:tc>
          <w:tcPr>
            <w:tcW w:w="0" w:type="dxa"/>
            <w:vAlign w:val="bottom"/>
          </w:tcPr>
          <w:p>
            <w:pPr>
              <w:spacing w:after="0"/>
              <w:rPr>
                <w:sz w:val="1"/>
                <w:szCs w:val="1"/>
                <w:color w:val="auto"/>
              </w:rPr>
            </w:pPr>
          </w:p>
        </w:tc>
      </w:tr>
      <w:tr>
        <w:trPr>
          <w:trHeight w:val="242"/>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2019</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48,822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470,202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231,024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8"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192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June 30, 2018</w:t>
            </w:r>
          </w:p>
        </w:tc>
        <w:tc>
          <w:tcPr>
            <w:tcW w:w="10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34,442</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252,284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(226,512)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25,806</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common stock in a public offering, net of issuance costs of $3,890</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5,750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55,032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55,038</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 stock on exercise of stock options and vesting of restricted stock units</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(ESPP)</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2018</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79,417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34,210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248,278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37,225</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 of common stock in a public offering, net of issuance costs of $3,890</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5,750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55,038</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on exercise of stock options and vesting of restricted stock units</w:t>
            </w:r>
          </w:p>
        </w:tc>
        <w:tc>
          <w:tcPr>
            <w:tcW w:w="10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(ESPP)</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790</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portion of vested restricted stock units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4,162</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settlement from short-swing profits, net of tax</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3"/>
                <w:szCs w:val="23"/>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(19,894)</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5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2018</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79,417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14" w:right="25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on end-of-term debt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assets - operating lease and operating lease liability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 and deferred rent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issuance of common stock in a public offering, net of costs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55,039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legal settlement regarding short-swing profits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of finance lease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exercise of common stock options and employee stock purchases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2,445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57,670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117,667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43,955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78,598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34,494</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196,265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78,449</w:t>
            </w:r>
          </w:p>
        </w:tc>
      </w:tr>
      <w:tr>
        <w:trPr>
          <w:trHeight w:val="210"/>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Supplementary cash flow information of non-cash investing and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liability arising from obtaining right-of-use assets - operating lease at beginning of period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liability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paid on debt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1,235</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195,662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77,995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603</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196,265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78,598</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Veracyte, Inc. (“Veracyte” or the “Company”) is a leading genomic diagnostics company that is creating value through innovation. The Company was founded in 2008 with a mission to improve diagnostic accuracy. Today, through its innovative scientific platform, Veracyte is serving this critical medical need and expanding its offerings further along the clinical continuum of care to advance early detection of disease and inform treatment decisions. The Company utilizes its scientific platform, which uses RNA whole-transcriptome sequencing combined with machine learning, to discover and develop its products.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offers the following products in three clinical indications:</w:t>
      </w:r>
    </w:p>
    <w:p>
      <w:pPr>
        <w:spacing w:after="0" w:line="225"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Afirma Genomic Sequencing Classifier ("Afirma GSC") and Xpression Atlas - The Company’s Afirma offering, consisting of the Afirma GSC and the Afirma Xpression Atlas, provides a comprehensive solution in thyroid nodule diagnosis and is intended to provide physicians with clinically actionable results from a single fine needle aspiration ("FNA") biopsy. The Afirma GSC is used to identify patients with benign thyroid nodules among those with indeterminate cytopathology results so that these patients can avoid unnecessary thyroid surgery. The Afirma Xpression Atlas provides genomic alteration content from the same sample to help physicians decide with greater confidence on surgery strategy and treatment options for their patients.</w:t>
      </w:r>
    </w:p>
    <w:p>
      <w:pPr>
        <w:spacing w:after="0" w:line="18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Percepta Genomic Sequencing Classifier ("Percepta GSC") - The Percepta GSC, which is the second generation of the original Percepta test, improves lung cancer diagnosis by enhancing the performance of diagnostic bronchoscopies and determines the risk of lung cancer to guide next steps in the evaluation of patients with lung nodules. The test may help patients avoid unnecessary invasive procedures by identifying those with a low risk of having cancer, while helping to guide next intervention steps for patients it identifies as high risk. The Percepta GSC uses novel "field of injury" science - through which genomic changes associated with lung cancer in current and former smokers can be identified with a simple brushing of a person's airway - without the need to sample the often hard-to-reach nodule directly.</w:t>
      </w:r>
    </w:p>
    <w:p>
      <w:pPr>
        <w:spacing w:after="0" w:line="188"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Envisia Genomic Classifier - The Envisia classifier improves diagnosis of idiopathic pulmonary fibrosis ("IPF") by helping physicians better differentiate IPF from other interstitial lung diseases without the need for surgery. The test identifies the genomic pattern of usual interstitial pneumonia, a hallmark of IPF, with high accuracy on patient samples that are obtained through transbronchial biopsy, a nonsurgical procedure that is commonly used in lung evaluation.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approach also provides multiple opportunities for partnerships with biopharmaceutical companies. In developing its products, the Company has built or gained access to unique biorepositories that include extensive clinical cohorts and whole genome RNA sequencing data that it believes are important to the development of new targeted therapies, determining clinical trial eligibility and guiding treatment selection.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of the Company's testing services are made available through its clinical reference laboratories located in South San Francisco, California and Austin,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accounting principles generally accepted in the United States (“GAAP”). Certain information and note disclosures normally included in financial statements prepared in accordance with GAAP have been condensed or omitted pursuant to such rules and regulations. The condensed balance sheet as of September 30, 2019, the condensed statements of operations and comprehensive loss for the three and nine months ended September 30, 2019 and 2018, the condensed statements of stockholders' equity for the three and nine months ended September 30, 2019 and 2018, and the condensed statements of cash flows for the nine months ended September 30, 2019 and 2018 are unaudited, but include all adjustments, consisting only of normal recurring adjustments, which the Company considers necessary for a fair presentation of its financial position, operating results, stockholders' equity and cash flows for the periods presented. The condensed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 sheet at December 31, 2018 has been derived from audited financial statements. The results for the three and nine months ended September 30, 2019 are not necessarily indicative of the results expected for the full year or any other period.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Items subject to such estimates include: revenue recognition; the useful lives of property and equipment; the recoverability of long-lived assets; the incremental borrowing rate for leases;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in a Public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7,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discounts and commissions and offering expenses of $9.2 million.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30, 2018, the Company issued and sold 5,750,000 shares of common stock in a registered public offering, including shares issued and sold upon the underwriters' exercise in full of their option to purchase an additional 750,000 shares, at a price to the public of $10.25 per share. The Company's net proceeds from the offering were approximately $55.0 million, after deducting underwriting commissions and offering expenses of $3.9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an original maturity of 90 days or less to be cash equivalents. Cash equivalents include overnight reverse repurchase agreements which are tri-party repurchase agreements and have maturities of three months or less at the time of investment and are collateralized by U.S. treasury and agency securities of at least 102% of the principal amount. In a tri-party repurchase agreement, a third-party custodian bank functions as an independent intermediary to facilitate transfer of cash and holding the collateral on behalf of the underlying investor for the term of the agreement thereby minimizing risk and exposure to both parties. These overnight reverse repurchase agreements are included within cash equivalents due to their high liquidity and relatively low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September 30, 2019, most of the Company’s revenue has been derived from the sale of Afirma. To date, Afirma has been delivered primarily to physicians in the United States. The Company’s third-party payers and biopharmaceutical service customers in excess of 10% of total revenue and their related revenue as a percentage of total revenue were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32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6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Johnson and Johnson Services, Inc.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50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0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third-party payers and biopharmaceutical service customers in excess of 10% of accounts receivable and their related accounts receivable balance as a percentage of total accounts receivable were as follows at the following dates: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8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Johnson and Johnson Services, Inc.</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5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8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deposits of $603,000 included in long-term assets as of September 30, 2019 and December 31, 2018, restricted from withdrawal and held by a bank in the form of collateral for an irrevocable standby letter of credit held as security for the lease of the Company’s South San Francisco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commenced recognizing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starting January 1, 2018.</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 from Diagnostic Services</w:t>
      </w:r>
    </w:p>
    <w:p>
      <w:pPr>
        <w:spacing w:after="0" w:line="22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Most of the Company’s revenue is generated from the provision of diagnostic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spacing w:after="0" w:line="18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ASC 606 on January 1, 2018 using the modified retrospective method, which requires a cumulative catch-up adjustment as if the Company had recognized revenue under ASC 606 from January 1, 2016. Prior to January 1, 2018, the Company recognized revenue in accordance with ASC 954 and recognized revenue for tests delivered on an accrual basis when amounts that will ultimately be realized could be reasonably estimated, and on the cash basis when there was insufficient information to estimate revenue accruals. The adoption of ASC 606 did not have a material impact on the Company's statement of operations or financial position.</w:t>
      </w:r>
    </w:p>
    <w:p>
      <w:pPr>
        <w:spacing w:after="0" w:line="184"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During 2019, the Company changed its revenue estimates due to actual and anticipated cash collections for tests delivered in prior quarters and recognized additional revenue of $0.1 million and $0.8 million for the three and nine months ended September 30, 2019, respectively. As of September 30, 2019, $0.7 million of the additional revenue recognized from these adjustments has been collected. These adjustments resulted in decreases in the Company's loss from operations of $0.1 million and $0.8 million and a decrease in basic and diluted net loss per common share of zero and $0.02 for the three and nine months ended September 30, 2019,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During 2018, the Company changed its revenue estimates due to actual and anticipated cash collections for tests delivered in prior quarters and recognized additional revenue of $0.5 million and $1.7 million for the three and nine months ended September 30, 2018, respectively. These adjustments resulted in decreases in the Company's loss from operations of $0.5 million and $1.7 million and a decrease in basic and diluted net loss per common share of $0.01 and $0.05 for the three and nine months ended September 30, 2018,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Arrangements with Multiple-Performance Obligations</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for research and development and/or commercialization services. Such arrangements may require the Company to deliver various rights, services and/or samples, including intellectual property rights/licenses, R&amp;D services, and/or commercialization services. The underlying terms of these arrangements generally provide for consideration to the Company in the form of nonrefundable upfront license fees, development and commercial performance milestone payments, royalty payments, and/or profit sharing.</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8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Collaborative Arrangements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enters into collaborative arrangements with partners that fall under the scope of ASC Topic 808,</w:t>
      </w:r>
    </w:p>
    <w:p>
      <w:pPr>
        <w:spacing w:after="0" w:line="2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While these arrangements are in the scope of ASC 808, the Company may analogize to ASC 606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aspects of the arrangements. The Company analogizes to ASC 606 for certain activities</w:t>
      </w:r>
    </w:p>
    <w:p>
      <w:pPr>
        <w:spacing w:after="0" w:line="1" w:lineRule="exact"/>
        <w:rPr>
          <w:sz w:val="20"/>
          <w:szCs w:val="20"/>
          <w:color w:val="auto"/>
        </w:rPr>
      </w:pPr>
    </w:p>
    <w:p>
      <w:pPr>
        <w:ind w:left="660" w:right="1960"/>
        <w:spacing w:after="0" w:line="261" w:lineRule="auto"/>
        <w:rPr>
          <w:sz w:val="20"/>
          <w:szCs w:val="20"/>
          <w:color w:val="auto"/>
        </w:rPr>
      </w:pPr>
      <w:r>
        <w:rPr>
          <w:rFonts w:ascii="Times New Roman" w:cs="Times New Roman" w:eastAsia="Times New Roman" w:hAnsi="Times New Roman"/>
          <w:sz w:val="18"/>
          <w:szCs w:val="18"/>
          <w:color w:val="auto"/>
        </w:rPr>
        <w:t>within the collaborative arrangement for the delivery of a good or service (i.e., a unit of account) that is part of its ongoing major or central operations.</w:t>
      </w:r>
    </w:p>
    <w:p>
      <w:pPr>
        <w:spacing w:after="0" w:line="180"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The terms of the Company’s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Up-front Fees: </w:t>
      </w:r>
      <w:r>
        <w:rPr>
          <w:rFonts w:ascii="Times New Roman" w:cs="Times New Roman" w:eastAsia="Times New Roman" w:hAnsi="Times New Roman"/>
          <w:sz w:val="18"/>
          <w:szCs w:val="18"/>
          <w:color w:val="auto"/>
        </w:rPr>
        <w:t>If a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combined performance obligation to determine whether the combined performance obligation is satisfied over time or at a point in time.</w:t>
      </w:r>
    </w:p>
    <w:p>
      <w:pPr>
        <w:spacing w:after="0" w:line="22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milestone payments (variable consideration),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 with Loxo Oncology</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On April 9, 2018, the Company entered into an agreement with Loxo Oncology, Inc. ("Loxo") whereby the Company agreed to provide certain tissue samples and other services in exchange for agreed-upon fees. The agreement has a term of one year with an automatic renewal of one year and Loxo may terminate the agreement at any time with at least 90 days' notice. As of September 30, 2019, the agreement has not been terminated. The Company evaluated the accounting for this agreement under ASC 606 and concluded the performance obligations thereunder are the delivery of tissue samples and performance of services, both of which are distinct. For the three months ended March 31, 2019, the Company recognized revenue of $90,000 for the delivery of tissue samples. There were no deliveries of tissue samples for each of the three months ended June 30, 2019 and September 30, 2019. The Company recognized revenue of $250,000 for the performance of services for each of the three months ended March 31, 2019, June 30, 2019 and September 30, 2019. The cost of revenue associated with revenue recognized under the agreement with Loxo is not significant. There was no deferred revenue related to this agreement at either September 30, 2019 or December 31, 2018.</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Diagnostic Development Agreement with Johnson &amp; Johnson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On December 28, 2018, the Company entered into a diagnostics development agreement with Johnson and Johnson Services, Inc. ("JJSI")</w:t>
      </w:r>
    </w:p>
    <w:p>
      <w:pPr>
        <w:spacing w:after="0" w:line="27" w:lineRule="exact"/>
        <w:rPr>
          <w:sz w:val="20"/>
          <w:szCs w:val="20"/>
          <w:color w:val="auto"/>
        </w:rPr>
      </w:pPr>
    </w:p>
    <w:p>
      <w:pPr>
        <w:jc w:val="both"/>
        <w:ind w:left="660" w:hanging="4"/>
        <w:spacing w:after="0" w:line="252" w:lineRule="auto"/>
        <w:tabs>
          <w:tab w:leader="none" w:pos="87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cooperate on a program to enable the Company to use JJSI samples and clinical data to develop a next generation bronchial genomic classifier diagnostic for lung cancer diagnosis (“Percepta v.2") and a nasal genomic classifier diagnostic for lung cancer (“NasaRISK”) and (ii) for JJSI to use Veracyte data generated in two Veracyte development programs for therapeutic purposes and for purposes of developing a companion diagnostic product used in conjunction with a JJSI therapeutic. The Company granted a license to JJSI with the right to use data and under the Company's intellectual property rights for JJSI's therapeutic purposes, including the development and commercialization of a companion diagnostic for its products, from the Percepta v.2 and NasaRISK programs. The license granted to JJSI is not distinct from other performance obligations as JJSI receives benefit only when other performance obligations are met.</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The Company will provide data from its RNA whole-transcriptome sequencing platform to JJSI in exchange for $7.0 million in payments from JJSI. The Company is also entitled to additional payments from JJSI of up to $13.0 million, conditioned upon the achievement of certain milestones relating to the development and reimbursement of Percepta v.2 and NasaRISK. For a period of ten years commencing with the first commercial sale of Percepta v.2 and NasaRISK, respectively, the Company will make payments to JJSI of one percent of net cash collections for Percepta v.2 and in the low-single digits of net cash collections for NasaRISK, depending on the number and timing of JJSI samples and associated clinical data the Company receives from JJSI.</w:t>
      </w:r>
    </w:p>
    <w:p>
      <w:pPr>
        <w:spacing w:after="0" w:line="18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The JJSI agreement is considered to be within the scope of ASC 808, as the parties are active participants and exposed to the risks and rewards of the collaborative activity. The Company evaluated the terms of the JJSI agreement and has analogized to ASC 606 for the delivery of data from its RNA whole-transcriptome sequencing platform to JJSI under the collaborative arrangement, which the Company believes is a distinct service for which JJSI meets the definition of a customer. Using the concepts of ASC 606, the Company has identified the delivery of data as its only performance obligation. The Company further determined that the transaction price under the arrangement was the $7.0 million in payments which was allocated to the obligation to deliver data. The $13.0 million in future potential payments is considered variable consideration because the Company determined that the potential payments are contingent upon regulatory 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commercialization milestones that are uncertain to occur and, as such, were not included in the transaction price, and will be recognized accordingly as each potential payment becomes probable.</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2019, the Company received $5.0 million from JJSI. The Company recognized revenue of $3.8 million and $1.2 million for the provision of data for the three months ended March 31, 2019 and June 30, 2019, respectively. In addition, the Company recognized revenue of $2.0 million and $4.0 million for fulfillment of obligations relating to Percepta v.2 and NasaRISK development milestones during the three months ended June 30, 2019 and September 30, 2019, respectively, and the related accounts receivable was $6.0 million at September 30, 2019. The cost of revenue associated with revenue recognized under the agreement with JJSI is not significant. There was no deferred revenue related to this agreement at either September 30, 2019 or December 31, 2018.</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2018, the Company received $0.4 million as a settlement with an institutional investor that was a beneficial owner of the Company's common stock related to the disgorgement of short-swing profits pursuant to Section 16(b) of the Securities Exchange Act of 1934, as amended. The settlement of $0.4 million was recognized as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is effective for interim and annual periods beginning after December 15, 2018. Additionally,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2019 and as a result, recorded operating lease right-of-use ("ROU") assets of $9.8 million, including offsetting deferred rent of $4.3 million, along with the associated operating lease liabilities of $14.1 million. On January 1, 2019, the Company had finance lease ROU assets of $0.8 million and associated finance lease liabilities of $0.3 million for leases classified as finance leases prior to the adoption of ASC 842. The adoption of ASC 842 had an immaterial impact on the Company's condensed statement of operations and comprehensive loss, condensed statement of stockholders' equity and condensed statement of cash flows for the three-month period ended September 30, 2019 and the nine-month period ended September 30, 2019. In addition, the Company elected the package of practical expedients permitted under the transition guidance within the new standard which allowed it to carry forward the historical lease classification. Additional information and disclosures required by this new standard are contained in Note 5, Commitments and Contingencies.</w:t>
      </w:r>
    </w:p>
    <w:p>
      <w:pPr>
        <w:spacing w:after="0" w:line="18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This ASU requires measurement and recognition of expected credit losses for financial assets. This guidance will become effective for the Company beginning January 1, 2020 with early adoption permitted. The Company is currently evaluating the potential effect of this standard on its financial statements.</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The Company is currently evaluating the potential effect of this standard on its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Loss Per Common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860" w:type="dxa"/>
            <w:vAlign w:val="bottom"/>
            <w:gridSpan w:val="3"/>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1020" w:type="dxa"/>
            <w:vAlign w:val="bottom"/>
            <w:tcBorders>
              <w:bottom w:val="single" w:sz="8" w:color="CCEEFF"/>
            </w:tcBorders>
          </w:tcPr>
          <w:p>
            <w:pPr>
              <w:spacing w:after="0"/>
              <w:rPr>
                <w:sz w:val="22"/>
                <w:szCs w:val="22"/>
                <w:color w:val="auto"/>
              </w:rPr>
            </w:pPr>
          </w:p>
        </w:tc>
        <w:tc>
          <w:tcPr>
            <w:tcW w:w="46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5,299,296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5,562,611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6,065,250</w:t>
            </w:r>
          </w:p>
        </w:tc>
      </w:tr>
      <w:tr>
        <w:trPr>
          <w:trHeight w:val="243"/>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51,253</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32,513</w:t>
            </w:r>
          </w:p>
        </w:tc>
      </w:tr>
      <w:tr>
        <w:trPr>
          <w:trHeight w:val="27"/>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780,914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691,647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363,896</w:t>
            </w:r>
          </w:p>
        </w:tc>
      </w:tr>
      <w:tr>
        <w:trPr>
          <w:trHeight w:val="25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6,131,463</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6,468,116</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6,286,530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6,461,659</w:t>
            </w:r>
          </w:p>
        </w:tc>
      </w:tr>
      <w:tr>
        <w:trPr>
          <w:trHeight w:val="20"/>
        </w:trPr>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19"/>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Accrued Liabilities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58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02"/>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1020" w:type="dxa"/>
            <w:vAlign w:val="bottom"/>
            <w:tcBorders>
              <w:bottom w:val="single" w:sz="8" w:color="CCEEFF"/>
            </w:tcBorders>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6,412</w:t>
            </w:r>
          </w:p>
        </w:tc>
      </w:tr>
      <w:tr>
        <w:trPr>
          <w:trHeight w:val="243"/>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Accrued other</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2,774</w:t>
            </w:r>
          </w:p>
        </w:tc>
      </w:tr>
      <w:tr>
        <w:trPr>
          <w:trHeight w:val="27"/>
        </w:trPr>
        <w:tc>
          <w:tcPr>
            <w:tcW w:w="10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gridSpan w:val="2"/>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9,760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9,186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includes money market funds, overnight reverse repurchase agreements and a deposit for the lease of the Company's South San Francisco facility. Money market funds, included in cash and cash equivalents in the accompanying condensed balance sheets, were $94.6 million and $76.6 million as of September 30, 2019 and December 31, 2018, respectively, and are Level I assets as described above. Overnight reverse repurchase agreements, included in cash and cash equivalents in the accompanying condensed balance sheets, were $100.0 million and zero as of September 30, 2019 and December 31, 2018, respectively, and are Level II assets as described above. The deposit for the lease, included in restricted cash in the accompanying condensed balance sheets, was $603,000 as of September 30, 2019 and December 31, 2018, and is a Level I asset as described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The Company had deposits of $603,000 included in long-term assets as of September 30,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2019 and December 31, 2018, restricted from withdrawal and held by a bank in the form of collateral for an irrevocable standby letter of credit held as security for the lease of the South San Francisco facility.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leases laboratory and office space in Austin, Texas under a lease that expires in January 2029 and includes options for expansion and early termination in 2025. The Company provided a cash security deposit for this lease of $139,000, included in other assets in the Company’s condensed balance sheets as of September 30, 2019 and December 31, 2018.</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its operating lease liabilities for the two operating leases mentioned above using a discount rate of 7.53% based on the rate that the Company would have to pay to borrow on a collateralized basis for a similar lease an amount equal to the lease payments in a similar economic environment. Operating lease liabilities along with the associated right-of-use assets as of September 30, 2019 are disclosed in the accompanying condensed balance sheets. After the adoption of ASC 842, the Company classified its deferred rent for tenant improvements with its operating lease right-of-use assets on the condensed balance sheets.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September 30, 2019 are as follows (in thousands of dollars):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2,401</w:t>
            </w: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2,543</w:t>
            </w:r>
          </w:p>
        </w:tc>
      </w:tr>
      <w:tr>
        <w:trPr>
          <w:trHeight w:val="243"/>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6,841</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17,161</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Operating lease expense was $474,000 and $476,000 for the three months ended September 30, 2019 and 2018, respectively and $1.4 million for each of the nine months ended September 30, 2019 and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entered into a finance lease in December 2016 for $1.2 million of laboratory equipment which ends in December 2019. The Company paid an upfront amount of $330,000 and the present value of the total future minimum lease payments at the inception of the lease was $874,000. As of September 30, 2019, $79,000 of future minimum lease payments remained, and are due in 2019. The interest expense and related amortization of laboratory equipment are recorded in the statements of operations for nominal amounts. After the adoption of ASC 842, this finance lease remained a finance lease and the Company did not change the discount rate to determine the lease liability nor the amortization life of the related right-of-use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assesses contingencies to determine the degree of probability and range of possible loss for potential accrual in its financial statements. An estimated loss contingency is accrued in the financial statements if it is probable that a liability has been incurred and the amount of the loss can be reasonably estimated. The Company believes there is no litigation pending that could have, either individually or in the aggregate, a material adverse effect on the Company’s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3, 2017, the Company entered into a loan and security agreement (the "Loan and Security Agreement"), with Silicon Valley Bank. The Loan and Security Agreement allows the Company to borrow up to $35.0 million, with a $25.0 million advance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Revolving Line of Credit as of September 30, 2019.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 The average Term Loan Advance interest rate for the nine months ended September 30, 2019 was 6.94%.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 In January 2019 and May 2019, the Company prepaid $12.5 million and $12.4 million, respectively, of the principal amount of the Term Loan Advance. These prepayments did not trigger any prepayment premium because they were partial, not full, repayments of the principal amount.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the Company's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sum of the Company’s unrestricted cash and cash equivalents maintained with Silicon Valley Bank and amount available under the Revolving Line of Credit is at least $40.0 million. As of September 30, 2019, the Company was in compliance with the loan covenants.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debt obligation for borrowings made under the Loan and Security Agreement was as follows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principal</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End-of-term debt obligation</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debt obligation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25,282</w:t>
            </w: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principal and end-of-term debt obligation payments due under the Loan and Security Agreement are $1.3 million in 2022.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end-of-term debt obligation accretes over the term of the Loan and Security Agreement until maturity and is included in interest expense in the Company's condensed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1020" w:type="dxa"/>
            <w:vAlign w:val="bottom"/>
            <w:tcBorders>
              <w:top w:val="single" w:sz="8" w:color="0000EE"/>
            </w:tcBorders>
          </w:tcPr>
          <w:p>
            <w:pPr>
              <w:spacing w:after="0"/>
              <w:rPr>
                <w:sz w:val="24"/>
                <w:szCs w:val="24"/>
                <w:color w:val="auto"/>
              </w:rPr>
            </w:pPr>
          </w:p>
        </w:tc>
        <w:tc>
          <w:tcPr>
            <w:tcW w:w="732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1020" w:type="dxa"/>
            <w:vAlign w:val="bottom"/>
            <w:tcBorders>
              <w:bottom w:val="single" w:sz="8" w:color="CCEEFF"/>
            </w:tcBorders>
          </w:tcPr>
          <w:p>
            <w:pPr>
              <w:spacing w:after="0"/>
              <w:rPr>
                <w:sz w:val="16"/>
                <w:szCs w:val="16"/>
                <w:color w:val="auto"/>
              </w:rPr>
            </w:pPr>
          </w:p>
        </w:tc>
        <w:tc>
          <w:tcPr>
            <w:tcW w:w="7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5,988,598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6,235,258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1,955,324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1,571,658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173,168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309,419</w:t>
            </w:r>
          </w:p>
        </w:tc>
        <w:tc>
          <w:tcPr>
            <w:tcW w:w="0" w:type="dxa"/>
            <w:vAlign w:val="bottom"/>
          </w:tcPr>
          <w:p>
            <w:pPr>
              <w:spacing w:after="0"/>
              <w:rPr>
                <w:sz w:val="1"/>
                <w:szCs w:val="1"/>
                <w:color w:val="auto"/>
              </w:rPr>
            </w:pPr>
          </w:p>
        </w:tc>
      </w:tr>
      <w:tr>
        <w:trPr>
          <w:trHeight w:val="257"/>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8,117,090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8,116,335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Thyroid Cytopathology Partners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an agreement with a specialized pathology practice, Thyroid Cytopathology Partners, ("TCP"), to provide testing services to the Company (the "TCP Agreement"). The TCP Agreement is effective through October 31, 2022, and thereafter automatically renews every year unless either party provides notice of intent not to renew at least 12 months prior to the end of the then-current term. Under the TCP Agreement, the Company pays TCP based on a fixed price per test schedule which is reviewed periodically for changes in market pricing, and the TCP Agreement included a clause allowing TCP to sublease a portion of the Company's facility in Austin, Texas. The Company does not have an ownership interest in or provide any form of financial or other support to TCP. The Company previously concluded that TCP represented a variable interest entity as a result of the facility arrangement clause, but that the Company was not the primary beneficiary as it did not have the ability to direct the activities that most significantly impacted TCP's economic performance, and therefore did not consolidate TCP. On February 14, 2019, the TCP Agreement was amended to remove the facility clause. Accordingly, the Company believes TCP was no longer a variable interest entity as of that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TCP's portion of rent and related operating expenses reimbursed to the Company for the shared space at the Austin, Texas facility was $32,000 for the three months ended September 30, 2018 and $11,000 and $96,000 for the nine months ended September 30, 2019 and 2018, respectively, and is included in other income, net in the Company’s condensed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record a provision or benefit for income taxes during the three and nine months ended September 30, 2019 and 2018. The Company continues to maintain a full valuation allowance against its net deferred tax assets.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2019, the Company had unrecognized tax benefits of $2.8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September 30, 2019 will significantly increase or decrease within the next 12 months. There was no interest expense or penalties related to unrecognized tax benefits recorded through September 30, 2019.</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with consideration of changing facts and circumstances. Settlement of any particular position could require the use of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2018.</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ribonucleic acid, or RNA, samples; our collaboration with Johnson &amp; Johnson Services, Inc.; our belief in the importance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maintaining libraries of clinical evidence;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Veracyte, Afirma, Percepta, Envisia, Know by Design, the Veracyte logo, the Afirma logo and the Envisia logo are our trademarks. We also refer to trademarks of other corporations or organizations in this report.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leading genomic diagnostics company that is creating value through innovation. We were founded in 2008 with a mission to improve diagnostic accuracy. Today, through our innovative scientific platform which utilizes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commercialized seven leading, first-to-market tests that are transforming care in large, untapped clinical areas - thyroid cancer, lung cancer and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utilize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indications, diagnosis can be ambiguous in 15% to 70% of cases.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date, we have commercialized seven genomic tests that are changing disease diagnosis: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endocrinology:</w:t>
      </w:r>
    </w:p>
    <w:p>
      <w:pPr>
        <w:spacing w:after="0" w:line="27"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Afirma Genomic Sequencing Classifier, or Afirma GSC, for thyroid cancer;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Afirma Gene Expression Classifier, or GEC, which was the Afirma GSC’s predecessor;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Malignancy Classifiers which test for the BRAF v600E mutation and medullary thyroid cancer;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Afirma Xpression Atlas, which provides genomic alteration information to inform surgery and treatment decisions.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pulmonology:</w:t>
      </w:r>
    </w:p>
    <w:p>
      <w:pPr>
        <w:spacing w:after="0" w:line="27"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Percepta Genomic Sequencing Classifier, or Percepta GSC, for lung cancer;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Percepta Bronchial Genomic Classifier, which was the Percepta GSC’s predecessor.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interstitial lung disease:</w:t>
      </w:r>
    </w:p>
    <w:p>
      <w:pPr>
        <w:spacing w:after="0" w:line="27"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Envisia Genomic Classifier for IPF.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Collectively, we believe the tests we are currently offering address a $2 billion global market opportunity.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for the Afirma and Percepta classifiers, respectively. We continue to build upon our extensive library of clinical evidence.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us to set new standards in genomic test reimbursement. Our Afirma genomic classifier is now covered by every major health plan in the United States, which collectively insure more than 280 million people, for use in thyroid cancer diagnosis. Veracyte is now contracted as an in-network service provider to health plans representing over 225 million people in the United States. Our Percepta classifier is the first genomic test to gain Medicare coverage for improved lung cancer screening and diagnosis, making it a covered benefit for more than 60 million people. Our Envisia Genomic Classifier is the first commercial test to improve the diagnosis of IPF among patients with a suspected interstitial lung disease and gained Medicare coverage effective April 1, 2019, making it a covered benefit for more than 60 million people.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2019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third quarter of 2019 as compared to the third quarter of 2018:</w:t>
      </w:r>
    </w:p>
    <w:p>
      <w:pPr>
        <w:spacing w:after="0" w:line="225" w:lineRule="exact"/>
        <w:rPr>
          <w:sz w:val="20"/>
          <w:szCs w:val="20"/>
          <w:color w:val="auto"/>
        </w:rPr>
      </w:pPr>
    </w:p>
    <w:p>
      <w:pPr>
        <w:ind w:left="500" w:right="20" w:hanging="249"/>
        <w:spacing w:after="0" w:line="26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was $31.0 million, an increase of 32%; excluding $4.3 million of biopharmaceutical services revenue, revenue was $26.7 million,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15%.</w:t>
      </w:r>
    </w:p>
    <w:p>
      <w:pPr>
        <w:ind w:left="500" w:right="20" w:hanging="249"/>
        <w:spacing w:after="0" w:line="250"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71%, an increase of six percentage points; excluding biopharmaceutical services revenue, gross margin was 66%, an increase of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points.</w:t>
      </w: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Excluding Cost of Revenue </w:t>
      </w:r>
      <w:r>
        <w:rPr>
          <w:rFonts w:ascii="Times New Roman" w:cs="Times New Roman" w:eastAsia="Times New Roman" w:hAnsi="Times New Roman"/>
          <w:sz w:val="18"/>
          <w:szCs w:val="18"/>
          <w:color w:val="auto"/>
        </w:rPr>
        <w:t>were $23.6 million, an increase of 21%.</w:t>
      </w:r>
    </w:p>
    <w:p>
      <w:pPr>
        <w:spacing w:after="0" w:line="9"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was $0.7 million, an improvement of 84%.</w:t>
      </w:r>
    </w:p>
    <w:p>
      <w:pPr>
        <w:spacing w:after="0" w:line="9"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Per Share </w:t>
      </w:r>
      <w:r>
        <w:rPr>
          <w:rFonts w:ascii="Times New Roman" w:cs="Times New Roman" w:eastAsia="Times New Roman" w:hAnsi="Times New Roman"/>
          <w:sz w:val="18"/>
          <w:szCs w:val="18"/>
          <w:color w:val="auto"/>
        </w:rPr>
        <w:t>was $0.02, an improvement of 83%.</w:t>
      </w:r>
    </w:p>
    <w:p>
      <w:pPr>
        <w:spacing w:after="0" w:line="9"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was $1.6 million, an improvement of 13%.</w:t>
      </w:r>
    </w:p>
    <w:p>
      <w:pPr>
        <w:spacing w:after="0" w:line="9"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were $195.7 million at September 30, 2019</w:t>
      </w:r>
      <w:r>
        <w:rPr>
          <w:rFonts w:ascii="Times New Roman" w:cs="Times New Roman" w:eastAsia="Times New Roman" w:hAnsi="Times New Roman"/>
          <w:sz w:val="18"/>
          <w:szCs w:val="18"/>
          <w:i w:val="1"/>
          <w:iCs w:val="1"/>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nine-month period ended September 30, 2019, as compared with the prior year period of 2018:</w:t>
      </w:r>
    </w:p>
    <w:p>
      <w:pPr>
        <w:spacing w:after="0" w:line="225" w:lineRule="exact"/>
        <w:rPr>
          <w:sz w:val="20"/>
          <w:szCs w:val="20"/>
          <w:color w:val="auto"/>
        </w:rPr>
      </w:pPr>
    </w:p>
    <w:p>
      <w:pPr>
        <w:ind w:left="500" w:hanging="249"/>
        <w:spacing w:after="0" w:line="26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was $90.6 million, an increase of 37%; excluding $11.8 million of biopharmaceutical services revenue, revenue was $78.8 million,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20%.</w:t>
      </w:r>
    </w:p>
    <w:p>
      <w:pPr>
        <w:ind w:left="500" w:hanging="249"/>
        <w:spacing w:after="0" w:line="261"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71%, an increase of eight percentage points; excluding biopharmaceutical services revenue, gross margin was 66%,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percentage points.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500" w:hanging="249"/>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Excluding Cost of Revenue </w:t>
      </w:r>
      <w:r>
        <w:rPr>
          <w:rFonts w:ascii="Times New Roman" w:cs="Times New Roman" w:eastAsia="Times New Roman" w:hAnsi="Times New Roman"/>
          <w:sz w:val="18"/>
          <w:szCs w:val="18"/>
          <w:color w:val="auto"/>
        </w:rPr>
        <w:t>were $71.2 million, an increase of 17%.</w:t>
      </w:r>
    </w:p>
    <w:p>
      <w:pPr>
        <w:spacing w:after="0" w:line="29"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was $5.1 million, an improvement of 74%.</w:t>
      </w:r>
    </w:p>
    <w:p>
      <w:pPr>
        <w:spacing w:after="0" w:line="9"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Per Share </w:t>
      </w:r>
      <w:r>
        <w:rPr>
          <w:rFonts w:ascii="Times New Roman" w:cs="Times New Roman" w:eastAsia="Times New Roman" w:hAnsi="Times New Roman"/>
          <w:sz w:val="18"/>
          <w:szCs w:val="18"/>
          <w:color w:val="auto"/>
        </w:rPr>
        <w:t>was $0.11, an improvement of 80%.</w:t>
      </w:r>
    </w:p>
    <w:p>
      <w:pPr>
        <w:spacing w:after="0" w:line="9"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was $5.0 million, an improvement of 59%.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2019 and Recent Business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Growth and Reimbursement Expansion:</w:t>
      </w:r>
    </w:p>
    <w:p>
      <w:pPr>
        <w:spacing w:after="0" w:line="229" w:lineRule="exact"/>
        <w:rPr>
          <w:sz w:val="20"/>
          <w:szCs w:val="20"/>
          <w:color w:val="auto"/>
        </w:rPr>
      </w:pPr>
    </w:p>
    <w:p>
      <w:pPr>
        <w:ind w:left="500" w:hanging="249"/>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total genomic test volume in the third quarter of 2019 to 9,941, an increase of 24% over the third quarter of 2018.</w:t>
      </w:r>
    </w:p>
    <w:p>
      <w:pPr>
        <w:spacing w:after="0" w:line="27" w:lineRule="exact"/>
        <w:rPr>
          <w:rFonts w:ascii="Times New Roman" w:cs="Times New Roman" w:eastAsia="Times New Roman" w:hAnsi="Times New Roman"/>
          <w:sz w:val="18"/>
          <w:szCs w:val="18"/>
          <w:color w:val="auto"/>
        </w:rPr>
      </w:pPr>
    </w:p>
    <w:p>
      <w:pPr>
        <w:ind w:left="1300" w:right="44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Increased Percepta® Genomic Sequencing Classifier (GSC) volume to 793 tests, an increase of 112% compared to the third quarter of 2018.</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Expanded Envisia® Genomic Classifier volume to 223 tests, a Q3 2019 growth sequentially over Q2 2019 of 72%.</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Grew Afirma® test volume to 8,925 tests, an increase of 17%, compared to the third quarter of last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Strengthened Library of Clinical Evidence:</w:t>
      </w:r>
    </w:p>
    <w:p>
      <w:pPr>
        <w:spacing w:after="0" w:line="227" w:lineRule="exact"/>
        <w:rPr>
          <w:sz w:val="20"/>
          <w:szCs w:val="20"/>
          <w:color w:val="auto"/>
        </w:rPr>
      </w:pPr>
    </w:p>
    <w:p>
      <w:pPr>
        <w:jc w:val="both"/>
        <w:ind w:left="500" w:hanging="330"/>
        <w:spacing w:after="0" w:line="267"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a clinical and analytical validation paper in </w:t>
      </w:r>
      <w:r>
        <w:rPr>
          <w:rFonts w:ascii="Times New Roman" w:cs="Times New Roman" w:eastAsia="Times New Roman" w:hAnsi="Times New Roman"/>
          <w:sz w:val="18"/>
          <w:szCs w:val="18"/>
          <w:i w:val="1"/>
          <w:iCs w:val="1"/>
          <w:color w:val="auto"/>
        </w:rPr>
        <w:t>Frontiers in Endocrinology</w:t>
      </w:r>
      <w:r>
        <w:rPr>
          <w:rFonts w:ascii="Times New Roman" w:cs="Times New Roman" w:eastAsia="Times New Roman" w:hAnsi="Times New Roman"/>
          <w:sz w:val="18"/>
          <w:szCs w:val="18"/>
          <w:color w:val="auto"/>
        </w:rPr>
        <w:t xml:space="preserve"> demonstrating the Afirma Xpression Atlas’s ability to help inform surgery and treatment decisions in patients with thyroid nodules deemed suspicious for cancer by the Afirma Genomic Sequencing Classifier. A separate paper published in </w:t>
      </w:r>
      <w:r>
        <w:rPr>
          <w:rFonts w:ascii="Times New Roman" w:cs="Times New Roman" w:eastAsia="Times New Roman" w:hAnsi="Times New Roman"/>
          <w:sz w:val="18"/>
          <w:szCs w:val="18"/>
          <w:i w:val="1"/>
          <w:iCs w:val="1"/>
          <w:color w:val="auto"/>
        </w:rPr>
        <w:t>Thyroid</w:t>
      </w:r>
      <w:r>
        <w:rPr>
          <w:rFonts w:ascii="Times New Roman" w:cs="Times New Roman" w:eastAsia="Times New Roman" w:hAnsi="Times New Roman"/>
          <w:sz w:val="18"/>
          <w:szCs w:val="18"/>
          <w:color w:val="auto"/>
        </w:rPr>
        <w:t xml:space="preserve"> reinforced the test’s potential value in clinical practice.</w:t>
      </w:r>
    </w:p>
    <w:p>
      <w:pPr>
        <w:spacing w:after="0" w:line="124"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studies are being presented at the annual meeting of the American College of Chest Physicians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(CHEST 2019), including:</w:t>
      </w:r>
    </w:p>
    <w:p>
      <w:pPr>
        <w:ind w:left="1300" w:right="380" w:hanging="324"/>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Three abstracts showing that the Envisia classifier enhances physicians’ ability to confidently distinguish idiopathic pulmonary fibrosis from other interstitial lung diseases when used with high-resolution CT imaging.</w:t>
      </w:r>
    </w:p>
    <w:p>
      <w:pPr>
        <w:ind w:left="1300" w:right="80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Two abstracts demonstrating the clinical validity and utility, respectively, of the Percepta classifier in lung cancer diagnosis when bronchoscopy findings are inconclusive.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Pipeline:</w:t>
      </w:r>
    </w:p>
    <w:p>
      <w:pPr>
        <w:spacing w:after="0" w:line="229"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at CHEST 2019 demonstrating the ability of the company’s preliminary nasal swab test to enable early lung cancer detection and diagnosis. The findings show that the test can accurately classify lung cancer risk in patients with lung nodules so that they may be directed to prompt diagnosis and treatment or may be monitored noninvasively.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Genomic Test Volume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62" w:lineRule="exact"/>
        <w:rPr>
          <w:sz w:val="20"/>
          <w:szCs w:val="20"/>
          <w:color w:val="auto"/>
        </w:rPr>
      </w:pPr>
    </w:p>
    <w:p>
      <w:pPr>
        <w:ind w:left="1300" w:hanging="401"/>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7"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9"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to perform our tests and report the results;</w:t>
      </w:r>
    </w:p>
    <w:p>
      <w:pPr>
        <w:spacing w:after="0" w:line="9" w:lineRule="exact"/>
        <w:rPr>
          <w:rFonts w:ascii="Times New Roman" w:cs="Times New Roman" w:eastAsia="Times New Roman" w:hAnsi="Times New Roman"/>
          <w:sz w:val="18"/>
          <w:szCs w:val="18"/>
          <w:color w:val="auto"/>
        </w:rPr>
      </w:pPr>
    </w:p>
    <w:p>
      <w:pPr>
        <w:ind w:left="1300" w:hanging="401"/>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1300" w:hanging="401"/>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9" w:lineRule="exact"/>
        <w:rPr>
          <w:sz w:val="20"/>
          <w:szCs w:val="20"/>
          <w:color w:val="auto"/>
        </w:rPr>
      </w:pPr>
    </w:p>
    <w:p>
      <w:pPr>
        <w:jc w:val="both"/>
        <w:ind w:firstLine="264"/>
        <w:spacing w:after="0" w:line="254"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commenced recognizing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starting January 1, 2018. Prior to January 1, 2018, we recognized revenue in accordance with the provisions of ASC 954-605, </w:t>
      </w:r>
      <w:r>
        <w:rPr>
          <w:rFonts w:ascii="Times New Roman" w:cs="Times New Roman" w:eastAsia="Times New Roman" w:hAnsi="Times New Roman"/>
          <w:sz w:val="18"/>
          <w:szCs w:val="18"/>
          <w:i w:val="1"/>
          <w:iCs w:val="1"/>
          <w:color w:val="auto"/>
        </w:rPr>
        <w:t>Health Care Entities - Revenue Recognition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Most of our revenue is generated from the provision of diagnostic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2018,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amounts in the nine months ended September 30, 2019 and we have no expectation of future collection because we began accruing for substantially all revenue upon delivery of a patient report in the third quarter of 2016.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bill list price regardless of contract rate, but only recognize revenue from amounts that we estimate are collectible and meet our revenue recognition criteria. Revenue may not be equal to the list price or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genomic classifier tests, including variants, performed during the relevant period divided by the number of these tests performed during that same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three months ended September 30, 2019, we accrued, on average, between $2,800 and $2,900 for the Afirma genomic classifier tests, including variants, that met our revenue recognition standard, which was between 90% - 95% of the reported Afirma classifier test volume.</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the third quarter of 2018 to the third quarter of 2019, we accrued between $1.0 million and $2.6 million in revenue per quarter from providing cytopathology services associated with our Afirma solution.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Additional Products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continue to advance our product portfolio with diagnostic tests that leverage innovations in genomic science, sequencing technology and machine learning methodologies to further improve patient care. In May 2017, we introduced the Afirma GSC, supported by rigorous clinical validation data showing that the RNA sequencing-based test can help significantly more patients avoid unnecessary surgery in thyroid cancer diagnosis, compared to the original Afirma Classifier. In March 2018, we unveiled our Afirma Xpression Atlas, which uses the same RNA sequencing data from the platform as the Afirma GSC and enables us to extract rich genomic content - including gene expression, DNA variants and RNA fusions in over 500 genes that are associated with thyroid cancer - from thyroid FNA samples. We believe that this offering will provide clinicians with valuable genomic information that may inform surgery strategy and treatment options for patients with suspected thyroid cancer.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Together with our Afirma GSC and our tests for the BRAF v600E mutation and medullary thyroid cancer, or Malignancy Classifiers, the Afirma Xpression Atlas rounds out a comprehensive solution for physicians evaluating thyroid nodules. This innovation also enables us to enter into research collaborations with biopharmaceutical companies, which is intended to support their development of targeted therapies for genetically defined cancers, including thyroid cancer.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performance of diagnostic bronchoscopy. In June 2019, we began making our “next-generation” Percepta Genomic Sequencing Classifier available to physicians, providing them with expanded lung cancer risk information that can further guide next steps for patients with suspicious lung nodules, as compared to the Percepta Bronchial Genomic Classifier.</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our Envisia Genomic Classifier, launched in October 2016, is the first commercial test to improve the diagnosis of IPF among patients with a suspected interstitial lung disease. In March 2019, we received final Medicare coverage for the Envisia classifier through the MolDX program, with an effective date of April 1, 2019.</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believe our Xpression Atlas platform can be transferred to our pulmonology indications, to further improve patient care and advance precision medicine in lung cancer and IPF.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currently exploring opportunities to utilize the same “field of injury” technology that powers our Percepta classifier to develop a nasal swab test that can enable earlier lung cancer detection - and ultimately help reduce lung cancer deaths. In October 2019, we announced preliminary clinical data showing for our noninvasive nasal swab classifier - the first test of its kind. The findings show that the novel genomic test can accurately classify lung cancer risk in patients with lung nodules so that these patients can obtain the prompt diagnosis and potential treatment they need or may be monitored noninvasively.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 significant and concentrated in a specific quarter. Spending on research and development, for both experiments and studies, may vary significantly by quarter depending on the timing of these various expenses.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 September 30, 2019, we had derived most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biopharmaceutical service customers in excess of 10% of total revenue and their related revenue as a percentage of total revenue were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32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160" w:type="dxa"/>
            <w:vAlign w:val="bottom"/>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Johnson and Johnson Services, Inc.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50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0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quarters.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may not recognize all revenue in the period in which the associated</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2018 and the first nine months of 2019, and expect to continue doing so in the remainder of 2019. We believe a majority of our research and development expenses in and after 2019 will be predominantly in support of our pipeline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nine months ended September 30, 2019, approximately 66%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ectPr>
          <w:pgSz w:w="11900" w:h="16838" w:orient="portrait"/>
          <w:cols w:equalWidth="0" w:num="1">
            <w:col w:w="11420"/>
          </w:cols>
          <w:pgMar w:left="240" w:top="118" w:right="239" w:bottom="0" w:gutter="0" w:footer="0" w:header="0"/>
        </w:sectPr>
      </w:pPr>
    </w:p>
    <w:bookmarkStart w:id="25" w:name="page26"/>
    <w:bookmarkEnd w:id="25"/>
    <w:p>
      <w:pPr>
        <w:ind w:firstLine="648"/>
        <w:spacing w:after="0" w:line="282" w:lineRule="auto"/>
        <w:rPr>
          <w:sz w:val="20"/>
          <w:szCs w:val="20"/>
          <w:color w:val="auto"/>
        </w:rPr>
      </w:pPr>
      <w:r>
        <w:rPr>
          <w:rFonts w:ascii="Times New Roman" w:cs="Times New Roman" w:eastAsia="Times New Roman" w:hAnsi="Times New Roman"/>
          <w:sz w:val="18"/>
          <w:szCs w:val="18"/>
          <w:color w:val="auto"/>
        </w:rPr>
        <w:t>Intangible asset amortization began in April 2015 when we launched the Percepta test. The related finite-lived intangible asset with a cost of $16.0 million, and a net book value of $11.2 million at September 30, 2019, is being amortized over 15 years, using the straight-line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is attributable to our borrowings under debt agreements and capital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consists primarily of sublease rental income and interest income from our cash held in interest bearing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60" w:firstLine="567"/>
        <w:spacing w:after="0" w:line="282" w:lineRule="auto"/>
        <w:rPr>
          <w:sz w:val="20"/>
          <w:szCs w:val="20"/>
          <w:color w:val="auto"/>
        </w:rPr>
      </w:pPr>
      <w:r>
        <w:rPr>
          <w:rFonts w:ascii="Times New Roman" w:cs="Times New Roman" w:eastAsia="Times New Roman" w:hAnsi="Times New Roman"/>
          <w:sz w:val="18"/>
          <w:szCs w:val="18"/>
          <w:color w:val="auto"/>
        </w:rPr>
        <w:t>Comparison of the three and nine months ended September 30, 2019 and 2018 (in thousands of dollars, except percentages and genomic classifiers reported):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2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4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6"/>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90,638</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24,380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43"/>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r>
      <w:tr>
        <w:trPr>
          <w:trHeight w:val="27"/>
        </w:trPr>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6"/>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39,508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6"/>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2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27,770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6"/>
              </w:rPr>
              <w:t>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97,568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85,434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12,134</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0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12,246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7"/>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w w:val="99"/>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236%</w:t>
            </w:r>
          </w:p>
        </w:tc>
      </w:tr>
      <w:tr>
        <w:trPr>
          <w:trHeight w:val="297"/>
        </w:trPr>
        <w:tc>
          <w:tcPr>
            <w:tcW w:w="32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jc w:val="center"/>
              <w:ind w:right="51"/>
              <w:spacing w:after="0"/>
              <w:rPr>
                <w:sz w:val="20"/>
                <w:szCs w:val="20"/>
                <w:color w:val="auto"/>
              </w:rPr>
            </w:pPr>
            <w:r>
              <w:rPr>
                <w:rFonts w:ascii="Times New Roman" w:cs="Times New Roman" w:eastAsia="Times New Roman" w:hAnsi="Times New Roman"/>
                <w:sz w:val="18"/>
                <w:szCs w:val="18"/>
                <w:color w:val="auto"/>
                <w:w w:val="97"/>
              </w:rPr>
              <w:t>(84)%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14,753</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320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Other Operating Data:</w:t>
            </w: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Genomic classifiers reported</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43"/>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6"/>
              </w:rPr>
              <w:t>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increased $7.5 million, or 32%, for the three months ended September 30, 2019 compared to the same period in 2018. This increase was primarily due to $4.3 million of biopharmaceutical service revenue, compared to $0.3 million in the prior year period. Revenue also increased from a 24% volume increase in genomic classifiers. In the three months ended September 30, 2019, we recognized $2.9 million and $0.5 million higher revenue for Afirma and Percepta, respectively, compared to the same period in 2018. We also make adjustments, as necessary, for tests accrued in prior quarters as collections are made if the amount we expect to ultimately collect changes. The adjustment for tests accrued in prior quarters increased revenue by $0.1 million and $0.5 million for the three months ended September 30, 2019 and 2018, respectively, a net decrease of $0.4 million between the periods.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increased $24.4 million, or 37%, for the nine months ended September 30, 2019 compared to the same period in 2018 primarily due to a 28% volume increase in genomic classifiers. In the nine months ended September 30, 2019, we recognized $12.7 million and $1.9 million higher revenue for Afirma and Percepta, respectively, compared to the same period in 2018. We also recognized $11.8 million of biopharmaceutical service revenue compared to $0.7 million in the same period in 2018. We also make adjustments, as necessary, for tests accrued in prior quarters as collections are made if the amount we expect to collect changes. The adjustment for tests accrued in prior quarters increased revenue by $0.8 million and $1.7 million for the nine months ended September 30, 2019 and 2018, respectively, a net decrease of $0.9 million between the periods.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2019 and 2018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8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Laboratory costs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14,685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Sample collection costs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fees and royalties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7"/>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57"/>
        </w:trPr>
        <w:tc>
          <w:tcPr>
            <w:tcW w:w="3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26,404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revenue increased $0.9 million, or 10%, for the three months ended September 30, 2019 compared to the same period in 2018. Reported genomic classifiers volume increased 24% and cytopathology volume decreased 4% for the three months ended September 30, 2019 compared to the same period in 2018. Laboratory costs were essentially flat for the three months ended September 30, 2019 compared to the same period in 2018, despite the increase in reported genomic classifiers volume, due to lower pricing on supplies and improved efficiencies following the completion of the transition from the Afirma GEC to Afirma GSC in the third quarter of 2018. The increase in sample collection costs was primarily related to the increase in the overall volume of samples received, partially offset by lower shipping costs from modifications to our collection kits. The increase in compensation expense was primarily due to an average laboratory headcount increase of 12% and an increase in average salaries. The decrease in license fees and royalties was due to the completed transition to the Afirma GSC in the third quarter of 2018, for which we do not pay license fees as we did in connection with the Afirma GEC.</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Cost of revenue increased $2.0 million, or 8%, for the nine months ended September 30, 2019 compared to the same period in 2018. Reported genomic classifiers volume increased 28% and cytopathology volume decreased 2% for the nine months ended September 30, 2019 compared to the same period in 2018. The increase in laboratory costs was primarily due to the increase in reported genomic classifiers volume, partially offset by lower pricing on supplies and improved efficiencies following the completion of the transition from the Afirma GEC to Afirma GSC in the third quarter of 2018. The increase in sample collection costs was primarily related to the increase in the overall volume of samples received, partially offset by lower shipping costs from modifications to our collection kits. The increase in compensation expense was primarily due to an average laboratory headcount increase of 13%. The decrease in license fees and royalties was due to the completed transition to the Afirma GSC in the third quarter of 2018, for which we do not pay license fees as we did in connection with the Afirma GEC. The increase in depreciation and amortization was from more equipment being placed into service. The increase in allocations was due to higher allocated costs from increased headcount.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2019 and 2018 is as follows (in thousands of dollars, except percentages):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3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1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1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1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3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10,408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$0.2 million, or 7%, for the three months ended September 30, 2019 compared to the same period in 2018. The increase in compensation expense was primarily due to higher stock-based compensation expense from the increase in our stock price and incentive compensation. The decrease in direct research and development primarily relates to higher clinical expenses in the prior year period..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decreased $1.3 million, or 11%, for the nine months ended September 30, 2019 compared to the same period in 2018. The increase in compensation expense was primarily due to higher stock-based compensation expense from the increase in our stock price and incentive compensation, partially offset by severance costs incurred in the nine months ended September 30, 2018 that were not incurred in the current year period. The decrease in direct research and development primarily relates to one-time sequencing costs in the second quarter of 2018 associated with research and development projects. The decrease in professional fees was primarily due to lower consulting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2019 and 2018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marketing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57"/>
        </w:trPr>
        <w:tc>
          <w:tcPr>
            <w:tcW w:w="3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39,508</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$3.0 million, or 30%, for the three months ended September 30, 2019 compared to the same period in 2018. The increase in compensation expense was primarily due to an average headcount increase of 39%, higher incentive compensation and higher stock-based compensation expense. The increase in direct marketing expense was due to higher general marketing expenditures. The increase in other expenses was primarily due to travel and entertainment expenses related to the increase in headcount, as was the increase in allocations.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and marketing expense increased $8.3 million, or 26%, for the nine months ended September 30, 2019 compared to the same period in 2018. The increase in compensation expense was primarily due to an average headcount increase of 40% and higher stock-based compensation expense. The increase in direct marketing expense was due to higher general marketing expenditures. The increase in professional fees was due to higher consulting expenses. The increase in other expenses was primarily due to travel and entertainment expenses related to the increase in headcount, as was the increase in allocations.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2019 and 2018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Borders>
              <w:bottom w:val="single" w:sz="8" w:color="auto"/>
            </w:tcBorders>
          </w:tcPr>
          <w:p>
            <w:pPr>
              <w:spacing w:after="0"/>
              <w:rPr>
                <w:sz w:val="16"/>
                <w:szCs w:val="16"/>
                <w:color w:val="auto"/>
              </w:rPr>
            </w:pPr>
          </w:p>
        </w:tc>
      </w:tr>
      <w:tr>
        <w:trPr>
          <w:trHeight w:val="264"/>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5"/>
        </w:trPr>
        <w:tc>
          <w:tcPr>
            <w:tcW w:w="3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43"/>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57"/>
        </w:trPr>
        <w:tc>
          <w:tcPr>
            <w:tcW w:w="3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20,448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17,318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$0.9 million, or 15%, for the three months ended September 30, 2019 compared to the same period in 2018. The increase in compensation expense was primarily due to higher stock-based compensation expense from the increase in our stock price. The increase in other expenses was primarily due to information technology costs incurred to support the increase in our headcount.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$3.1 million, or 18%, for the nine months ended September 30, 2019 compared to the same period in 2018. The increase in compensation expense was primarily due to higher stock-based compensation expense from the increase in our stock price. The increase in professional fees was primarily due to higher legal expenses. The increase in other expenses was primarily due to information technology costs incurred to support the increase in our headcount.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$440,000, or 88%, for the three months ended September 30, 2019 compared to the same period in 2018, mainly due to the prepayments of $12.5 million and $12.4 million of the principal amount of our Term Loan Advance in January 2019 and May 2019, respectively. The average Term Loan Advance interest rate was 6.60% and 6.27% for the three months ended September 30, 2019 and 2018,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$831,000, or 58%, for the nine months ended September 30, 2019 compared to the same period in 2018, mainly due to the prepayments of $12.5 million and $12.4 million of the principal amount of our Term Loan Advance in January 2019 and May 2019, respectively. The average Term Loan Advance interest rate was 6.94% and 6.03% for the nine months ended September 30, 2019 and 2018,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54"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8"/>
          <w:szCs w:val="18"/>
          <w:color w:val="auto"/>
        </w:rPr>
        <w:t>Other income, net, increased $758,000 for the three months ended September 30, 2019 compared to the same period in 2018 primarily due to higher interest income from our cash and cash equivalents, which had higher balances in 2019.</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$1.7 million for the nine months ended September 30, 2019 compared to the same period in 2018 primarily due to higher interest income from our cash and cash equivalents, which had higher balances in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inception through September 30, 2019, we have been financed primarily through net proceeds from the sale of our equity securities and borrowings under our credit facilities. We have incurred net losses since our inception. For the nine months ended September 30, 2019, we had a net loss of $5.1 million, and as of September 30, 2019, we had an accumulated deficit of $239.2 million. We expect to incur additional losses for the remainder of 2019 and potentially in future years.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existing cash and cash equivalents of $195.7 million as of September 30, 2019,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6 to our unaudited condensed financial statements included in this Quarterly Report on Form 10-Q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secure additional funding when needed, we may have to delay, reduce the scope of or eliminate one or more research and development programs or selling and marketing initiatives, or forgo potential acquisitions or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7, 2019, we issued and sold 6,325,000 shares of common stock in a registered public offering, including 825,000 shares issued and sold upon the underwriters’ exercise in full of their option to purchase additional shares, at a price to the public of $23.25 per share. Our net proceeds from the offering were approximately $137.8 million, after deducting underwriting discounts and commissions and offering expenses of $9.2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30, 2018, we issued and sold 5,750,000 shares of common stock in a registered public offering, including shares issued and sold upon the underwriters’ exercise in full of their option to purchase an additional 750,000 shares, at a price to the public of $10.25 per share. Our net proceeds from the offering were approximately $55.0 million, after deducting underwriting discounts and commissions and offering expenses of $3.9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average Term Loan Advance interest rate for the nine months ended September 30, 2019 was 6.94%.</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prepay the outstanding principal amount under the Term Loan Advance plus accrued and unpaid interest and, if the Term Loan Advance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Advance in the amount of $1.2 million is due upon the earlier of the maturity date of the Term Loan Advance or its payment in full. In January 2019 and May 2019, we prepaid $12.5 million and $12.4 million of the principal amount of the Term Loan Advance, respectively, and did not incur any prepayment premium as we did not repay the Term Loan Advance in full. These prepayments cover scheduled principal payments from November 2019 to September 2022.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September 30, 2019, the principal balance outstanding was $0.1 million and we were in compliance with our debt covenants.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obligations under the Loan and Security Agreement are secured by substantially all of our assets (excluding intellectual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subject to certain customary exceptions.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2019 and 2018 (in thousands of dollars):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w:t>
            </w:r>
          </w:p>
        </w:tc>
      </w:tr>
      <w:tr>
        <w:trPr>
          <w:trHeight w:val="243"/>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124,322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57,670</w:t>
            </w:r>
          </w:p>
        </w:tc>
      </w:tr>
      <w:tr>
        <w:trPr>
          <w:trHeight w:val="27"/>
        </w:trPr>
        <w:tc>
          <w:tcPr>
            <w:tcW w:w="8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2019 was $5.0 million. The net loss of $5.1 million includes non-cash charges of $7.0 million of stock-based compensation expense and $2.8 million of depreciation and amortization, which includes $0.8 million of intangible asset amortization. Cash used as a result of changes in operating assets and liabilities was $9.9 million, primarily comprised of an increase in accounts receivable of $10.4 million and increase in supplies of $3.2 million, partially offset by increases in accounts payable and accrued liabilities and deferred rent of $2.5 million and $1.3 million, respectively.</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2018 was $12.3 million. The net loss of $19.9 million includes non-cash charges of $4.4 million of stock-based compensation expense and $3.0 million of depreciation and amortization, which includes $0.8 million of intangible asset amortization. Cash provided as a result of changes in operating assets and liabilities was flat, comprised of a decrease in supplies of $1.9 million, an increase in accrued liabilities and deferred rent of $0.8 million and decrease in accounts receivable of $0.5 million, offset by a decrease in accounts payable of $2.6 million and an increase in other assets of $0.5 million.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2019 was $1.6 million for the acquisition of property and equipment, net of proceeds from the disposal of property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2018 was $1.4 million for the acquisition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2019 was $124.3 million, consisting of $137.8 million in net proceeds from the issuance of common stock in a public offering in May 2019 and $11.6 million in proceeds from the exercise of options to purchase our common stock and purchase of stock under our Employee Stock Purchase Plan, or ESPP, during the period, partially offset by $24.9 million of loan principal repayments and finance lease payments of $0.2 million.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2018 was $57.7 million, consisting of $55.0 million in net proceeds from the issuance of common stock in a public offering in the third quarter of 2018, $2.4 million in proceeds from the exercise of options to purchase our common stock and purchase of stock under our ESPP, and $0.4 million in proceeds from a legal settlement, partially offset by capital lease payments of $0.2 million during the period.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2019 and May 2019, we prepaid $12.5 million and $12.4 million of the principal amount of the Term Loan Advance, respectively, under our Loan and Security Agreement. As of September 30, 2019, future principal and end-of-term debt obligation payments due under the Loan and Security Agreement are limited to $1.3 million in 2022. There were no other material changes during the interim period in the contractual obligations presented in our Form 10-K for the year ended December 31, 2018 filed with the Securities and Exchange Commission on February 25,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is effective for interim and annual periods beginning after December 15, 2018. Additionally,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We elected this transition method and adopted ASC 842 on January 1, 2019 and as a result, we recorded operating lease right-of-use ("ROU") assets of $9.8 million, including offsetting deferred rent of $4.3 million, along with the associated operating lease liabilities of $14.1 million. On January 1, 2019, we had finance lease ROU assets of $0.8 million and associated finance lease liabilities of $0.3 million for leases we classified as finance leases prior to the adoption of ASC 842. The adoption of ASC 842 had an immaterial impact on our condensed statement of operations and comprehensive loss, condensed statement of stockholders' equity and condensed statement of cash flows for the three-month period ended September 30, 2019 and nine-month period ended September 30, 2019. In addition, we elected the package of practical expedients permitted under the transition guidance within the new standard which allowed us to carry forward the historical lease classification. Additional information and disclosures required by this new standard are contained in Note 5, Commitments and Contingencies, in Part I of this Quarterly Report on Form 10-Q.</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This ASU requires measurement and recognition of expected credit losses for financial assets. This guidance will become effective for us beginning January 1, 2020 with early adoption permitted. We are currently evaluating the potential effect of this standard on our financial statements.</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November 2018, the FASB issued ASU No.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We are currently evaluating the potential effect of this standard on our financial statements.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$195.7 million as of September 30, 2019 which include bank deposits, money market funds and overnight reverse repurchase agreements. Such interest-bearing instruments carry a degree of risk; however, a hypothetical 10% change in interest rates during any of the periods presented would not have had a material impact on our unaudited interim condensed financial statements. Under our Loan and Security Agreement, we pay interest on any outstanding balances under this agreement based on a variable market rate. A significant change in these market rates may adversely affect our operating results.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identified in connection with the evaluation identified above that occurred during the three months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expect to incur net losses for the foreseeable future and may never achieve or sustain profitability.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For the nine months ended September 30, 2019, we had a net loss of $5.1 million and as of September 30, 2019, we had an accumulated deficit of $239.2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Percepta and Envisia classifiers and the development of additional tests. We may never achieve or sustain profitability, and our failure to achieve and sustain profitability in the future could cause the market price of our common stock to decline.</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We also launched our Envisia test to help improve the diagnosis of interstitial lung disease, specifically IPF, and began recognizing revenue from Envisia in the second quarter of 2019.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and Envisia tests, or develop and commercialize other solutions, our revenue and our ability to achieve and sustain profitability would be impaired, and the market price of our common stock could decline.</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was 24% and 11%, respectively, of our revenue for the nine months ended September 30, 2019, compared with 28% and 12%, respectively, for the nine months ended September 30, 2018. Biopharmaceutical service revenue from Johnson and Johnson Servcies, Inc. was 12% and zero percent, respectively, of our revenue for the nine months ended September 30, 2019 and September 30, 2018, respectively.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 Local Coverage Determination, or LCD.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submitted the dossier of clinical evidence needed to obtain Medicare coverage for the Envisia Genomic Classifier through the MolDX technical assessment process in 2018, and received final Medicare coverage for the classifier in the first quarter of 2019, with an effective date of April 1,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 five-year rotational basis, Medicare requests bids for its regional MAC services. Any future changes in the MAC processing or coding for Medicare claims for the Afirma, Percepta or Envisia classifiers could result in a change in the coverage or reimbursement rates for such products, or the loss of coverage, and could also result in increased difficulties in obtaining and maintaining coverage for future products.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This payment rate will be effective through December 31, 2020. The next data reporting period will be in 2020 for final payments made between January 1 and June 30, 2019. The volume-weighted median of these private payer rates will set the Medicare payment rate for the Afirma classifier from January 1, 2021 through December 31, 2023. There can be no assurance that the rate will not decrease from $3,600 during this or a subsequent reporting cycle under PAMA.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submit claims to Medicare for Percepta using an unlisted code and are being paid at the rate of $3,220 under the MolDX program. A specific CPT code assigned to Percepta may be required to go through the national payment determination process, and there can be no assurance that the Medicare payment rate the test receives through this process will not be lower than the current payment rate for Percepta. There can also be no assurance that the Medicare payment rate for Percepta will not be reduced when it is set based on volume-weighted median of private payer rates when we are required to report those rates under PAMA.</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submit claims to Medicare for Envisia using an unlisted code under the MolDX program. A specific CPT code assigned to Envisia may be required to go through the national payment determination process, and there can be no assurance that the Medicare payment rate the test receives through this process will not be lower than the current payment rate for Envisia. There can also be no assurance that the Medicare payment rate for Envisia will not be reduced when it is set based on volume-weighted median of private payer rates when we are required to report those rates under PAMA.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is a decrease in the Medicare payment rate for our tests, our revenue from Medicare will decrease and the payment rates for some of our commercial payers may also decrease if they tie their allowable rates to the Medicare rate. These changes could have an adverse effect on our business, financial condition and results of operations.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 or increases in the difficulty of achieving payment could have a negative effect on our revenue.</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focus substantial resources on increasing adoption, coverage and reimbursement for the Afirma, Percepta, and Envisia classifiers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 for our tests, the payment rates for some of our commercial payers may also decrease if they tie their allowable rates to the Medicare rate.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the Clinical Laboratory Improvement Amendments of 1988, or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w:t>
      </w:r>
    </w:p>
    <w:p>
      <w:pPr>
        <w:spacing w:after="0" w:line="3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inspections of our clinical reference laboratories. As discussed in our Annual Report on Form 10-K for the year ended December 31, 2018 in the section titled “Business-Regulation-Clinical Laboratory Improvement Act of 1988, or CLIA,” following a routine July 2018 survey of our Austin laboratory location, in September 2018, CMS determined that because we only collected and processed patient specimens and Thyroid Cytopathology Partners, or TCP, rather than us, performed the patient testing from the Austin laboratory, we did not require a CLIA certificate for the laboratory. As a result, CMS inactivated our Austin laboratory’s CLIA number effective July 2018. While CMS recently reinstated our CLIA number effective as of February 2019, we reversed $0.6 million in previously recognized revenue associated with claims for cytopathology diagnostic services furnished after the date of the July 2018 survey and prior to the reinstatement date. If we in the future fail to maintain CLIA certificates in our South San Francisco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Percepta and Envisia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how we recognize revenue, our quarterly operating results are likely to fluctuate.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commercial tests, our business could suffer.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through 2019, the excise tax is scheduled to be restored in 2020.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The next data reporting period will be in 2020 for final payments made between January 1 and June 30, 2019. The volume-weighted median of these private payer rates will set the Medicare payment rate for the Afirma classifier from January 1, 2021 through December 31, 2023. There can be no assurance that the payment rate for Afirma will not decrease in the future or that the payment rates for Percepta or Envisia will not be adversely affected by the PAMA law and regulations.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physicians to enroll in alternative payment methods. At this time, we do not know whether these changes to the physician payment systems will have any impact on orders or payments for our tests.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Congress is considering legislation to limit balance billing of patients who receive services from out-of-network providers (including laboratories) at in-network facilities and to set a methodology for payment of the out-of-network provider in such circumstances. This legislation, if enacted, could limit our ability to achieve payment in full for our testing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should be covered by this policy. Accordingly, we bill Medicare for these tests when we perform them on specimens collected from hospital outpatients and meet the conditions set forth in CMS's revised billing rules.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CY 2020 Hospital Outpatient Prospective Payment System Proposed Rule, CMS solicited comments on potential revisions to these billing rules. If finalized, these revisions could impact our ability to bill Medicare directly for our Afirma, Percepta, and Envisia classifiers when performed on specimens collected from hospital outpatients. These changes, or others that CMS could make in the future, could negatively impact our business.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It also suggests a four-year phased implementation of the premarket review requirements for some types of tests. In a December 2018 statement, the FDA said that there is a need for “a unified approach to the regulation of in vitro clinical tests to protect patient safety, support innovation, and keep pace with</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rapidly evolving technology that’s helping us find new treatments for disease.” The FDA listed key principles of an approach it would support.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We cannot predict whether this draft bill will become legislation and cannot quantify the effect of this draft bill on our business.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labeled for research-use 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or achieve profitability.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Oncocyte Corporation and Biodesix, Inc. As we expand our portfolio of tests to address clinical questions across the clinical care continuum, we may also face competition from companies focused on screening at-risk patients for cancer or companies informing treatment decisions such as Guardant Health or GRAIL. Competition could also emerge using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alternative samples, such as blood, urine or sputum. However, such “liquid biopsies” are currently being used to gauge risk of recurrence or response to treatment in patients already diagnosed with lung cancer.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members of our senior management team or our inability to attract and retain key personnel could adversely affect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 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 or retaining qualified salespeople, which could cause a delay or decline in the rate of adoption of our tests.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to be paid.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25" w:lineRule="exact"/>
        <w:rPr>
          <w:rFonts w:ascii="Times New Roman" w:cs="Times New Roman" w:eastAsia="Times New Roman" w:hAnsi="Times New Roman"/>
          <w:sz w:val="18"/>
          <w:szCs w:val="18"/>
          <w:color w:val="auto"/>
        </w:rPr>
      </w:pPr>
    </w:p>
    <w:p>
      <w:pPr>
        <w:ind w:left="980" w:hanging="324"/>
        <w:spacing w:after="0" w:line="329" w:lineRule="auto"/>
        <w:tabs>
          <w:tab w:leader="none" w:pos="10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 and other government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which can lead to delays in payers adjudicating our claims or denying payment altogether. Moreover,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recently adopted an update to its Coding Policy Manual effective January 1, 2019, to limit instances when multiple codes may be billed for molecular pathology testing. Such coding policy changes may negatively affect our revenues and cash flow.</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obtaining payment for our tests, could negatively affect our revenue and cash flow, our ability to achieve profitability, and the consistency and comparability of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infrastructure to market and sell new products.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product development efforts may fail for many reasons, including:</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enter into new clinical study collaborations, our product development and subsequent commercialization could be delayed.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previously acquired companies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62" w:lineRule="exact"/>
        <w:rPr>
          <w:sz w:val="20"/>
          <w:szCs w:val="20"/>
          <w:color w:val="auto"/>
        </w:rPr>
      </w:pPr>
    </w:p>
    <w:p>
      <w:pPr>
        <w:jc w:val="both"/>
        <w:ind w:left="980" w:hanging="324"/>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 certificate;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61"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76"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84" w:lineRule="exact"/>
        <w:rPr>
          <w:sz w:val="20"/>
          <w:szCs w:val="20"/>
          <w:color w:val="auto"/>
        </w:rPr>
      </w:pPr>
    </w:p>
    <w:p>
      <w:pPr>
        <w:ind w:lef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76"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where required for the use of our solutions in various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or errors and omissions liability, we could face substantial liabilities that exceed our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perform all of the Afirma, Percepta and Envisia genomic classifier testing at our laboratory in South San Francisco, California, near major earthquake faults known for seismic activity.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6"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we are subject to various state laws, including the California Consumer Privacy Act, or CCPA, which was enacted in California in 2018 and components of which are scheduled to go into effect on January 1, 2020. The CCPA will, among other things, require covered companies to provide disclosures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California consumers concerning the collection and sale of personal information, and will give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As a result, we may need to modify the way we treat such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effectively, our business would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25 issued patents that expire between 2029 and 2032 related to methods used in the Afirma diagnostic platform, in addition to 17 pending U.S. utility patent applications and one Patent Cooperation Treaty, or PCT, application. Some of these U.S. utility patent applications have pending foreign counterparts. We also exclusively licensed intellectual property, including rights to six issued patents that will expire between 2030 and 2035, and two pending U.S. utility patent applications in the thyroid space that would expire between 2030 and 2033 once issued, related to methods that are used in the Afirma diagnostic test, some of which have foreign counterparts. In the lung diagnostic space, we have exclusively licensed intellectual property rights to 13 pending patent applications and eight issued patents. Patents issuing from the licensed portfolio will expire between 2024 and 2028. In addition, we own a pending PCT patent application, a pending U.S. utility patent application, three U.S. provisional patent applications, and pending foreign counterpart patent applications in Australia, Canada, China, Europe, Japan, and South Korea related to our Percepta test. We also own one U.S. patent application and one counterpart European patent application related to another lung disease, and four pending U.S. patent applications, one granted patent abroad and ten patent applications abroad related to Envisia. Any patents granted from our current lung cancer patent applications will expire no earlier than 2035 and those from the interstitial lung disease patent applications will expire no earlier than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field that may affect the patentability of certain inventions or discoveries, including opinions that may affect the patentability of methods for analyzing or comparing nucleic acids.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products, our competitive position could be adversely affected, as could our business. Both the patent application process and the process of managing patent disputes can be time consuming and expensive.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may never achieve profitability. As of December 31, 2018, we had net operating loss, or NOL, carryforwards of approximately $210.7 million, $56.1 million and $36.6 million available to reduce future taxable income, if any, for federal, California and other state income tax purposes,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financial statements during the period in which any impairment of our goodwill or intangible assets is determined, that would negatively affect our operating results.</w:t>
      </w:r>
    </w:p>
    <w:p>
      <w:pPr>
        <w:spacing w:after="0" w:line="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3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statements are subject to change and if our estimates or judgments relating to our critical accounting policies prove to be incorrect, our operating results could be adversely affected.</w:t>
      </w:r>
    </w:p>
    <w:p>
      <w:pPr>
        <w:spacing w:after="0" w:line="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ceased being an emerging growth company on December 31, 2018, and are now required to include an attestation report from our independent registered public accounting firm on the effectiveness of our internal control over financial reporting annually.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62" w:lineRule="exact"/>
        <w:rPr>
          <w:sz w:val="20"/>
          <w:szCs w:val="20"/>
          <w:color w:val="auto"/>
        </w:rPr>
      </w:pPr>
    </w:p>
    <w:p>
      <w:pPr>
        <w:ind w:left="5620" w:right="320" w:hanging="4964"/>
        <w:spacing w:after="0" w:line="814" w:lineRule="auto"/>
        <w:tabs>
          <w:tab w:leader="none" w:pos="9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 52</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60" w:type="dxa"/>
            <w:vAlign w:val="bottom"/>
            <w:gridSpan w:val="4"/>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40" w:type="dxa"/>
            <w:vAlign w:val="bottom"/>
            <w:tcBorders>
              <w:top w:val="single" w:sz="8" w:color="auto"/>
            </w:tcBorders>
            <w:gridSpan w:val="2"/>
          </w:tcPr>
          <w:p>
            <w:pPr>
              <w:spacing w:after="0"/>
              <w:rPr>
                <w:sz w:val="17"/>
                <w:szCs w:val="17"/>
                <w:color w:val="auto"/>
              </w:rPr>
            </w:pPr>
          </w:p>
        </w:tc>
        <w:tc>
          <w:tcPr>
            <w:tcW w:w="400" w:type="dxa"/>
            <w:vAlign w:val="bottom"/>
            <w:tcBorders>
              <w:top w:val="single" w:sz="8" w:color="auto"/>
            </w:tcBorders>
          </w:tcPr>
          <w:p>
            <w:pPr>
              <w:jc w:val="right"/>
              <w:spacing w:after="0" w:line="201" w:lineRule="exact"/>
              <w:rPr>
                <w:rFonts w:ascii="Times New Roman" w:cs="Times New Roman" w:eastAsia="Times New Roman" w:hAnsi="Times New Roman"/>
                <w:sz w:val="18"/>
                <w:szCs w:val="18"/>
                <w:color w:val="0000FF"/>
                <w:w w:val="93"/>
              </w:rPr>
            </w:pPr>
            <w:hyperlink w:anchor="page60">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hyperlink>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180" w:type="dxa"/>
            <w:vAlign w:val="bottom"/>
            <w:tcBorders>
              <w:top w:val="single" w:sz="8" w:color="auto"/>
            </w:tcBorders>
            <w:gridSpan w:val="6"/>
          </w:tcPr>
          <w:p>
            <w:pPr>
              <w:spacing w:after="0" w:line="201" w:lineRule="exact"/>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Certification of Principal Executive Officer pursuant to Rules 13a-14(a) and 15d-14(a), as adopted pursuant to Section 302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w:anchor="page60">
              <w:r>
                <w:rPr>
                  <w:rFonts w:ascii="Times New Roman" w:cs="Times New Roman" w:eastAsia="Times New Roman" w:hAnsi="Times New Roman"/>
                  <w:sz w:val="18"/>
                  <w:szCs w:val="18"/>
                  <w:color w:val="0000FF"/>
                  <w:w w:val="99"/>
                </w:rPr>
                <w:t>the Sarbanes-Oxley Act of 2002</w:t>
              </w:r>
            </w:hyperlink>
          </w:p>
        </w:tc>
        <w:tc>
          <w:tcPr>
            <w:tcW w:w="6700" w:type="dxa"/>
            <w:vAlign w:val="bottom"/>
            <w:tcBorders>
              <w:top w:val="single" w:sz="8" w:color="0000FF"/>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3"/>
              </w:rPr>
            </w:pPr>
            <w:hyperlink w:anchor="page61">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61">
              <w:r>
                <w:rPr>
                  <w:rFonts w:ascii="Times New Roman" w:cs="Times New Roman" w:eastAsia="Times New Roman" w:hAnsi="Times New Roman"/>
                  <w:sz w:val="18"/>
                  <w:szCs w:val="18"/>
                  <w:color w:val="0000FF"/>
                  <w:w w:val="99"/>
                </w:rPr>
                <w:t>Certification of Principal Financial Officer pursuant to Rule 13a-14(a)/15d-14(a), as adopted pursuant to Section 302 of the</w:t>
              </w:r>
            </w:hyperlink>
          </w:p>
        </w:tc>
        <w:tc>
          <w:tcPr>
            <w:tcW w:w="3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gridSpan w:val="6"/>
          </w:tcPr>
          <w:p>
            <w:pPr>
              <w:spacing w:after="0" w:line="196" w:lineRule="exact"/>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color w:val="0000FF"/>
                </w:rPr>
                <w:t>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jc w:val="right"/>
              <w:spacing w:after="0"/>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6"/>
          </w:tcPr>
          <w:p>
            <w:pPr>
              <w:spacing w:after="0"/>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Certification of Principal Executive Officer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jc w:val="right"/>
              <w:spacing w:after="0"/>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6"/>
          </w:tcPr>
          <w:p>
            <w:pPr>
              <w:spacing w:after="0"/>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Certification of Principal Financial Officer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0"/>
        </w:trPr>
        <w:tc>
          <w:tcPr>
            <w:tcW w:w="13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3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3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3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3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222885</wp:posOffset>
            </wp:positionV>
            <wp:extent cx="8147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40" w:lineRule="exact"/>
        <w:rPr>
          <w:sz w:val="20"/>
          <w:szCs w:val="20"/>
          <w:color w:val="auto"/>
        </w:rPr>
      </w:pPr>
    </w:p>
    <w:p>
      <w:pPr>
        <w:ind w:left="1840" w:hanging="1400"/>
        <w:spacing w:after="0"/>
        <w:tabs>
          <w:tab w:leader="none" w:pos="1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1840" w:right="500" w:hanging="1400"/>
        <w:spacing w:after="0" w:line="261" w:lineRule="auto"/>
        <w:tabs>
          <w:tab w:leader="none" w:pos="1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240" w:top="118" w:right="6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22,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Mark Ho</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2019;</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22, 2019</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Kennedy, certify that:</w:t>
      </w:r>
    </w:p>
    <w:p>
      <w:pPr>
        <w:spacing w:after="0" w:line="225" w:lineRule="exact"/>
        <w:rPr>
          <w:sz w:val="20"/>
          <w:szCs w:val="20"/>
          <w:color w:val="auto"/>
        </w:rPr>
      </w:pPr>
    </w:p>
    <w:p>
      <w:pPr>
        <w:ind w:left="1340" w:hanging="684"/>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2019;</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22, 2019</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Keith Kennedy</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2019,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000" w:hanging="695"/>
        <w:spacing w:after="0"/>
        <w:tabs>
          <w:tab w:leader="none" w:pos="2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22, 2019</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2019,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2000" w:hanging="695"/>
        <w:spacing w:after="0"/>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October 22, 2019</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Keith Kennedy</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Roman"/>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lvl w:ilvl="1">
      <w:lvlJc w:val="left"/>
      <w:lvlText w:val="\endash "/>
      <w:numFmt w:val="bullet"/>
      <w:start w:val="1"/>
    </w:lvl>
  </w:abstractNum>
  <w:abstractNum w:abstractNumId="10">
    <w:nsid w:val="79838CB2"/>
    <w:multiLevelType w:val="hybridMultilevel"/>
    <w:lvl w:ilvl="0">
      <w:lvlJc w:val="left"/>
      <w:lvlText w:val="•"/>
      <w:numFmt w:val="bullet"/>
      <w:start w:val="1"/>
    </w:lvl>
    <w:lvl w:ilvl="1">
      <w:lvlJc w:val="left"/>
      <w:lvlText w:val="\endash "/>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3"/>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lowerLetter"/>
      <w:start w:val="3"/>
    </w:lvl>
  </w:abstractNum>
  <w:abstractNum w:abstractNumId="30">
    <w:nsid w:val="5577F8E1"/>
    <w:multiLevelType w:val="hybridMultilevel"/>
    <w:lvl w:ilvl="0">
      <w:lvlJc w:val="left"/>
      <w:lvlText w:val="%1."/>
      <w:numFmt w:val="decimal"/>
      <w:start w:val="5"/>
    </w:lvl>
    <w:lvl w:ilvl="1">
      <w:lvlJc w:val="left"/>
      <w:lvlText w:val="%2)"/>
      <w:numFmt w:val="lowerLetter"/>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3"/>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2"/>
    </w:lvl>
  </w:abstractNum>
  <w:abstractNum w:abstractNumId="35">
    <w:nsid w:val="7724C67E"/>
    <w:multiLevelType w:val="hybridMultilevel"/>
    <w:lvl w:ilvl="0">
      <w:lvlJc w:val="left"/>
      <w:lvlText w:val="%1)"/>
      <w:numFmt w:val="lowerLetter"/>
      <w:start w:val="3"/>
    </w:lvl>
  </w:abstractNum>
  <w:abstractNum w:abstractNumId="36">
    <w:nsid w:val="5C482A97"/>
    <w:multiLevelType w:val="hybridMultilevel"/>
    <w:lvl w:ilvl="0">
      <w:lvlJc w:val="left"/>
      <w:lvlText w:val="%1."/>
      <w:numFmt w:val="decimal"/>
      <w:start w:val="5"/>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2019-12-28T05:20:36Z</dcterms:created>
  <dcterms:modified xsi:type="dcterms:W3CDTF">2019-12-28T05:20:36Z</dcterms:modified>
</cp:coreProperties>
</file>