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880" w:right="1740" w:hanging="3800"/>
        <w:spacing w:after="0" w:line="438" w:lineRule="auto"/>
        <w:tabs>
          <w:tab w:leader="none" w:pos="38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200" w:lineRule="exact"/>
        <w:rPr>
          <w:sz w:val="24"/>
          <w:szCs w:val="24"/>
          <w:color w:val="auto"/>
        </w:rPr>
      </w:pPr>
    </w:p>
    <w:p>
      <w:pPr>
        <w:spacing w:after="0" w:line="206" w:lineRule="exact"/>
        <w:rPr>
          <w:sz w:val="24"/>
          <w:szCs w:val="24"/>
          <w:color w:val="auto"/>
        </w:rPr>
      </w:pPr>
    </w:p>
    <w:p>
      <w:pPr>
        <w:ind w:left="14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376"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5320" w:type="dxa"/>
            <w:vAlign w:val="bottom"/>
          </w:tcPr>
          <w:p>
            <w:pPr>
              <w:jc w:val="center"/>
              <w:ind w:right="1596"/>
              <w:spacing w:after="0"/>
              <w:rPr>
                <w:sz w:val="20"/>
                <w:szCs w:val="20"/>
                <w:color w:val="auto"/>
              </w:rPr>
            </w:pPr>
            <w:r>
              <w:rPr>
                <w:rFonts w:ascii="Arial" w:cs="Arial" w:eastAsia="Arial" w:hAnsi="Arial"/>
                <w:sz w:val="18"/>
                <w:szCs w:val="18"/>
                <w:b w:val="1"/>
                <w:bCs w:val="1"/>
                <w:color w:val="auto"/>
                <w:w w:val="90"/>
              </w:rPr>
              <w:t>Commission file number 001-36156</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76"/>
              <w:spacing w:after="0"/>
              <w:rPr>
                <w:sz w:val="20"/>
                <w:szCs w:val="20"/>
                <w:color w:val="auto"/>
              </w:rPr>
            </w:pPr>
            <w:r>
              <w:rPr>
                <w:rFonts w:ascii="Arial" w:cs="Arial" w:eastAsia="Arial" w:hAnsi="Arial"/>
                <w:sz w:val="18"/>
                <w:szCs w:val="18"/>
                <w:color w:val="auto"/>
              </w:rPr>
              <w:t>________________________________</w:t>
            </w:r>
          </w:p>
        </w:tc>
      </w:tr>
      <w:tr>
        <w:trPr>
          <w:trHeight w:val="481"/>
        </w:trPr>
        <w:tc>
          <w:tcPr>
            <w:tcW w:w="2020" w:type="dxa"/>
            <w:vAlign w:val="bottom"/>
          </w:tcPr>
          <w:p>
            <w:pPr>
              <w:spacing w:after="0"/>
              <w:rPr>
                <w:sz w:val="24"/>
                <w:szCs w:val="24"/>
                <w:color w:val="auto"/>
              </w:rPr>
            </w:pPr>
          </w:p>
        </w:tc>
        <w:tc>
          <w:tcPr>
            <w:tcW w:w="5320" w:type="dxa"/>
            <w:vAlign w:val="bottom"/>
          </w:tcPr>
          <w:p>
            <w:pPr>
              <w:jc w:val="center"/>
              <w:ind w:right="1596"/>
              <w:spacing w:after="0"/>
              <w:rPr>
                <w:sz w:val="20"/>
                <w:szCs w:val="20"/>
                <w:color w:val="auto"/>
              </w:rPr>
            </w:pPr>
            <w:r>
              <w:rPr>
                <w:rFonts w:ascii="Arial" w:cs="Arial" w:eastAsia="Arial" w:hAnsi="Arial"/>
                <w:sz w:val="29"/>
                <w:szCs w:val="29"/>
                <w:b w:val="1"/>
                <w:bCs w:val="1"/>
                <w:color w:val="auto"/>
              </w:rPr>
              <w:t>VERACYTE, INC.</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96"/>
              <w:spacing w:after="0"/>
              <w:rPr>
                <w:sz w:val="20"/>
                <w:szCs w:val="20"/>
                <w:color w:val="auto"/>
              </w:rPr>
            </w:pPr>
            <w:r>
              <w:rPr>
                <w:rFonts w:ascii="Arial" w:cs="Arial" w:eastAsia="Arial" w:hAnsi="Arial"/>
                <w:sz w:val="18"/>
                <w:szCs w:val="18"/>
                <w:color w:val="auto"/>
              </w:rPr>
              <w:t>________________________________</w:t>
            </w:r>
          </w:p>
        </w:tc>
      </w:tr>
      <w:tr>
        <w:trPr>
          <w:trHeight w:val="540"/>
        </w:trPr>
        <w:tc>
          <w:tcPr>
            <w:tcW w:w="2020" w:type="dxa"/>
            <w:vAlign w:val="bottom"/>
          </w:tcPr>
          <w:p>
            <w:pPr>
              <w:jc w:val="center"/>
              <w:ind w:right="202"/>
              <w:spacing w:after="0"/>
              <w:rPr>
                <w:sz w:val="20"/>
                <w:szCs w:val="20"/>
                <w:color w:val="auto"/>
              </w:rPr>
            </w:pPr>
            <w:r>
              <w:rPr>
                <w:rFonts w:ascii="Arial" w:cs="Arial" w:eastAsia="Arial" w:hAnsi="Arial"/>
                <w:sz w:val="18"/>
                <w:szCs w:val="18"/>
                <w:b w:val="1"/>
                <w:bCs w:val="1"/>
                <w:color w:val="auto"/>
                <w:w w:val="93"/>
              </w:rPr>
              <w:t>Delaware</w:t>
            </w:r>
          </w:p>
        </w:tc>
        <w:tc>
          <w:tcPr>
            <w:tcW w:w="5320" w:type="dxa"/>
            <w:vAlign w:val="bottom"/>
          </w:tcPr>
          <w:p>
            <w:pPr>
              <w:jc w:val="center"/>
              <w:ind w:left="4176"/>
              <w:spacing w:after="0"/>
              <w:rPr>
                <w:sz w:val="20"/>
                <w:szCs w:val="20"/>
                <w:color w:val="auto"/>
              </w:rPr>
            </w:pPr>
            <w:r>
              <w:rPr>
                <w:rFonts w:ascii="Arial" w:cs="Arial" w:eastAsia="Arial" w:hAnsi="Arial"/>
                <w:sz w:val="18"/>
                <w:szCs w:val="18"/>
                <w:b w:val="1"/>
                <w:bCs w:val="1"/>
                <w:color w:val="auto"/>
                <w:w w:val="89"/>
              </w:rPr>
              <w:t>20-5455398</w:t>
            </w:r>
          </w:p>
        </w:tc>
      </w:tr>
      <w:tr>
        <w:trPr>
          <w:trHeight w:val="218"/>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4"/>
              </w:rPr>
              <w:t>(State or other jurisdiction of</w:t>
            </w:r>
          </w:p>
        </w:tc>
        <w:tc>
          <w:tcPr>
            <w:tcW w:w="5320" w:type="dxa"/>
            <w:vAlign w:val="bottom"/>
          </w:tcPr>
          <w:p>
            <w:pPr>
              <w:jc w:val="center"/>
              <w:ind w:left="4176"/>
              <w:spacing w:after="0"/>
              <w:rPr>
                <w:sz w:val="20"/>
                <w:szCs w:val="20"/>
                <w:color w:val="auto"/>
              </w:rPr>
            </w:pPr>
            <w:r>
              <w:rPr>
                <w:rFonts w:ascii="Arial" w:cs="Arial" w:eastAsia="Arial" w:hAnsi="Arial"/>
                <w:sz w:val="14"/>
                <w:szCs w:val="14"/>
                <w:color w:val="auto"/>
                <w:w w:val="95"/>
              </w:rPr>
              <w:t>(I.R.S. Employer</w:t>
            </w:r>
          </w:p>
        </w:tc>
      </w:tr>
      <w:tr>
        <w:trPr>
          <w:trHeight w:val="203"/>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5"/>
              </w:rPr>
              <w:t>incorporation or organization)</w:t>
            </w:r>
          </w:p>
        </w:tc>
        <w:tc>
          <w:tcPr>
            <w:tcW w:w="5320" w:type="dxa"/>
            <w:vAlign w:val="bottom"/>
          </w:tcPr>
          <w:p>
            <w:pPr>
              <w:jc w:val="center"/>
              <w:ind w:left="4156"/>
              <w:spacing w:after="0"/>
              <w:rPr>
                <w:sz w:val="20"/>
                <w:szCs w:val="20"/>
                <w:color w:val="auto"/>
              </w:rPr>
            </w:pPr>
            <w:r>
              <w:rPr>
                <w:rFonts w:ascii="Arial" w:cs="Arial" w:eastAsia="Arial" w:hAnsi="Arial"/>
                <w:sz w:val="14"/>
                <w:szCs w:val="14"/>
                <w:color w:val="auto"/>
                <w:w w:val="99"/>
              </w:rPr>
              <w:t>Identification No.)</w:t>
            </w:r>
          </w:p>
        </w:tc>
      </w:tr>
      <w:tr>
        <w:trPr>
          <w:trHeight w:val="367"/>
        </w:trPr>
        <w:tc>
          <w:tcPr>
            <w:tcW w:w="2020" w:type="dxa"/>
            <w:vAlign w:val="bottom"/>
          </w:tcPr>
          <w:p>
            <w:pPr>
              <w:spacing w:after="0"/>
              <w:rPr>
                <w:sz w:val="24"/>
                <w:szCs w:val="2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b w:val="1"/>
                <w:bCs w:val="1"/>
                <w:color w:val="auto"/>
                <w:w w:val="92"/>
              </w:rPr>
              <w:t>6000 Shoreline Court, Suite 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b w:val="1"/>
                <w:bCs w:val="1"/>
                <w:color w:val="auto"/>
                <w:w w:val="92"/>
              </w:rPr>
              <w:t>South San Francisco, California 94080</w:t>
            </w:r>
          </w:p>
        </w:tc>
      </w:tr>
      <w:tr>
        <w:trPr>
          <w:trHeight w:val="182"/>
        </w:trPr>
        <w:tc>
          <w:tcPr>
            <w:tcW w:w="2020" w:type="dxa"/>
            <w:vAlign w:val="bottom"/>
          </w:tcPr>
          <w:p>
            <w:pPr>
              <w:spacing w:after="0"/>
              <w:rPr>
                <w:sz w:val="15"/>
                <w:szCs w:val="15"/>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4"/>
              </w:rPr>
              <w:t>(Address of principal executive offices, zip code)</w:t>
            </w:r>
          </w:p>
        </w:tc>
      </w:tr>
      <w:tr>
        <w:trPr>
          <w:trHeight w:val="304"/>
        </w:trPr>
        <w:tc>
          <w:tcPr>
            <w:tcW w:w="2020" w:type="dxa"/>
            <w:vAlign w:val="bottom"/>
          </w:tcPr>
          <w:p>
            <w:pPr>
              <w:spacing w:after="0"/>
              <w:rPr>
                <w:sz w:val="24"/>
                <w:szCs w:val="24"/>
                <w:color w:val="auto"/>
              </w:rPr>
            </w:pPr>
          </w:p>
        </w:tc>
        <w:tc>
          <w:tcPr>
            <w:tcW w:w="5320" w:type="dxa"/>
            <w:vAlign w:val="bottom"/>
          </w:tcPr>
          <w:p>
            <w:pPr>
              <w:jc w:val="right"/>
              <w:ind w:right="2976"/>
              <w:spacing w:after="0"/>
              <w:rPr>
                <w:sz w:val="20"/>
                <w:szCs w:val="20"/>
                <w:color w:val="auto"/>
              </w:rPr>
            </w:pPr>
            <w:r>
              <w:rPr>
                <w:rFonts w:ascii="Arial" w:cs="Arial" w:eastAsia="Arial" w:hAnsi="Arial"/>
                <w:sz w:val="14"/>
                <w:szCs w:val="14"/>
                <w:b w:val="1"/>
                <w:bCs w:val="1"/>
                <w:color w:val="auto"/>
              </w:rPr>
              <w:t>(650) 243-6300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30"/>
        </w:trPr>
        <w:tc>
          <w:tcPr>
            <w:tcW w:w="2020" w:type="dxa"/>
            <w:vAlign w:val="bottom"/>
          </w:tcPr>
          <w:p>
            <w:pPr>
              <w:spacing w:after="0"/>
              <w:rPr>
                <w:sz w:val="20"/>
                <w:szCs w:val="20"/>
                <w:color w:val="auto"/>
              </w:rPr>
            </w:pPr>
          </w:p>
        </w:tc>
        <w:tc>
          <w:tcPr>
            <w:tcW w:w="5320" w:type="dxa"/>
            <w:vAlign w:val="bottom"/>
          </w:tcPr>
          <w:p>
            <w:pPr>
              <w:jc w:val="center"/>
              <w:ind w:right="1556"/>
              <w:spacing w:after="0"/>
              <w:rPr>
                <w:sz w:val="20"/>
                <w:szCs w:val="20"/>
                <w:color w:val="auto"/>
              </w:rPr>
            </w:pPr>
            <w:r>
              <w:rPr>
                <w:rFonts w:ascii="Arial" w:cs="Arial" w:eastAsia="Arial" w:hAnsi="Arial"/>
                <w:sz w:val="18"/>
                <w:szCs w:val="18"/>
                <w:color w:val="auto"/>
                <w:w w:val="89"/>
              </w:rPr>
              <w:t>________________________________</w:t>
            </w:r>
          </w:p>
        </w:tc>
      </w:tr>
    </w:tbl>
    <w:p>
      <w:pPr>
        <w:spacing w:after="0" w:line="197" w:lineRule="exact"/>
        <w:rPr>
          <w:sz w:val="24"/>
          <w:szCs w:val="24"/>
          <w:color w:val="auto"/>
        </w:rPr>
      </w:pPr>
    </w:p>
    <w:p>
      <w:pPr>
        <w:ind w:firstLine="243"/>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firstLine="243"/>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26" w:lineRule="exact"/>
        <w:rPr>
          <w:sz w:val="24"/>
          <w:szCs w:val="24"/>
          <w:color w:val="auto"/>
        </w:rPr>
      </w:pPr>
    </w:p>
    <w:p>
      <w:pPr>
        <w:ind w:right="220" w:firstLine="243"/>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5" w:lineRule="exact"/>
        <w:rPr>
          <w:sz w:val="24"/>
          <w:szCs w:val="24"/>
          <w:color w:val="auto"/>
        </w:rPr>
      </w:pPr>
    </w:p>
    <w:tbl>
      <w:tblPr>
        <w:tblLayout w:type="fixed"/>
        <w:tblInd w:w="1420" w:type="dxa"/>
        <w:tblCellMar>
          <w:top w:w="0" w:type="dxa"/>
          <w:left w:w="0" w:type="dxa"/>
          <w:bottom w:w="0" w:type="dxa"/>
          <w:right w:w="0" w:type="dxa"/>
        </w:tblCellMar>
      </w:tblPr>
      <w:tr>
        <w:trPr>
          <w:trHeight w:val="182"/>
        </w:trPr>
        <w:tc>
          <w:tcPr>
            <w:tcW w:w="4540" w:type="dxa"/>
            <w:vAlign w:val="bottom"/>
          </w:tcPr>
          <w:p>
            <w:pPr>
              <w:jc w:val="center"/>
              <w:ind w:right="1828"/>
              <w:spacing w:after="0"/>
              <w:rPr>
                <w:sz w:val="20"/>
                <w:szCs w:val="20"/>
                <w:color w:val="auto"/>
              </w:rPr>
            </w:pPr>
            <w:r>
              <w:rPr>
                <w:rFonts w:ascii="Arial" w:cs="Arial" w:eastAsia="Arial" w:hAnsi="Arial"/>
                <w:sz w:val="14"/>
                <w:szCs w:val="14"/>
                <w:color w:val="auto"/>
                <w:w w:val="93"/>
              </w:rPr>
              <w:t>Large 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7"/>
              </w:rPr>
              <w:t>Accelerated filer x</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5"/>
              </w:rPr>
              <w:t>Non-accelerated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3"/>
              </w:rPr>
              <w:t>Smaller reporting company o</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4"/>
              </w:rPr>
              <w:t>(Do not check if a smaller reporting company)</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4"/>
              </w:rPr>
              <w:t>Emerging growth company x</w:t>
            </w:r>
          </w:p>
        </w:tc>
      </w:tr>
    </w:tbl>
    <w:p>
      <w:pPr>
        <w:spacing w:after="0" w:line="34" w:lineRule="exact"/>
        <w:rPr>
          <w:sz w:val="24"/>
          <w:szCs w:val="24"/>
          <w:color w:val="auto"/>
        </w:rPr>
      </w:pPr>
    </w:p>
    <w:p>
      <w:pPr>
        <w:ind w:right="360" w:firstLine="243"/>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93"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Act).Yes o No </w:t>
      </w:r>
      <w:r>
        <w:rPr>
          <w:rFonts w:ascii="MS PGothic" w:cs="MS PGothic" w:eastAsia="MS PGothic" w:hAnsi="MS PGothic"/>
          <w:sz w:val="14"/>
          <w:szCs w:val="14"/>
          <w:color w:val="auto"/>
        </w:rPr>
        <w:t>☒</w:t>
      </w:r>
    </w:p>
    <w:p>
      <w:pPr>
        <w:spacing w:after="0" w:line="190"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April 27, 2018, there were 34,346,004 shares of common stock, par value $0.001 per share, outstanding.</w:t>
      </w:r>
    </w:p>
    <w:p>
      <w:pPr>
        <w:sectPr>
          <w:pgSz w:w="11900" w:h="16838" w:orient="portrait"/>
          <w:cols w:equalWidth="0" w:num="1">
            <w:col w:w="11280"/>
          </w:cols>
          <w:pgMar w:left="240" w:top="229" w:right="37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No.</w:t>
            </w:r>
          </w:p>
        </w:tc>
        <w:tc>
          <w:tcPr>
            <w:tcW w:w="0" w:type="dxa"/>
            <w:vAlign w:val="bottom"/>
          </w:tcPr>
          <w:p>
            <w:pPr>
              <w:spacing w:after="0"/>
              <w:rPr>
                <w:sz w:val="1"/>
                <w:szCs w:val="1"/>
                <w:color w:val="auto"/>
              </w:rPr>
            </w:pPr>
          </w:p>
        </w:tc>
      </w:tr>
      <w:tr>
        <w:trPr>
          <w:trHeight w:val="189"/>
        </w:trPr>
        <w:tc>
          <w:tcPr>
            <w:tcW w:w="10020" w:type="dxa"/>
            <w:vAlign w:val="bottom"/>
            <w:gridSpan w:val="17"/>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8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Financial Statements (Unaudited)</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March 31, 2018 and December 31, 2017</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Month Periods Ended March 31, 2018 and 2017</w:t>
              </w:r>
            </w:hyperlink>
          </w:p>
        </w:tc>
        <w:tc>
          <w:tcPr>
            <w:tcW w:w="640" w:type="dxa"/>
            <w:vAlign w:val="bottom"/>
            <w:vMerge w:val="restart"/>
          </w:tcPr>
          <w:p>
            <w:pPr>
              <w:spacing w:after="0"/>
              <w:rPr>
                <w:sz w:val="21"/>
                <w:szCs w:val="21"/>
                <w:color w:val="auto"/>
              </w:rPr>
            </w:pPr>
          </w:p>
        </w:tc>
        <w:tc>
          <w:tcPr>
            <w:tcW w:w="1240" w:type="dxa"/>
            <w:vAlign w:val="bottom"/>
            <w:gridSpan w:val="2"/>
            <w:vMerge w:val="restart"/>
          </w:tcPr>
          <w:p>
            <w:pPr>
              <w:spacing w:after="0"/>
              <w:rPr>
                <w:sz w:val="21"/>
                <w:szCs w:val="21"/>
                <w:color w:val="auto"/>
              </w:rPr>
            </w:pPr>
          </w:p>
        </w:tc>
        <w:tc>
          <w:tcPr>
            <w:tcW w:w="100" w:type="dxa"/>
            <w:vAlign w:val="bottom"/>
            <w:vMerge w:val="restart"/>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21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Borders>
              <w:bottom w:val="single" w:sz="8" w:color="0000EE"/>
            </w:tcBorders>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Three Month Periods Ended March 31, 2018 and 2017</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2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w:t>
              </w:r>
            </w:hyperlink>
          </w:p>
        </w:tc>
        <w:tc>
          <w:tcPr>
            <w:tcW w:w="2460" w:type="dxa"/>
            <w:vAlign w:val="bottom"/>
            <w:gridSpan w:val="2"/>
          </w:tcPr>
          <w:p>
            <w:pPr>
              <w:spacing w:after="0"/>
              <w:rPr>
                <w:sz w:val="21"/>
                <w:szCs w:val="21"/>
                <w:color w:val="auto"/>
              </w:rPr>
            </w:pPr>
          </w:p>
        </w:tc>
        <w:tc>
          <w:tcPr>
            <w:tcW w:w="12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9360" w:type="dxa"/>
            <w:vAlign w:val="bottom"/>
            <w:gridSpan w:val="14"/>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6480" w:type="dxa"/>
            <w:vAlign w:val="bottom"/>
            <w:gridSpan w:val="11"/>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2880" w:type="dxa"/>
            <w:vAlign w:val="bottom"/>
            <w:gridSpan w:val="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1800" w:type="dxa"/>
            <w:vAlign w:val="bottom"/>
            <w:gridSpan w:val="4"/>
          </w:tcPr>
          <w:p>
            <w:pPr>
              <w:ind w:left="20"/>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4980" w:type="dxa"/>
            <w:vAlign w:val="bottom"/>
            <w:gridSpan w:val="5"/>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20" w:type="dxa"/>
            <w:vAlign w:val="bottom"/>
            <w:gridSpan w:val="17"/>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gridSpan w:val="5"/>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1A. Risk Factors</w:t>
              </w:r>
            </w:hyperlink>
          </w:p>
        </w:tc>
        <w:tc>
          <w:tcPr>
            <w:tcW w:w="1260" w:type="dxa"/>
            <w:vAlign w:val="bottom"/>
            <w:tcBorders>
              <w:top w:val="single" w:sz="8" w:color="0000EE"/>
            </w:tcBorders>
            <w:gridSpan w:val="2"/>
          </w:tcPr>
          <w:p>
            <w:pPr>
              <w:spacing w:after="0"/>
              <w:rPr>
                <w:sz w:val="21"/>
                <w:szCs w:val="21"/>
                <w:color w:val="auto"/>
              </w:rPr>
            </w:pPr>
          </w:p>
        </w:tc>
        <w:tc>
          <w:tcPr>
            <w:tcW w:w="7040" w:type="dxa"/>
            <w:vAlign w:val="bottom"/>
            <w:gridSpan w:val="9"/>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6.</w:t>
              </w:r>
            </w:hyperlink>
          </w:p>
        </w:tc>
        <w:tc>
          <w:tcPr>
            <w:tcW w:w="1060" w:type="dxa"/>
            <w:vAlign w:val="bottom"/>
            <w:gridSpan w:val="3"/>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8300" w:type="dxa"/>
            <w:vAlign w:val="bottom"/>
            <w:gridSpan w:val="11"/>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4"/>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SIGNATURES</w:t>
              </w:r>
            </w:hyperlink>
          </w:p>
        </w:tc>
        <w:tc>
          <w:tcPr>
            <w:tcW w:w="8920" w:type="dxa"/>
            <w:vAlign w:val="bottom"/>
            <w:gridSpan w:val="1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5"/>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EXHIBIT INDEX</w:t>
              </w:r>
            </w:hyperlink>
          </w:p>
        </w:tc>
        <w:tc>
          <w:tcPr>
            <w:tcW w:w="8740" w:type="dxa"/>
            <w:vAlign w:val="bottom"/>
            <w:gridSpan w:val="12"/>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33,891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Supplies 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71,190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lease liability, net of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 net of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41,182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Preferred stock, $0.001 par value; 5,000,000 shares authorized, no shares issued and outstanding as of March</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31, 2018 and December 31, 2017</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92"/>
              </w:rPr>
              <w:t>Common stock, $0.001 par value; 125,000,000 shares authorized, 34,326,808 and 34,210,388 shares issued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and outstanding as of March 31, 2018 and December 31, 2017, respectively</w:t>
            </w:r>
          </w:p>
        </w:tc>
        <w:tc>
          <w:tcPr>
            <w:tcW w:w="24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248,278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(211,087)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37,225</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71,190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share and per share amounts</w:t>
      </w:r>
      <w:r>
        <w:rPr>
          <w:rFonts w:ascii="Arial" w:cs="Arial" w:eastAsia="Arial" w:hAnsi="Arial"/>
          <w:sz w:val="14"/>
          <w:szCs w:val="14"/>
          <w:b w:val="1"/>
          <w:bCs w:val="1"/>
          <w:color w:val="auto"/>
        </w:rPr>
        <w: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4"/>
        </w:trPr>
        <w:tc>
          <w:tcPr>
            <w:tcW w:w="87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16,432</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6,297</w:t>
            </w: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4,030</w:t>
            </w:r>
          </w:p>
        </w:tc>
      </w:tr>
      <w:tr>
        <w:trPr>
          <w:trHeight w:val="27"/>
        </w:trPr>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7,336</w:t>
            </w: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6,019</w:t>
            </w:r>
          </w:p>
        </w:tc>
      </w:tr>
      <w:tr>
        <w:trPr>
          <w:trHeight w:val="27"/>
        </w:trPr>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r>
      <w:tr>
        <w:trPr>
          <w:trHeight w:val="237"/>
        </w:trPr>
        <w:tc>
          <w:tcPr>
            <w:tcW w:w="87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28,996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23,949</w:t>
            </w:r>
          </w:p>
        </w:tc>
      </w:tr>
      <w:tr>
        <w:trPr>
          <w:trHeight w:val="27"/>
        </w:trPr>
        <w:tc>
          <w:tcPr>
            <w:tcW w:w="8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97"/>
        </w:trPr>
        <w:tc>
          <w:tcPr>
            <w:tcW w:w="8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w:t>
            </w:r>
          </w:p>
        </w:tc>
      </w:tr>
      <w:tr>
        <w:trPr>
          <w:trHeight w:val="251"/>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8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8760" w:type="dxa"/>
            <w:vAlign w:val="bottom"/>
          </w:tcPr>
          <w:p>
            <w:pPr>
              <w:ind w:left="40"/>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34,271,254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33,823,889</w:t>
            </w:r>
          </w:p>
        </w:tc>
      </w:tr>
      <w:tr>
        <w:trPr>
          <w:trHeight w:val="20"/>
        </w:trPr>
        <w:tc>
          <w:tcPr>
            <w:tcW w:w="8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2" w:right="29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(9,177)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on end-of-term debt obligation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Supplies inventory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current other assets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 and deferred rent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(7,413)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9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legal settlement regarding short-swing profits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capital lease liability</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34,494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59,942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27,755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52,229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included in accounts payable and accrued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paid on debt</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r>
        <w:rPr>
          <w:rFonts w:ascii="Arial" w:cs="Arial" w:eastAsia="Arial" w:hAnsi="Arial"/>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33,891</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Restricted cash in long term assets, deposit for lease security</w:t>
            </w: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603</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27,755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34,494</w:t>
            </w:r>
          </w:p>
        </w:tc>
      </w:tr>
      <w:tr>
        <w:trPr>
          <w:trHeight w:val="20"/>
        </w:trPr>
        <w:tc>
          <w:tcPr>
            <w:tcW w:w="8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121" w:right="4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Veracyte, Inc. (“Veracyte” or the “Company”)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Veracyte is a genomic diagnostics company that resolves diagnostic uncertainty by combining genomic technology, clinical science and machine learning to provide diagnostic answers to physicians and patients.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Company's founding in 2008, it has commercialized three products:</w:t>
      </w:r>
    </w:p>
    <w:p>
      <w:pPr>
        <w:spacing w:after="0" w:line="225" w:lineRule="exact"/>
        <w:rPr>
          <w:sz w:val="20"/>
          <w:szCs w:val="20"/>
          <w:color w:val="auto"/>
        </w:rPr>
      </w:pPr>
    </w:p>
    <w:p>
      <w:pPr>
        <w:jc w:val="both"/>
        <w:ind w:left="1060"/>
        <w:spacing w:after="0" w:line="257" w:lineRule="auto"/>
        <w:rPr>
          <w:sz w:val="20"/>
          <w:szCs w:val="20"/>
          <w:color w:val="auto"/>
        </w:rPr>
      </w:pPr>
      <w:r>
        <w:rPr>
          <w:rFonts w:ascii="Arial" w:cs="Arial" w:eastAsia="Arial" w:hAnsi="Arial"/>
          <w:sz w:val="18"/>
          <w:szCs w:val="18"/>
          <w:i w:val="1"/>
          <w:iCs w:val="1"/>
          <w:color w:val="auto"/>
        </w:rPr>
        <w:t xml:space="preserve">Afirma Thyroid FNA Analysis </w:t>
      </w:r>
      <w:r>
        <w:rPr>
          <w:rFonts w:ascii="Arial" w:cs="Arial" w:eastAsia="Arial" w:hAnsi="Arial"/>
          <w:sz w:val="18"/>
          <w:szCs w:val="18"/>
          <w:color w:val="auto"/>
        </w:rPr>
        <w:t>- Includes the next-generation Afirma Genomic Sequencing Classifier, or GSC, and its predecessor, the Afirma</w:t>
      </w:r>
      <w:r>
        <w:rPr>
          <w:rFonts w:ascii="Arial" w:cs="Arial" w:eastAsia="Arial" w:hAnsi="Arial"/>
          <w:sz w:val="18"/>
          <w:szCs w:val="18"/>
          <w:i w:val="1"/>
          <w:iCs w:val="1"/>
          <w:color w:val="auto"/>
        </w:rPr>
        <w:t xml:space="preserve"> </w:t>
      </w:r>
      <w:r>
        <w:rPr>
          <w:rFonts w:ascii="Arial" w:cs="Arial" w:eastAsia="Arial" w:hAnsi="Arial"/>
          <w:sz w:val="18"/>
          <w:szCs w:val="18"/>
          <w:color w:val="auto"/>
        </w:rPr>
        <w:t>Gene Expression Classifier, or GEC that is used to identify patients with benign thyroid nodules among those with indeterminate cytopathology results in order to preserve the thyroid. The Afirma classifier was developed using machine learning that is based on ensemble methods in which multiple algorithms - each playing its own role - are used to interpret large amounts of ribonucleic acid, or RNA, sequencing genomic data and obtain a better predictive performance than any single algorithm.</w:t>
      </w:r>
    </w:p>
    <w:p>
      <w:pPr>
        <w:spacing w:after="0" w:line="188" w:lineRule="exact"/>
        <w:rPr>
          <w:sz w:val="20"/>
          <w:szCs w:val="20"/>
          <w:color w:val="auto"/>
        </w:rPr>
      </w:pPr>
    </w:p>
    <w:p>
      <w:pPr>
        <w:jc w:val="both"/>
        <w:ind w:left="1060"/>
        <w:spacing w:after="0" w:line="257" w:lineRule="auto"/>
        <w:rPr>
          <w:sz w:val="20"/>
          <w:szCs w:val="20"/>
          <w:color w:val="auto"/>
        </w:rPr>
      </w:pPr>
      <w:r>
        <w:rPr>
          <w:rFonts w:ascii="Arial" w:cs="Arial" w:eastAsia="Arial" w:hAnsi="Arial"/>
          <w:sz w:val="18"/>
          <w:szCs w:val="18"/>
          <w:i w:val="1"/>
          <w:iCs w:val="1"/>
          <w:color w:val="auto"/>
        </w:rPr>
        <w:t xml:space="preserve">Percepta Bronchial Genomic Classifier - </w:t>
      </w:r>
      <w:r>
        <w:rPr>
          <w:rFonts w:ascii="Arial" w:cs="Arial" w:eastAsia="Arial" w:hAnsi="Arial"/>
          <w:sz w:val="18"/>
          <w:szCs w:val="18"/>
          <w:color w:val="auto"/>
        </w:rPr>
        <w:t>The 23-gene Percepta classifier improves lung cancer screening and diagnosis by increasing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performance of bronchoscopies and identifying patients with lung nodules who are at low risk of cancer, without the need for more invasive procedures. The test leverages the field of injury concept and analyzes genomic changes that occur in the epithelial cells lining the airways of current or former smokers to assess a patient’s risk of having lung cancer, without the need to test the often-hard-to-reach nodule directly.</w:t>
      </w:r>
    </w:p>
    <w:p>
      <w:pPr>
        <w:spacing w:after="0" w:line="188"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i w:val="1"/>
          <w:iCs w:val="1"/>
          <w:color w:val="auto"/>
        </w:rPr>
        <w:t xml:space="preserve">Envisia Genomic Classifier </w:t>
      </w:r>
      <w:r>
        <w:rPr>
          <w:rFonts w:ascii="Arial" w:cs="Arial" w:eastAsia="Arial" w:hAnsi="Arial"/>
          <w:sz w:val="18"/>
          <w:szCs w:val="18"/>
          <w:color w:val="auto"/>
        </w:rPr>
        <w:t>- The Envisia classifier is designed to improve physicians’ ability to differentiate idiopathic pulmonary fibrosis, or</w:t>
      </w:r>
      <w:r>
        <w:rPr>
          <w:rFonts w:ascii="Arial" w:cs="Arial" w:eastAsia="Arial" w:hAnsi="Arial"/>
          <w:sz w:val="18"/>
          <w:szCs w:val="18"/>
          <w:i w:val="1"/>
          <w:iCs w:val="1"/>
          <w:color w:val="auto"/>
        </w:rPr>
        <w:t xml:space="preserve"> </w:t>
      </w:r>
      <w:r>
        <w:rPr>
          <w:rFonts w:ascii="Arial" w:cs="Arial" w:eastAsia="Arial" w:hAnsi="Arial"/>
          <w:sz w:val="18"/>
          <w:szCs w:val="18"/>
          <w:color w:val="auto"/>
        </w:rPr>
        <w:t>IPF, from other interstitial lung diseases, or ILD, without the need for invasive and potentially risky surgery. The Envisia classifier uses machine learning coupled with powerful, deep RNA sequencing to detect the presence or absence of usual interstitial pneumonia, or UIP, a classic diagnostic pattern whose presence is essential for the diagnosis of IPF.</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Company's testing services are made available through its clinical reference laboratories located in South San Francisco, California and Austin, Texas, which are each certified under the Clinical Laboratory Improvement Amendments of 1988.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balance sheet as of March 31, 2018, the condensed statements of operations and comprehensive loss for the three months ended March 31, 2018 and 2017, and the condensed statements of cash flows for the three months ended March 31, 2018 and 2017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2017 has been derived from audited financial statements. The results for the three months ended March 31, 2018 are not necessarily indicative of the results expected for the full year or any other period.</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preparation of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Through March 31, 2018, substantially all of the Company’s revenue has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gridSpan w:val="2"/>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7"/>
          </w:tcPr>
          <w:p>
            <w:pPr>
              <w:ind w:left="660"/>
              <w:spacing w:after="0"/>
              <w:rPr>
                <w:sz w:val="20"/>
                <w:szCs w:val="20"/>
                <w:color w:val="auto"/>
              </w:rPr>
            </w:pPr>
            <w:r>
              <w:rPr>
                <w:rFonts w:ascii="Arial" w:cs="Arial" w:eastAsia="Arial" w:hAnsi="Arial"/>
                <w:sz w:val="18"/>
                <w:szCs w:val="18"/>
                <w:color w:val="auto"/>
                <w:w w:val="93"/>
              </w:rPr>
              <w:t>The Company’s significant third-party payers and their related accounts receivable balance as a percentage of total accounts receivable were as</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follows:</w:t>
            </w: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200" w:type="dxa"/>
            <w:vAlign w:val="bottom"/>
          </w:tcPr>
          <w:p>
            <w:pPr>
              <w:spacing w:after="0"/>
              <w:rPr>
                <w:sz w:val="24"/>
                <w:szCs w:val="24"/>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24"/>
                <w:szCs w:val="24"/>
                <w:color w:val="auto"/>
              </w:rPr>
            </w:pPr>
          </w:p>
        </w:tc>
        <w:tc>
          <w:tcPr>
            <w:tcW w:w="1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as of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had deposits of $603,000 included in long-term assets as of March 31, 2018 and December 31, 2017, restricted from withdrawal and held by a bank in the form of collateral for an irrevocable standby letter of credit held as security for the lease of the Company’s South San Francisco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Company commenced recognizing revenue in accordance with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ASC 606, starting January 1, 2018. Prior to January 1, 2018, the Company recognized revenue in accordance with the provisions of ASC 954-605, </w:t>
      </w:r>
      <w:r>
        <w:rPr>
          <w:rFonts w:ascii="Arial" w:cs="Arial" w:eastAsia="Arial" w:hAnsi="Arial"/>
          <w:sz w:val="18"/>
          <w:szCs w:val="18"/>
          <w:i w:val="1"/>
          <w:iCs w:val="1"/>
          <w:color w:val="auto"/>
        </w:rPr>
        <w:t>Health Care</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 - Revenue Recognition</w:t>
      </w:r>
      <w:r>
        <w:rPr>
          <w:rFonts w:ascii="Arial" w:cs="Arial" w:eastAsia="Arial" w:hAnsi="Arial"/>
          <w:sz w:val="18"/>
          <w:szCs w:val="18"/>
          <w:color w:val="auto"/>
        </w:rPr>
        <w:t>, or ASC 954.</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revenue is generated from the provision of diagnostic services. These services are completed upon the delivery of test results to the prescribing physician, at which time the Company bills for the services. The Company recognizes revenue related to billings on an accrual basis based on estimates of the amount that will ultimately be realized. In determining the amount to accrue for a delivered test, the Company considers factors such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The Company has not had multiple element revenue arrangements through March 31, 2018.</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adopted ASC 606 on January 1, 2018 using the modified retrospective method, which requires a cumulative catch-up adjustment as if the Company had recognized revenue under ASC 606 from January 1, 2016 to December 31, 2017, or the Catch-Up Period. Prior to January 1, 2018, the Company recognized revenue in accordance with ASC 954 and recognized revenue for tests delivered on an accrual basis when amounts that will ultimately be realized could be reasonably estimated, and on the cash basis when there was insufficient information to estimate revenue accruals. There was sufficient payment history for the Company to substantially accrue all revenue upon delivery of test results starting July 1, 2016 and the Company continued to recognize revenue upon cash receipt for unaccrued tests that were delivered prior to July 1, 2016. Revenue on the cash basis declined from $4.7 million for the three months ended September 30, 2016 to $328,000 for the three months ended December 31, 2017. There was no revenue on the cash basis for the three months ended March 31, 2018 and revenue on the cash basis for the three months ended March 31, 2017 was $1.3 million.</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To determine the cumulative catch-up adjustment amount, the Company estimated revenue that would have been accrued under ASC 606 in the Catch-Up Period, less payments received. The majority of this revenue is for tests performed from January 1, 2016 to June 30, 2016, after which the Company started accruing the majority of its revenue upon test delivery. Thus, the adoption of ASC 606 did not have any impact on the Company’s previously reported 2017 financial results. By the end of the Catch-Up Period on December 31, 2017, payments would have been received for these tests had the Company accrued this revenue. Accordingly, the cumulative catch-up adjustment at January 1, 2018 was not material and no adjustment was recorded.</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first quarter of 2018, cash collections for certain tests delivered in 2017 were coming in at rates higher than originally accrued. As a result, the Company changed its estimate of the amounts to be recognized for these tests and recognized an additional $0.7 million of revenue during the three-months ended March 31, 2018. This change in estimate resulted in a decrease in loss from operations of $0.7 million and a decrease in loss per share of approximately $0.02.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2018, the Company received $0.4 million as a settlement with an institutional investor that was a beneficial owner of the Company's common stock related to the disgorgement of short-swing profits pursuant to Section 16(b) of the Securities Exchange Act of 1934, as amended. The settlement of $0.4 million was recognized as additional paid-in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February 2016, the FASB issued ASU No. 2016-2, </w:t>
      </w:r>
      <w:r>
        <w:rPr>
          <w:rFonts w:ascii="Arial" w:cs="Arial" w:eastAsia="Arial" w:hAnsi="Arial"/>
          <w:sz w:val="16"/>
          <w:szCs w:val="16"/>
          <w:i w:val="1"/>
          <w:iCs w:val="1"/>
          <w:color w:val="auto"/>
        </w:rPr>
        <w:t>Leases (Topic 842)</w:t>
      </w:r>
      <w:r>
        <w:rPr>
          <w:rFonts w:ascii="Arial" w:cs="Arial" w:eastAsia="Arial" w:hAnsi="Arial"/>
          <w:sz w:val="16"/>
          <w:szCs w:val="16"/>
          <w:color w:val="auto"/>
        </w:rPr>
        <w:t>.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will be effective for interim and annual periods beginning after December 15, 2018. Entities are required to use a modified retrospective approach for leases that exist or are entered into after the beginning of the earliest comparative period in the financial statements. Full retrospective application is prohibited and early adoption is permitted. The Company expects to adopt this standard beginning in 2019. The Company does not expect that this standard will have a material impact on its results of operations or cash flows, but that it will have a material impact on the Company’s assets and liabilities. The Company is currently in the process of quantifying the impact of adopting this ASU.</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 Restricted Cash.</w:t>
      </w:r>
      <w:r>
        <w:rPr>
          <w:rFonts w:ascii="Arial" w:cs="Arial" w:eastAsia="Arial" w:hAnsi="Arial"/>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became effective for interim and annual periods beginning after December 15, 2017. The Company adopted this ASU retrospectively as of January 1, 2018 and the impact on the Company's financial statements was not material because prior period restricted cash balances were immaterial.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4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common stock subject to outstanding options</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5,991,158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5,638,214</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25,693</w:t>
            </w:r>
          </w:p>
        </w:tc>
        <w:tc>
          <w:tcPr>
            <w:tcW w:w="10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29,350</w:t>
            </w:r>
          </w:p>
        </w:tc>
      </w:tr>
      <w:tr>
        <w:trPr>
          <w:trHeight w:val="27"/>
        </w:trPr>
        <w:tc>
          <w:tcPr>
            <w:tcW w:w="8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192,806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39,500</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Total common stock equivalents</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6,209,657</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5,707,064</w:t>
            </w:r>
          </w:p>
        </w:tc>
      </w:tr>
      <w:tr>
        <w:trPr>
          <w:trHeight w:val="20"/>
        </w:trPr>
        <w:tc>
          <w:tcPr>
            <w:tcW w:w="8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3.</w:t>
            </w:r>
          </w:p>
        </w:tc>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8180" w:type="dxa"/>
            <w:vAlign w:val="bottom"/>
          </w:tcPr>
          <w:p>
            <w:pPr>
              <w:ind w:left="500"/>
              <w:spacing w:after="0"/>
              <w:rPr>
                <w:sz w:val="20"/>
                <w:szCs w:val="20"/>
                <w:color w:val="auto"/>
              </w:rPr>
            </w:pPr>
            <w:r>
              <w:rPr>
                <w:rFonts w:ascii="Arial" w:cs="Arial" w:eastAsia="Arial" w:hAnsi="Arial"/>
                <w:sz w:val="18"/>
                <w:szCs w:val="18"/>
                <w:color w:val="auto"/>
              </w:rPr>
              <w:t>Accrued liabilities consisted of the following (in thousands of dollars):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16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compensation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Accrued other</w:t>
            </w:r>
          </w:p>
        </w:tc>
        <w:tc>
          <w:tcPr>
            <w:tcW w:w="2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0" w:type="dxa"/>
            <w:vAlign w:val="bottom"/>
            <w:tcBorders>
              <w:bottom w:val="single" w:sz="8" w:color="CCEEFF"/>
            </w:tcBorders>
            <w:shd w:val="clear" w:color="auto" w:fill="CCEEFF"/>
          </w:tcPr>
          <w:p>
            <w:pPr>
              <w:spacing w:after="0"/>
              <w:rPr>
                <w:sz w:val="22"/>
                <w:szCs w:val="22"/>
                <w:color w:val="auto"/>
              </w:rPr>
            </w:pPr>
          </w:p>
        </w:tc>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w w:val="79"/>
              </w:rPr>
              <w:t>4.</w:t>
            </w:r>
          </w:p>
        </w:tc>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Fair Value Measurements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66"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fair value of the Company’s financial assets include money market funds and a deposit for the lease of the Company's South San Francisco facility. Money market funds, included in cash and cash equivalents in the accompanying condensed balance sheets, were $26.7 million and $33.1 million as of March 31, 2018 and December 31, 2017, respectively, and are Level I assets as described above. The deposit for the lease, included in restricted cash in the accompanying condensed balance sheets, was $603,000 as of March 31, 2018 and December 31, 2017, and is a Level I assets as described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In February 2017, the Company relinquished certain expansion rights for a nominal fee. The Company had deposits of $603,000 included in long-term assets as of March 31, 2018 and December 31, 2017, restricted from withdrawal and held by a bank in the form of collateral for an irrevocable standby letter of credit held as security for the lease of the South San Francisco facility.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leases laboratory and office space in Austin, Texas under a lease that expires in January 2029 and includes options for expansion and early termination in 2025. The related cash security deposit of $139,000 as of March 31, 2018 and December 31, 2017 is included in other assets in the Company’s condensed balance sheets.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March 31, 2018 are as follows (in thousands of dollars):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2,227</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2,401</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9,384</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20,398</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lease period. Rent expense was $476,000 and $457,000 for the three months ended March 31,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entered into a capital lease in December 2016 for $1.2 million of laboratory equipment. The Company paid an upfront amount of $330,000 and the present value of the total future minimum lease payments was $874,000. As at March 31, 2018, the annual future minimum lease payments are $238,000 and $317,000 for the remainder of 2018 and 2019,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assesses contingencies to determine the degree of probability and range of possible loss for potential accrual in its financial statements. An estimated loss contingency is accrued in the financial statements if it is probable that a liability has been incurred and the amount of the loss can be reasonably estimated. The Company believes there is no litigation pending that could have, either individually or in the aggregate, a material adverse effect on the Company’s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November 3, 2017, the Company entered into a loan and security agreement, or the Loan and Security Agreement, with Silicon Valley Bank. The Loan and Security Agreement allows the Company to borrow up to $35.0 million, with a $25.0 million term loan (the “Term Loan Advance”) and a revolving line of credit of up to $10.0 million (the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March 31, 2018.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Term Loan Advance bears interest at a variable rate equal to (i) the thirty-day U.S. London Interbank Offer Rate, or LIBOR plus (ii) 4.20%, with a minimum rate of 5.34% per annum. Principal amounts outstanding under the Revolving Line of Credit bear interest at a variable rate equal to (i) LIBOR plus (ii) 3.50% , with a minimum rate of 4.70% per annum. The effective interest rate was 7.6% for the three months ended March 31, 2018.</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may prepay the outstanding principal amount under the Term Loan Advance plus accrued and unpaid interest and, if the Term Loan Advance is repaid in full, a prepayment premium. The prepayment premium will be (i) $750,000 if prepayment is made prior to November 3, 2018, (ii) $500,000 if the prepayment is made after November 3, 2018 but on or before November 3, 2019, or (iii) $250,000 if the prepayment is made after November 3, 2019.</w:t>
      </w:r>
    </w:p>
    <w:p>
      <w:pPr>
        <w:spacing w:after="0" w:line="18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such as a material adverse change in our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sum of the Company’s unrestricted cash and cash equivalents maintained with Silicon Valley Bank and amount available under the Revolving Line of Credit is at least $40.0 million. As of March 31, 2018, the Company was in compliance with the loan covenants.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2018, the net debt obligation for borrowings made under the Loan and Security Agreement was as follows (in thousands of dollars):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90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principal</w:t>
            </w:r>
          </w:p>
        </w:tc>
        <w:tc>
          <w:tcPr>
            <w:tcW w:w="3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End-of-term debt obligation</w:t>
            </w:r>
          </w:p>
        </w:tc>
        <w:tc>
          <w:tcPr>
            <w:tcW w:w="3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Net debt obligation</w:t>
            </w: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24,938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principal and end-of-term debt obligation payments due under the Loan and Security Agreement are as follows (in thousands of dollars):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8,333</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8,333</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8,132</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26,187</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2016, the Company entered into a credit agreement, or the Credit Agreement, with Visium Healthcare Partners, LP. Under the Credit Agreement, two term loans were available to the Company with an aggregate principal amount of up to $40.0 million. The Company drew down the initial $25.0 million term loan, or the Term Loan, on March 30, 2016.</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noted above, upon entering into the Loan and Security Agreement, the Credit Agreement was paid in full and terminated on November 3, 2017, wherein all commitments were terminated, all liens were released and all outstanding principal, interest and fees accrued thereunder were repaid in the aggregate amount of $27.3 million, including a prepayment premium of $1.5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 issued and outstanding</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7,012,735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6,061,081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 options and restricted stock units available for grant under stock option plans</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1,507,065</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1,133,907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available for the Employee Stock Purchase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382,929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456,002</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8,902,729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7,650,990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Thyroid Cytopathology Partners</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2010, the Company entered into an arrangement with Pathology Resource Consultants, P.A., or PRC, to set up and manage a specialized pathology practice to provide testing services to the Company. There was no direct monetary compensation from the Company to PRC as a result of this arrangement. The Company's service agreement was with the specialized pathology practice, Thyroid Cytopathology Partners, or TCP, which was managed by PRC and was effective through December 31, 2015, and thereafter automatically renewed every year unless either party provided notice of intent not to renew at least 12 months prior to the end of the then-current term. Under the service agreement, the Company paid TCP based on a fixed price per test schedule, which was reviewed periodically for changes in market pricing. Subsequent to December 2012, an amendment to the service agreement allowed TCP to sublease a portion of the Company's facility in Austin, Texas. The Company does not have an ownership interest in or provide any form of financial or other support to TCP.</w:t>
      </w:r>
    </w:p>
    <w:p>
      <w:pPr>
        <w:spacing w:after="0" w:line="19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October 16, 2017, the Company amended and restated its service agreement with TCP. The agreement is effective through October 31, 2022, and thereafter automatically renews every year unless either party provides notice of intent not to renew at least 12 months prior to the end of the then-current term. In connection with amending and restating the TCP agreement, the Company’s arrangement with PRC was simultaneously assigned by PRC to TCP and immediately terminated, and the Company agreed to pay PRC a total of $1.8 million over eight quarterly installments in exchange for TCP reducing the price per test it charges the Company during the term of the amended TCP agreement. Payments are amortized over the term of the agreement.</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accompanying statements of operations and comprehensive loss.</w:t>
      </w:r>
    </w:p>
    <w:p>
      <w:pPr>
        <w:spacing w:after="0" w:line="18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incurred $0.9 million and $1.2 million for the three months ended March 31, 2018 and 2017, respectively, in cytopathology testing and evaluation services expenses with TCP. The Company’s outstanding obligations to TCP for cytopathology testing services were $601,000 and $308,000 as of March 31, 2018 and December 31, 2017, respectively, and are included in accounts payable on the accompanying condensed balance sheets.</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TCP reimburses the Company for its proportionate share of the Company’s rent and related operating expenses for the leased facility. TCP’s portion of rent and related operating expenses for the shared space at the Austin, Texas facility was $32,000 and $25,000 for the three months ended March 31, 2018 and 2017, respectively, and is included in other income, net in the Company’s condensed statements of operations and comprehensive loss.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months ended March 31, 2018 and 2017. The Company continues to maintain a full valuation allowance against its net deferred tax assets.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2018, the Company had unrecognized tax benefits of $2.5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March 31, 2018 will significantly increase or decrease within the next 12 months. There was no interest expense or penalties related to unrecognized tax benefits recorded through March 31, 2018.</w:t>
      </w:r>
    </w:p>
    <w:p>
      <w:pPr>
        <w:spacing w:after="0" w:line="170" w:lineRule="exact"/>
        <w:rPr>
          <w:sz w:val="20"/>
          <w:szCs w:val="20"/>
          <w:color w:val="auto"/>
        </w:rPr>
      </w:pPr>
    </w:p>
    <w:p>
      <w:pPr>
        <w:jc w:val="both"/>
        <w:ind w:firstLine="686"/>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December 22, 2017, the U.S. government enacted comprehensive tax legislation referred to as the Tax Cuts and Jobs Act (the “Tax Act”). The Tax Act significantly revises the future ongoing U.S. corporate income tax by, among other things, lowering the U.S. corporate income tax rates and implementing a territorial tax system. The corporate tax rate was reduced from 35% to 21% for tax years beginning after December 31, 2017 and certain provisions exist on which to allow accelerated expensing of equipment for a portion of 2017 and for future years. This will largely only affect the value of the Company’s deferred tax asset with a corresponding offset to valuation allowance. The Tax Act also limits the amount of net operating losses that can be used to reduce taxable income to 80% for net operating losses generated for periods beginning after December 31, 2017. Existing net operating losses, arising in years on or before December 31, 2017 are not affected by the Tax Act. The Company has completed a preliminary assessment of the accounting for the income tax effects of the Act, as it relates to its current structure, including provisions that are effective for tax years beginning in 2018. The Company's preliminary assessment is subject to revisions to any additional guidance issued by the U.S. Treasury Department, Internal Revenue Service, FASB, and other standard-setting and regulatory bodies. Adjustments may materially impact the Company's provision for income taxes and the assessment of the accounting for the tax effects of The Act will not extend beyond one year from the enactment date.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2017.</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beliefs with respect to the optimization of our processes for the analysis of ribonucleic acid, or RNA, samples; our belief in the importance of maintaining libraries of clinical evidence;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We also refer to trademarks of other corporations or organizations in this report.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leading genomic diagnostics company that provides trustworthy and actionable answers that fundamentally improve patient care when current diagnostic test results are uncertain. Our products combine genomic technology, clinical science and machine learning to provide answers that give physicians and patients a clear path forward without risky, costly surgery that is often unnecessary.</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role of genomic information in medical practice is evolving rapidly and has affected the diagnosis of disease as well as treatment decisions. Over the past decade, molecular diagnostic tests that analyze genomic material from tissue samples have emerged as an important complement to evaluations performed by pathologists. Information at the molecular level enables one to understand and identify more fully the makeup and specific subtype of disease to improve diagnosis. In many cases, the genomic information derived from these samples can help guide treatment decisions as part of the standard of care.</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deploy machine learning algorithms, which leverage comprehensive ribonucleic acid, or RNA, expression data, to develop tests for the improvement of diagnostic clarity for cancer and other diseases. In our thyroid and lung indications, diagnosis can be ambiguous in 15-70% of patients undergoing diagnostic evaluation depending on the indication. Our tests provide clarity of diagnosis that can in turn guide treatment decisions in 40-70% of those cases, eliminating costly, risky surgeries and other unnecessary medical procedures, improving the lives of patients and saving the healthcare system money.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founding in 2008, we have commercialized three genomic classifiers that we believe are transforming diagnostics: the next-generation Afirma Genomic Sequencing Classifier, or GSC, and its predecessor, the Afirma Gene Expression Classifier, or GEC, for thyroid cancer; the Percepta Bronchial Genomic Classifier for lung cancer; and the Envisia Genomic Classifier for idiopathic pulmonary fibrosis, or IPF. Collectively, we believe these three tests address a $2 billion global market opportunity.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Patients and physicians can access our full list of publications on our website. Over 30 clinical studies covering our products have been published, including two landmark clinical validation papers published in The New England Journal of Medicine for the Afirma and Percepta classifiers, respectively. We continue to build upon our extensive library of clinical evidence. We also expect to continue expanding our offerings in thyroid cancer, lung cancer and interstitial lung diseases such as IPF, as well as other indications that we believe will benefit from our technology and approach.</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our focus on developing clinically useful tests that change patient care is enabling the company to set new standards in genomic test reimbursement. Our Afirma genomic classifier is now covered by every major health plan in the United States, covering more than 275 million people, for use in thyroid cancer diagnosis. It is available as an in-network, contracted offering to more than 175 million people nationwide through their insurers. Our second commercial product, the Percepta classifier, is the first genomic test to gain Medicare coverage for improved lung cancer screening and diagnosis, making it a covered benefit for nearly 60 million Medicare enrollees.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first quarter of 2018, as compared to the first quarter of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$20.0 million, an increase of 22%;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Genomic Volume </w:t>
      </w:r>
      <w:r>
        <w:rPr>
          <w:rFonts w:ascii="Arial" w:cs="Arial" w:eastAsia="Arial" w:hAnsi="Arial"/>
          <w:sz w:val="18"/>
          <w:szCs w:val="18"/>
          <w:color w:val="auto"/>
        </w:rPr>
        <w:t>was 6,864, an increase of 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61%, a decline of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$21.1 million, an increase of 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($9.2) million, an increase of 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($0.27), an increase of 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Cash Burn </w:t>
      </w:r>
      <w:r>
        <w:rPr>
          <w:rFonts w:ascii="Arial" w:cs="Arial" w:eastAsia="Arial" w:hAnsi="Arial"/>
          <w:sz w:val="18"/>
          <w:szCs w:val="18"/>
          <w:color w:val="auto"/>
        </w:rPr>
        <w:t>was $7.6 million, an improvement of 8%;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$27.2 million at March 31, 2018</w:t>
      </w:r>
      <w:r>
        <w:rPr>
          <w:rFonts w:ascii="Arial" w:cs="Arial" w:eastAsia="Arial" w:hAnsi="Arial"/>
          <w:sz w:val="18"/>
          <w:szCs w:val="18"/>
          <w:i w:val="1"/>
          <w:iCs w:val="1"/>
          <w:color w:val="auto"/>
        </w:rPr>
        <w:t>.</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supplement our financial statements prepared in accordance with U. S. GAAP, we monitor and consider cash burn, which is a non-U.S. GAAP financial measure. This non-U.S. GAAP financial measure is not based on any standardized methodology prescribed by U.S. GAAP and is not necessarily comparable to similarly-titled measures presented by other companies. We define cash burn as net cash used in operating activities plus net capital expenditures, such as net purchases of property and equipment. We believe cash burn to be a liquidity measure that provides useful information to management and investors about the amount of cash consumed by the operations of the business, including our purchases of property and equipment. A limitation of using this non-U.S. GAAP measure is that cash burn does not represent the total change in cash, cash equivalents and restricted cash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and by presenting cash flows from investing and financing activities in our reconciliation of cash burn. In addition, it is important to note that other companies, including companies in our industry, may not use cash burn, may calculate cash burn in a different manner than we do or may use other financial measures to evaluate their performance, all of which could reduce the usefulness of cash burn as a comparative measure.</w:t>
      </w:r>
    </w:p>
    <w:p>
      <w:pPr>
        <w:spacing w:after="0" w:line="18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Because of these limitations, cash burn should not be considered in isolation from, or as a substitute for, financial information prepared in accordance with U.S. GAAP. The reconciliation of cash burn to net cash used in operating activities is provided in the table below (in thousands of dollars):</w:t>
      </w:r>
    </w:p>
    <w:p>
      <w:pPr>
        <w:spacing w:after="0" w:line="84"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Pr>
          <w:p>
            <w:pPr>
              <w:spacing w:after="0"/>
              <w:rPr>
                <w:sz w:val="18"/>
                <w:szCs w:val="18"/>
                <w:color w:val="auto"/>
              </w:rPr>
            </w:pPr>
          </w:p>
        </w:tc>
      </w:tr>
      <w:tr>
        <w:trPr>
          <w:trHeight w:val="33"/>
        </w:trPr>
        <w:tc>
          <w:tcPr>
            <w:tcW w:w="7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r>
      <w:tr>
        <w:trPr>
          <w:trHeight w:val="33"/>
        </w:trPr>
        <w:tc>
          <w:tcPr>
            <w:tcW w:w="7320" w:type="dxa"/>
            <w:vAlign w:val="bottom"/>
            <w:tcBorders>
              <w:bottom w:val="single" w:sz="8" w:color="BFE4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BFE4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BFE4FF"/>
            </w:tcBorders>
            <w:shd w:val="clear" w:color="auto" w:fill="BFE4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8"/>
              </w:rPr>
              <w:t>(7,413)</w:t>
            </w:r>
          </w:p>
        </w:tc>
        <w:tc>
          <w:tcPr>
            <w:tcW w:w="30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0"/>
              </w:rPr>
              <w:t>(8,086)</w:t>
            </w:r>
          </w:p>
        </w:tc>
      </w:tr>
      <w:tr>
        <w:trPr>
          <w:trHeight w:val="237"/>
        </w:trPr>
        <w:tc>
          <w:tcPr>
            <w:tcW w:w="7320" w:type="dxa"/>
            <w:vAlign w:val="bottom"/>
          </w:tcPr>
          <w:p>
            <w:pPr>
              <w:ind w:left="20"/>
              <w:spacing w:after="0"/>
              <w:rPr>
                <w:sz w:val="20"/>
                <w:szCs w:val="20"/>
                <w:color w:val="auto"/>
              </w:rPr>
            </w:pPr>
            <w:r>
              <w:rPr>
                <w:rFonts w:ascii="Arial" w:cs="Arial" w:eastAsia="Arial" w:hAnsi="Arial"/>
                <w:sz w:val="16"/>
                <w:szCs w:val="16"/>
                <w:color w:val="auto"/>
              </w:rPr>
              <w:t>Plus purchases of property and equipment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(227)</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33"/>
        </w:trPr>
        <w:tc>
          <w:tcPr>
            <w:tcW w:w="7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Less proceeds from the sale of property and equipment</w:t>
            </w:r>
          </w:p>
        </w:tc>
        <w:tc>
          <w:tcPr>
            <w:tcW w:w="94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gridSpan w:val="2"/>
            <w:shd w:val="clear" w:color="auto" w:fill="BFE4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FE4FF"/>
            </w:tcBorders>
            <w:shd w:val="clear" w:color="auto" w:fill="BFE4FF"/>
          </w:tcPr>
          <w:p>
            <w:pPr>
              <w:spacing w:after="0"/>
              <w:rPr>
                <w:sz w:val="23"/>
                <w:szCs w:val="23"/>
                <w:color w:val="auto"/>
              </w:rPr>
            </w:pPr>
          </w:p>
        </w:tc>
        <w:tc>
          <w:tcPr>
            <w:tcW w:w="5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440</w:t>
            </w:r>
          </w:p>
        </w:tc>
      </w:tr>
      <w:tr>
        <w:trPr>
          <w:trHeight w:val="284"/>
        </w:trPr>
        <w:tc>
          <w:tcPr>
            <w:tcW w:w="73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Cash burn</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(7,640)</w:t>
            </w:r>
          </w:p>
        </w:tc>
        <w:tc>
          <w:tcPr>
            <w:tcW w:w="300" w:type="dxa"/>
            <w:vAlign w:val="bottom"/>
            <w:tcBorders>
              <w:bottom w:val="single" w:sz="8" w:color="BFE4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(8,261)</w:t>
            </w:r>
          </w:p>
        </w:tc>
      </w:tr>
      <w:tr>
        <w:trPr>
          <w:trHeight w:val="237"/>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shd w:val="clear" w:color="auto" w:fill="BFE4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(227)</w:t>
            </w:r>
          </w:p>
        </w:tc>
        <w:tc>
          <w:tcPr>
            <w:tcW w:w="30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auto"/>
            </w:tcBorders>
            <w:shd w:val="clear" w:color="auto" w:fill="BFE4FF"/>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(175)</w:t>
            </w:r>
          </w:p>
        </w:tc>
      </w:tr>
      <w:tr>
        <w:trPr>
          <w:trHeight w:val="20"/>
        </w:trPr>
        <w:tc>
          <w:tcPr>
            <w:tcW w:w="7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901</w:t>
            </w:r>
          </w:p>
        </w:tc>
        <w:tc>
          <w:tcPr>
            <w:tcW w:w="300" w:type="dxa"/>
            <w:vAlign w:val="bottom"/>
          </w:tcPr>
          <w:p>
            <w:pPr>
              <w:spacing w:after="0"/>
              <w:rPr>
                <w:sz w:val="20"/>
                <w:szCs w:val="20"/>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w:t>
            </w:r>
          </w:p>
        </w:tc>
      </w:tr>
      <w:tr>
        <w:trPr>
          <w:trHeight w:val="20"/>
        </w:trPr>
        <w:tc>
          <w:tcPr>
            <w:tcW w:w="7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and Recent Business Highlights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Growth:</w:t>
      </w:r>
    </w:p>
    <w:p>
      <w:pPr>
        <w:spacing w:after="0" w:line="144" w:lineRule="exact"/>
        <w:rPr>
          <w:sz w:val="20"/>
          <w:szCs w:val="20"/>
          <w:color w:val="auto"/>
        </w:rPr>
      </w:pPr>
    </w:p>
    <w:p>
      <w:pPr>
        <w:ind w:left="660" w:hanging="328"/>
        <w:spacing w:after="0" w:line="274"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Reported 6,864 genomic tests in the first quarter of 2018, representing 18% growth as compared to the first quarter of 2017, and transitioned approximately 70% of our thyroid business to the next-generation Afirma Genomic Sequencing Classifier (GSC), ahead of plan; and</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Doubled the number of institutions that submitted samples for Percepta testing in the first quarter of 2018, compared to the fourth quarter of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Expansion:</w:t>
      </w:r>
    </w:p>
    <w:p>
      <w:pPr>
        <w:spacing w:after="0" w:line="144" w:lineRule="exact"/>
        <w:rPr>
          <w:sz w:val="20"/>
          <w:szCs w:val="20"/>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Executed an in-network contract with Anthem, an independent Blues plan and one of the nation’s largest health benefits companies. This achievement nearly completes our contracting efforts to make the Afirma classifier available to patients nationally as an in-network service.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Evidence Development:</w:t>
      </w:r>
    </w:p>
    <w:p>
      <w:pPr>
        <w:spacing w:after="0" w:line="144"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Presented the first real-world clinical utility data for the Afirma GSC at ENDO 2018 demonstrating that the genomic test enabled significantly more patients to avoid unnecessary thyroid surgery, compared to the original Afirma test;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2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Published the INTENSITY study in </w:t>
      </w:r>
      <w:r>
        <w:rPr>
          <w:rFonts w:ascii="Arial" w:cs="Arial" w:eastAsia="Arial" w:hAnsi="Arial"/>
          <w:sz w:val="18"/>
          <w:szCs w:val="18"/>
          <w:i w:val="1"/>
          <w:iCs w:val="1"/>
          <w:color w:val="auto"/>
        </w:rPr>
        <w:t>BMC Pulmonary Medicine</w:t>
      </w:r>
      <w:r>
        <w:rPr>
          <w:rFonts w:ascii="Arial" w:cs="Arial" w:eastAsia="Arial" w:hAnsi="Arial"/>
          <w:sz w:val="18"/>
          <w:szCs w:val="18"/>
          <w:color w:val="auto"/>
        </w:rPr>
        <w:t>, quantifying the challenges of obtaining an IPF diagnosis and the resulting negative impact on patients - and underscoring the clinical need for the Envisia classifier; and</w:t>
      </w:r>
    </w:p>
    <w:p>
      <w:pPr>
        <w:spacing w:after="0" w:line="1" w:lineRule="exact"/>
        <w:rPr>
          <w:rFonts w:ascii="Arial" w:cs="Arial" w:eastAsia="Arial" w:hAnsi="Arial"/>
          <w:sz w:val="18"/>
          <w:szCs w:val="18"/>
          <w:color w:val="auto"/>
        </w:rPr>
      </w:pPr>
    </w:p>
    <w:p>
      <w:pPr>
        <w:ind w:left="660" w:hanging="328"/>
        <w:spacing w:after="0" w:line="27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Received acceptance of an abstract for a validation study demonstrating the performance of the Afirma Xpression Atlas to be presented at the American Association of Clinical Endocrinologists’ (AACE) 27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Annual Scientific &amp; Clinical Congress in May 2018.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Scientific Innovation:</w:t>
      </w:r>
    </w:p>
    <w:p>
      <w:pPr>
        <w:spacing w:after="0" w:line="144" w:lineRule="exact"/>
        <w:rPr>
          <w:sz w:val="20"/>
          <w:szCs w:val="20"/>
          <w:color w:val="auto"/>
        </w:rPr>
      </w:pPr>
    </w:p>
    <w:p>
      <w:pPr>
        <w:jc w:val="both"/>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Unveiled the Afirma Xpression Atlas, an extension of the Afirma GSC, at ENDO 2018 in an oral presentation detailing the RNA sequencing-based platform’s ability to derive rich genomic content - 761 DNA variants and 130 RNA fusions in over 500 genes that are associated with thyroid cancer - from thyroid fine needle aspiration samples; and</w:t>
      </w: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Entered into a research collaboration with Loxo Oncology, which will leverage our Afirma Xpression Atlas platform to advance Loxo Oncology’s development of therapies for patients with genetically defined cancers, including thyroid cancer.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Genomic Test Volume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70" w:lineRule="exact"/>
        <w:rPr>
          <w:sz w:val="20"/>
          <w:szCs w:val="20"/>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w:t>
      </w:r>
    </w:p>
    <w:p>
      <w:pPr>
        <w:spacing w:after="0" w:line="23" w:lineRule="exact"/>
        <w:rPr>
          <w:rFonts w:ascii="Arial" w:cs="Arial" w:eastAsia="Arial" w:hAnsi="Arial"/>
          <w:sz w:val="18"/>
          <w:szCs w:val="18"/>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20" w:lineRule="exact"/>
        <w:rPr>
          <w:rFonts w:ascii="Arial" w:cs="Arial" w:eastAsia="Arial" w:hAnsi="Arial"/>
          <w:sz w:val="17"/>
          <w:szCs w:val="17"/>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it takes us to perform our tests and report the results;</w:t>
      </w:r>
    </w:p>
    <w:p>
      <w:pPr>
        <w:spacing w:after="0" w:line="9" w:lineRule="exact"/>
        <w:rPr>
          <w:rFonts w:ascii="Arial" w:cs="Arial" w:eastAsia="Arial" w:hAnsi="Arial"/>
          <w:sz w:val="18"/>
          <w:szCs w:val="18"/>
          <w:color w:val="auto"/>
        </w:rPr>
      </w:pPr>
    </w:p>
    <w:p>
      <w:pPr>
        <w:ind w:left="1300" w:hanging="401"/>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1300" w:hanging="401"/>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prior authorization or meet other requirements instituted by payers, benefit managers, or regulators necessary to be paid for our tests.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generate substantially all our revenue from genomic testing services, including the rendering of a cytopathology diagnosis as part of the Afirma solution. For the Afirma classifier, we do not accrue revenue for approximately 5%-10% of the tests that we perform and report as complete due principally to insufficient RNA from which to render a result and tests performed for which we do not reasonably expect to be paid. Revenue from Percepta has not been significant through March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25" w:lineRule="exact"/>
        <w:rPr>
          <w:sz w:val="20"/>
          <w:szCs w:val="20"/>
          <w:color w:val="auto"/>
        </w:rPr>
      </w:pPr>
    </w:p>
    <w:p>
      <w:pPr>
        <w:jc w:val="both"/>
        <w:ind w:firstLine="264"/>
        <w:spacing w:after="0" w:line="289" w:lineRule="auto"/>
        <w:rPr>
          <w:sz w:val="20"/>
          <w:szCs w:val="20"/>
          <w:color w:val="auto"/>
        </w:rPr>
      </w:pPr>
      <w:r>
        <w:rPr>
          <w:rFonts w:ascii="Arial" w:cs="Arial" w:eastAsia="Arial" w:hAnsi="Arial"/>
          <w:sz w:val="16"/>
          <w:szCs w:val="16"/>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or as payers enter into contracts with us, which should enhance our accrued revenue and cash collections. To drive increased adoption of our products, we increased our sales force over the last several years, along with increasing our marketing efforts. Our sales team is structured to sell all of our products; we do not maintain a separate sales force for each product.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and employing laboratory benefit managers to reduce utilization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We commenced recognizing revenue in accordance with the provisions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starting January 1, 2018. Prior to January 1, 2018, we recognized revenue in accordance with the provisions of ASC 954-605, </w:t>
      </w:r>
      <w:r>
        <w:rPr>
          <w:rFonts w:ascii="Arial" w:cs="Arial" w:eastAsia="Arial" w:hAnsi="Arial"/>
          <w:sz w:val="16"/>
          <w:szCs w:val="16"/>
          <w:i w:val="1"/>
          <w:iCs w:val="1"/>
          <w:color w:val="auto"/>
        </w:rPr>
        <w:t>Health Care Entities - Revenue Recognition</w:t>
      </w:r>
      <w:r>
        <w:rPr>
          <w:rFonts w:ascii="Arial" w:cs="Arial" w:eastAsia="Arial" w:hAnsi="Arial"/>
          <w:sz w:val="16"/>
          <w:szCs w:val="16"/>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revenue is generated from the provision of diagnostic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We have not had multiple element revenue arrangements through March 31, 2018.</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2018,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2017, cumulative amounts billed at list price for tests processed which were not recognized as revenue upon delivery of a patient report because our accrual revenue recognition criteria were not met and for which we have not collected cash or written off as uncollectible, totaled $159.3 million. Of this amount, we did not collect any material amounts in the three months ended March 31, 2018, when cash was received.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as we did in July 2015, it will increase the cumulative amounts billed. In addition, payer contracts generally include the right of offset and payers may offset payments prior to resolving disputes over tests performed.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we calculate the average Afirma genomic classifier reimbursement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Afirma genomic classifier represents the total cash collected to date against Afirma genomic classifier tests, including variants, performed during the relevant period divided by the number of these tests performed during that same period.</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three months ended March 31, 2018, on average we accrued between $2,600 and $2,700 for the Afirma genomic classifier tests, including variants, that met our revenue recognition standard, which was between 90% - 95% of the reported Afirma classifier test volume.</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the first quarter of 2017 to the first quarter of 2018, we accrued between $1.7 million and $2.5 million in revenue per quarter from providing cytopathology services associated with our Afirma solution.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continue to advance our product portfolio with diagnostic tests that leverage innovations in genomic science, sequencing technology and machine learning methodologies to further improve patient care. In May 2017, we introduced Afirma GSC, supported by rigorous clinical validation data showing that the RNA sequencing-based test can help significantly more patients avoid unnecessary surgery in thyroid cancer diagnosis, compared to the original Afirma test. In March 2018, we unveiled our Afirma Xpression Atlas, which uses the same RNA sequencing platform as the Afirma GSC and enables us to extract rich genomic content - including gene expression, DNA variants and RNA fusions in over 500 genes that are associated with thyroid cancer - from thyroid FNA samples. We believe that this novel offering will provide clinicians with valuable genomic information that may inform surgery strategy and treatment options for patients with suspected thyroid cancer.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Together with our Afirma GSC and our tests for the BRAF v600E mutation and medullary thyroid cancer (Malignancy Classifiers), the Afirma Xpression Atlas rounds out a comprehensive solution for physicians evaluating thyroid nodules. This innovation also enabled our recently announced research collaboration with Loxo Oncology, which is intended to support their development of targeted therapies for genetically defined cancers, including thyroid cancer.</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also expanded our ability to provide important clinical answers - without the need for surgery - into pulmonology. Our Percepta Bronchial Genomic Classifier, introduced in April 2015, is the first genomic test to receive Medicare coverage for use in lung cancer diagnosis, where it improves the diagnostic performance of bronchoscopy. Additionally, our Envisia Genomic Classifier launched in October 2016 and is the first commercial test to improve the diagnosis of idiopathic pulmonary fibrosis among patients with a suspected interstitial lung disease.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currently exploring opportunities to utilize the same “field of injury” technology that powers our Percepta classifier to develop a nasal swab test that can enable earlier lung cancer detection - and ultimately help reduce lung cancer deaths. Additionally, we believe our Xpression Atlas platform can be transferred to our pulmonology indications, to further improve patient care and advance precision medicine in lung cancer and idiopathic pulmonary fibrosis.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 March 31, 2018, we derived substantially all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8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0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payment history, payer coverage, whether there is a reimbursement contract between the payer and us, payment as a percentage of agreed upon rate (if applicable), amount paid per test and any current developments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quarters.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components of our cost of revenue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2017 and the first quarter of 2018, and expect to continue doing so in the remainder of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three months ended March 31, 2018, approximately 66% of the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 amortization began in April 2015 when we launched the Percepta test. The finite-lived intangible asset with a cost of $16.0 million is being amortized over 15 years, using the straight-line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is attributable to our borrowings under debt agreements and capital leases as well as costs associated with the pre-payment of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income, net consists primarily of sublease rental income and interest income received from payers and from our cash equivalents.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March 31, 2018 and 2017 (In Thousands of Dollars, Except Percentages and Genomic Classifiers Reported)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6"/>
              </w:rPr>
              <w:t>Three Months Ended March 31,</w:t>
            </w:r>
          </w:p>
        </w:tc>
        <w:tc>
          <w:tcPr>
            <w:tcW w:w="860" w:type="dxa"/>
            <w:vAlign w:val="bottom"/>
            <w:tcBorders>
              <w:bottom w:val="single" w:sz="8" w:color="auto"/>
            </w:tcBorders>
          </w:tcPr>
          <w:p>
            <w:pPr>
              <w:spacing w:after="0"/>
              <w:rPr>
                <w:sz w:val="16"/>
                <w:szCs w:val="16"/>
                <w:color w:val="auto"/>
              </w:rPr>
            </w:pPr>
          </w:p>
        </w:tc>
      </w:tr>
      <w:tr>
        <w:trPr>
          <w:trHeight w:val="264"/>
        </w:trPr>
        <w:tc>
          <w:tcPr>
            <w:tcW w:w="70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20,041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22%</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r>
      <w:tr>
        <w:trPr>
          <w:trHeight w:val="243"/>
        </w:trPr>
        <w:tc>
          <w:tcPr>
            <w:tcW w:w="70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(9)%</w:t>
            </w:r>
          </w:p>
        </w:tc>
      </w:tr>
      <w:tr>
        <w:trPr>
          <w:trHeight w:val="27"/>
        </w:trPr>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57%</w:t>
            </w:r>
          </w:p>
        </w:tc>
      </w:tr>
      <w:tr>
        <w:trPr>
          <w:trHeight w:val="243"/>
        </w:trPr>
        <w:tc>
          <w:tcPr>
            <w:tcW w:w="70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(6)%</w:t>
            </w:r>
          </w:p>
        </w:tc>
      </w:tr>
      <w:tr>
        <w:trPr>
          <w:trHeight w:val="27"/>
        </w:trPr>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70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28,996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5,047</w:t>
            </w: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21%</w:t>
            </w:r>
          </w:p>
        </w:tc>
      </w:tr>
      <w:tr>
        <w:trPr>
          <w:trHeight w:val="27"/>
        </w:trPr>
        <w:tc>
          <w:tcPr>
            <w:tcW w:w="7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(44)%</w:t>
            </w:r>
          </w:p>
        </w:tc>
      </w:tr>
      <w:tr>
        <w:trPr>
          <w:trHeight w:val="27"/>
        </w:trPr>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126%</w:t>
            </w:r>
          </w:p>
        </w:tc>
      </w:tr>
      <w:tr>
        <w:trPr>
          <w:trHeight w:val="297"/>
        </w:trPr>
        <w:tc>
          <w:tcPr>
            <w:tcW w:w="7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12%</w:t>
            </w:r>
          </w:p>
        </w:tc>
      </w:tr>
      <w:tr>
        <w:trPr>
          <w:trHeight w:val="210"/>
        </w:trPr>
        <w:tc>
          <w:tcPr>
            <w:tcW w:w="70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Other Operating Data:</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Genomic classifiers reported</w:t>
            </w:r>
          </w:p>
        </w:tc>
        <w:tc>
          <w:tcPr>
            <w:tcW w:w="20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6,864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18%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Revenue increased $3.6 million, or 22%, for the three months ended March 31, 2018 compared to the same period in 2017, primarily due to an increase in accrued genomic classifiers revenue of $4.8 million to $17.9 million for the three months ended March 31, 2018 compared to $13.1 million for the same period in 2017. The increase in genomic classifiers revenue is due to a volume increase of 18% in reported tests from increased adoption of Afirma and an average accrual rate increase of 11% from higher historical payer collections resulting from more coverage and contracts with payers. During the first quarter of 2018, cash collections for certain tests delivered in 2017 were coming in at rates higher than originally accrued. As a result, we changed our estimate of the amounts to be recognized for these tests and recognized an additional $0.7 million of revenue during the three-months ended March 31, 2018. This change in estimate resulted in a decrease in loss from operations of $0.7 million and a decrease in loss per share of approximately $0.02. For the three months ended March 31, 2018, all of our revenue was recognized on an accrual basis. For the three months ended March 31, 2017, we recognized $16.4 million in revenue, comprised of $15.1 million in revenue recognized on an accrual basis and $1.3 million in revenue recognized on the cash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2018 and 2017 is as follows (in thousands of dollars, except percentages):</w:t>
      </w:r>
    </w:p>
    <w:p>
      <w:pPr>
        <w:spacing w:after="0" w:line="379"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Laboratory costs</w:t>
            </w:r>
          </w:p>
        </w:tc>
        <w:tc>
          <w:tcPr>
            <w:tcW w:w="3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1,050</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Sample collection costs</w:t>
            </w:r>
          </w:p>
        </w:tc>
        <w:tc>
          <w:tcPr>
            <w:tcW w:w="3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0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fees and royalties</w:t>
            </w:r>
          </w:p>
        </w:tc>
        <w:tc>
          <w:tcPr>
            <w:tcW w:w="3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5"/>
              </w:rPr>
              <w:t>(36)%</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3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0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4"/>
              </w:rPr>
              <w:t>52%</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Allocations</w:t>
            </w: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1,570</w:t>
            </w:r>
          </w:p>
        </w:tc>
        <w:tc>
          <w:tcPr>
            <w:tcW w:w="10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revenue increased $1.6 million or 25%, for the three months ended March 31, 2018 compared to the same period in 2017. Reported genomic test volume increased 18% and cytopathology volume declined 6%. Commencing in the second half of 2017, we began transitioning customers to our next-generation Afirma GSC, while running dual platforms to support the transition from its predecessor, the Afirma GEC. As a result, we have experienced higher costs per test to support running dual platforms in our laboratory. Subject to exceptions for select states where we need regulatory approval prior to completing the transition, we expect to be to substantially complete with the transition to the Afirma GSC by June 30, 2018. The increase in laboratory costs is due principally to the transition to the Afirma GSC. The increase in sample collection costs is primarily related to the increase in the overall volume of samples received, including the recent launch of our Percepta Bronchial Genomic Classifier. Compensation expense increased due to an average laboratory headcount increase of 13%. We pay licensing fees to our reagent supplier for the GEC, which we do not pay for the GSC. In total, we expect any savings from licensing fees to be used to pay laboratory costs for our GSC test. The increase in other expenses is primarily due to equipment maintenance costs and laboratory supplies.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2018 and 2017 is as follows (in thousands of dollars, except percentages):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7"/>
              </w:rPr>
              <w:t>Three Months Ended 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7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2,304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research and development expense</w:t>
            </w:r>
          </w:p>
        </w:tc>
        <w:tc>
          <w:tcPr>
            <w:tcW w:w="220" w:type="dxa"/>
            <w:vAlign w:val="bottom"/>
            <w:shd w:val="clear" w:color="auto" w:fill="CCEEFF"/>
          </w:tcPr>
          <w:p>
            <w:pPr>
              <w:spacing w:after="0"/>
              <w:rPr>
                <w:sz w:val="21"/>
                <w:szCs w:val="21"/>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21"/>
                <w:szCs w:val="2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(39)%</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(25)%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57"/>
        </w:trPr>
        <w:tc>
          <w:tcPr>
            <w:tcW w:w="726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3,675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4,030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Research and development expense decreased $355,000, or 9%, for the three months ended March 31, 2018 compared to the same period in 2017. The increase in compensation expense was primarily due to severance costs, partially offset by a 7% decrease in the average headcount. The decrease in direct research and development expense was due to a lesser amount of materials purchased for research and development experiments following the completion of several major projects. The decrease in other expenses is primarily due to lower equipment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2018 and 2017 is as follows (in thousands of dollars, except percentages):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8"/>
              </w:rPr>
              <w:t>Three Months Ended March 31,</w:t>
            </w:r>
          </w:p>
        </w:tc>
        <w:tc>
          <w:tcPr>
            <w:tcW w:w="9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7,862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85%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Genzyme co-promotion expense, net</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(100)%</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58%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37%</w:t>
            </w:r>
          </w:p>
        </w:tc>
      </w:tr>
      <w:tr>
        <w:trPr>
          <w:trHeight w:val="257"/>
        </w:trPr>
        <w:tc>
          <w:tcPr>
            <w:tcW w:w="744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11,543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4,207</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57%</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and marketing expense increased $4.2 million, or 57%, for the three months ended March 31, 2018 compared to the same period in 2017, principally due to a 31% increase in average headcount, increased incentive compensation and to a lesser extent, increased travel and entertainment expense classified under other expenses. The decrease in direct marketing expense was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primarily due to a corporate rebranding initiative in the three months ended March 31, 2017. The increase in professional fees is due to increased consulting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2018 and 2017 is as follows (in thousands of dollars, except percentages):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6"/>
              </w:rPr>
              <w:t>Three Months Ended March 31,</w:t>
            </w:r>
          </w:p>
        </w:tc>
        <w:tc>
          <w:tcPr>
            <w:tcW w:w="900" w:type="dxa"/>
            <w:vAlign w:val="bottom"/>
            <w:tcBorders>
              <w:bottom w:val="single" w:sz="8" w:color="auto"/>
            </w:tcBorders>
          </w:tcPr>
          <w:p>
            <w:pPr>
              <w:spacing w:after="0"/>
              <w:rPr>
                <w:sz w:val="16"/>
                <w:szCs w:val="16"/>
                <w:color w:val="auto"/>
              </w:rPr>
            </w:pPr>
          </w:p>
        </w:tc>
      </w:tr>
      <w:tr>
        <w:trPr>
          <w:trHeight w:val="264"/>
        </w:trPr>
        <w:tc>
          <w:tcPr>
            <w:tcW w:w="7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36"/>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3,781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(5)%</w:t>
            </w: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w:t>
            </w: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Occupancy costs</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19%</w:t>
            </w: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5%</w:t>
            </w: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w:t>
            </w:r>
          </w:p>
        </w:tc>
      </w:tr>
      <w:tr>
        <w:trPr>
          <w:trHeight w:val="257"/>
        </w:trPr>
        <w:tc>
          <w:tcPr>
            <w:tcW w:w="728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(6)%</w:t>
            </w: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 decreased $375,000, or 6%, for the three months ended March 31, 2018 compared to the same period in 2017. The decrease in compensation expense was due to a 2% decrease in average headcount for the three months ended March 31, 2018 as compared to the same period in 2017. The increase in occupancy costs was due to higher maintenance charges.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decreased $352,000 or 44% for the three months ended March 31, 2018 compared to the same period in 2017 due to a decrease in the effective interest rate to 7.6% under the Loan and Security Agreement from 13.6% under the credit agreement that was in place during the three months ended March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net, increased $126,000 for the three months ended March 31, 2018 compared to the same period in 2017 primarily due to the tax benefit from the legal settlement regarding short-swing profits and higher interest income from our money market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incurred net losses since our inception. For the three months ended March 31, 2018, we had a net loss of $9.2 million, and as of March 31, 2018, we had an accumulated deficit of $220.3 million. We expect to incur additional losses in the future and may never achieve revenue sufficient to offset our expenses.</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believe our existing cash and cash equivalents of $27.2 million as of March 31, 2018, our available revolving line of credit, and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3, 2017, we entered into the Loan and Security Agreement with Silicon Valley Bank. The Loan and Security Agreement allows us to borrow up to $35.0 million, with a $25.0 million term,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The effective interest rate was 7.6% for the three months ended March 31, 2018.</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may prepay the outstanding principal amount under the Term Loan plus accrued and unpaid interest and, if the Term Loan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in the amount of $1.2 million is due upon the earlier of the maturity date of the Term Loan or its payment in full.</w:t>
      </w:r>
    </w:p>
    <w:p>
      <w:pPr>
        <w:spacing w:after="0" w:line="1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 As of March 31, 2018 the principal balance outstanding was $25.0 million and we were in compliance with debt covenants.</w:t>
      </w:r>
    </w:p>
    <w:p>
      <w:pPr>
        <w:spacing w:after="0" w:line="1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obligations under the Loan and Security Agreement are secured by substantially all of our assets (excluding intellectual property), subject to certain customary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three months ended March 31, 2018 and 2017 (in thousands of dollars):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548</w:t>
            </w:r>
          </w:p>
        </w:tc>
      </w:tr>
      <w:tr>
        <w:trPr>
          <w:trHeight w:val="27"/>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used in operating activities for the three months ended March 31, 2018 was $7.4 million. The net loss of $9.3 million includes non-cash charges of $1.2 million of stock-based compensation expense and $1.0 million of depreciation and amortization, which includes $0.3 million of intangible asset amortization. Cash used as a result of changes in operating assets and liabilities of $0.4 million was primarily due to an increase in accounts receivable of $0.5 million, a decrease in accounts payable of $0.5 million, and an increase in prepaid expenses and other assets of $0.4 million, partially offset by a decrease in supplies inventory of $0.8 million and an increase in accrued liabilities of $0.3 million, which included a commission accrual partially offset by the payment of annual bonuses.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operating activities for the three months ended March 31, 2017 was $8.1 million. The net loss of $8.2 million was offset primarily by $1.6 million of stock-based compensation expense and $0.9 million of depreciation and amortization, which includes $0.3 million of intangible asset amortization. Cash used as a result of changes in operating assets and liabilities of $2.4 million is primarily due to a decrease in accrued liabilities and deferred rent of $2.3 million, primarily from the payment of annual bonuses.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used in investing activities for the three months ended March 31, 2018 was $0.2 million for the acquisition of property and equipment.</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used in investing activities for the three months ended March 31, 2017 was $0.6 million for the acquisition of property and equipment, partially offset by $0.4 million of proceeds from the sale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provided by financing activities for the three months ended March 31, 2018 was $0.9 million, consisting of $0.6 million in proceeds from the purchase of stock under our Employee Stock Purchase Plan, or ESPP, and exercise of options to purchase our common stock and $0.4 million in proceeds from a legal settlement, partially offset by capital lease payments of $0.1 million during the period.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provided by financing activities for the three months ended March 31, 2017 was $0.5 million, consisting of $0.4 million in proceeds from the purchase of stock under our ESPP and exercise of options to purchase our common stock and $0.2 million were cost reimbursements received related to our issuance of common stock in a public offering in the fourth quarter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during the interim period in the contractual obligations presented in our Form 10-K for the year ended December 31, 2017 filed with the Securities and Exchange Commission on February 27,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will be effective for interim and annual periods beginning after December 15, 2018. Entities are required to use a modified retrospective approach for leases that exist or are entered into after the beginning of the earliest comparative period in the financial statements. Full retrospective application is prohibited and early adoption is permitted. We expect to adopt this standard beginning in 2019. We do not expect that this standard will have a material impact on our results of operations or cash flows, but that it will have a material impact on our assets and liabilities. We are currently in the process of quantifying the impact of adopting this ASU.</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 Restricted Cash.</w:t>
      </w:r>
      <w:r>
        <w:rPr>
          <w:rFonts w:ascii="Arial" w:cs="Arial" w:eastAsia="Arial" w:hAnsi="Arial"/>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became effective for interim and annual periods beginning after December 15, 2017. We adopted this ASU retrospectively as of January 1, 2018 and the impact on our financial statements was not material because prior period restricted cash balances were immaterial.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$27.2 million as of March 31, 2018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 Under our Loan and Security Agreement, we pay interest on any outstanding balances under this agreement based on a variable market rate. A significant change in these market rates may adversely affect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three months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 a history of losses, and we expect to incur net losses for the foreseeable future and may never achieve or sustain profitability.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incurred net losses since our inception. For the three months ended March 31, 2018, we had a net loss of $9.2 million and as of March 31, 2018, we had an accumulated deficit of $220.3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tests, Percepta, our lung cancer test which we launched in April 2015, Envisia, our test for idiopathic pulmonary fibrosis, or IPF, which we launched in October 2016, and the development of additional tests. We may never achieve or sustain profitability, and our failure to achieve and sustain profitability in the future could cause the market price of our common stock to decline.</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However, revenue from Percepta has not been significant to date. We also launched our Envisia test to help improve the diagnosis of interstitial lung disease, specifically IPF, in October 2016, but have not recognized revenue from Envisia to-date.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Percepta tests, or successfully obtain coverage and reimbursement for our Envisia test or develop and commercialize other solutions, our revenue and our ability to achieve and sustain profitability would be impaired, and the market price of our common stock could decline.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we are not able to successfully transition to our next-generation Afirma GSC, our business, operating results and competitive position could be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harmed.</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in the process of transitioning our customers to our next-generation Afirma Genomic Sequencing Classifier, or GSC, that uses a new technology platform for the Afirma genomic classifier testing. There are risks associated with this transition that include, but are not limited to, operational implementation, reimbursement, and customer adoption risks. If we are unable to effectively transition to the new platform, our business, financial condition and results of operations could be adversely effected and our reputation and competitive position could be harmed.</w:t>
      </w:r>
    </w:p>
    <w:p>
      <w:pPr>
        <w:spacing w:after="0" w:line="17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for tests performed on patients covered by Medicare and UnitedHealthcare was 29% and 13%, respectively, of our revenue for the three months ended March 31, 2018, compared with 26% and 13%, respectively, for the three months ended March 31, 2017.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the Afirma Gene Expression Classifier, or GEC. Afirma GSC is now covered by Noridian Healthcare Solutions, the current MAC for our jurisdiction, through the Molecular Diagnostics Services Program, or MolDX program, administered by Palmetto GBA, under a Local Coverage Determination, or LCD.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Noridian Healthcare Solutions issued an LCD for Percepta effective as of May 2017. This coverage policy requires us to maintain a Certification and Training Registry program and make Percepta available only to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submitted the dossier of clinical evidence needed to obtain Medicare coverage for the Envisia Genomic Classifier through the MolDX technical assessment process, but there can be no assurances that Envisia will obtain Medicare coverage in 2018 or in subsequent years.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 five-year rotational basis, Medicare requests bids for its regional MAC services. Any future changes in the MAC processing or coding for Medicare claims for the Afirma classifier or Percepta could result in a change in the coverage or reimbursement rates for such products, or the loss of coverage, and could also result in increased difficulties in obtaining and maintaining coverage for the Envisia classifier.</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CMS in 2017 as required under the Protecting Access to Medicare Act of 2014, or PAMA. This payment rate will be effective through December 31, 2020. There can be no assurance that the rate will not decrease in the future following the next reporting period under PAMA.</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submit claims to Medicare for Percepta using an unlisted code and were paid at the rate of $3,220 in 2017 under the MolDX program. A specific CPT code assigned to Percepta may be required to go through the national payment determination process, and there can be no assurance that the Medicare payment rate the test receives through this process will not be lower than the current payment rate for Percepta. There can also be no assurance that the Medicare payment rate for Percepta will not be reduced when it is set based on volume-weighted median of private payer rates after the next reporting period under PAMA.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there is a decrease in the Medicare payment rate for our tests, our revenue from Medicare will decrease and the payment rates for some of our commercial payers may also decrease if they tie their allowable rates to the Medicare rate. These changes could have an adverse effect on our business, financial condition and results of operations.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Any such actions could have a negative effect on our revenue.</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8" w:lineRule="exact"/>
        <w:rPr>
          <w:sz w:val="20"/>
          <w:szCs w:val="20"/>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do not have a contracted rate of reimbursement with many payers for the Afirma or Percepta tests, and we do not have any contracted reimbursement with any payers with respect to the Envisia test. Without a contracted rate for reimbursement,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classifiers, the Percepta classifier and the Envisia classifier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 for our tests, the payment rates for some of our commercial payers may also decrease if they tie their allowable rates to the Medicare rate.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Because our diagnostic services are performed by our certified laboratory under the Clinical Laboratory Improvement Amendments of 1988, or CLIA, rather than by the local laboratory or pathology practice, pathologists may be reluctant to support our testing services as well. Guidelines that include our classifiers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3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Congressional efforts to repeal the ACA could result in an increase in uninsured patients. These events may result in patients delaying or forgoing medical checkups or treatment due to their inability to pay for our tests, which could have an adverse effect on our revenue.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Thyroid Cytopathology Partners, or TCP to provide cytopathology professional diagnoses on thyroid fine needle aspiration, or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adversely affect our operations. If we are unable to manage our growth effectively, it may be difficult for us to execute our business strategy and our business could be harmed.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ACA, enacted in March 2010, made changes that significantly affected the pharmaceutical and medical device industries and clinical laboratories. Effective January 1, 2013, the ACA included a 2.3% excise tax on the sale of certain medical devices sold outside of the retail setting. Although a moratorium has been imposed on this excise tax for 2016 through 2019, the excise tax is scheduled to be restored in 2020.</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the ACA establishes an Independent Payment Advisory Board, or IPAB, to reduce the per capita rate of growth in Medicare spending. The IPAB has broad discretion to propose policies to reduce expenditures, which may have a negative effect on payment rates for services. The IPAB proposals could have affected payments for clinical laboratory services beginning in 2016 and may affect those for hospital services beginning in 2020. We are monitoring the effect of the ACA to determine the trends and changes that may be necessitated by the legislation, any of which may potentially affect our business.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predict the impact that an amendment or repeal of the ACA will have on our business.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 Medicare rate and the calculation of a weighted average (based on units billed) of such rates.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tests outside the United States subject our business to foreign regulatory requirements and cost-reduction measures, which may also change over time.</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There can be no assurance that the payment rate for Afirma will not decrease in the future or that the payment rates for Percepta or Envisia will not be adversely affected by the PAMA law and regulations.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Afirma genomic classifier as well as our Percepta and Envisia classifiers would be considered ADLTs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 ADLT status for our tests, but there can be no assurance that our tests will be designated ADLTs or that the payment rates for our tests will not be adversely affected by such designation.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2016, Congress passed the 21st Century Cures Act, which, among other things, revised the process for LCDs. CMS and the MACs are in the process of implementing these revisions and we cannot predict whether these revisions will delay coverage for our test products, which could have a material negative impact on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Our Afirma, Percepta, and Envisia classifiers should be covered by this policy. Accordingly, we would no longer bill hospitals for these tests when we perform them on specimens collected from hospital outpatients.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 While we believe the impact of these revisions are favorable to us, we cannot predict with certainty the impact on our business. CMS may change this regulatory policy in the future, which could negatively impact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It also suggests a four-year phased implementation of the premarket review requirements for some types of tests.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2017, a draft bill titled "The Diagnostics Accuracy and Innovation Act" was released for discussion. The bill proposes a risk-based approach to regulate LDTs and creates a new in vitro clinical test category, which includes LDTs, and a regulatory structure under the FDA. As proposed, the bill grandfathers existing tests and gives companies five years to augment test development pipelines to ensure new tests have the data necessary for FDA approval. We cannot predict whether this draft bill will become legislation and cannot quantify the effect of this draft bill on our business.</w:t>
      </w:r>
    </w:p>
    <w:p>
      <w:pPr>
        <w:spacing w:after="0" w:line="15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Some of the materials we use for our tests and that we may use for future tests are labeled for research use only, or RUO, or investigational 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Rosetta Genomics Ltd., and others who are developing new products or technologies that may compete with our tests. In the future, we may also face competition from companies developing new products or technologies.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Integrated Diagnostics, Inc., Oncocyte Corporation and Oncimmune.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 — for instance, to screen for cancer — or to gauge risk of recurrence or response to treatment.</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loss of members of our senior management team or our inability to attract and retain key personnel could adversely affect our business.</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as we transitioned out of our Genzyme Corporation co-promotion agreement in the United States. There can be no assurance that we will be successful in maintaining and growing our business. Additionally, as we increase our sales channels for new tests we commercialize, including the Percepta and Envisia tests, we may have difficulties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Billing for our diagnostic tests is complex, and we must dedicate substantial time and resources to the billing process to be paid.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52" w:lineRule="exact"/>
        <w:rPr>
          <w:sz w:val="20"/>
          <w:szCs w:val="20"/>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65" w:lineRule="exact"/>
        <w:rPr>
          <w:rFonts w:ascii="Arial" w:cs="Arial" w:eastAsia="Arial" w:hAnsi="Arial"/>
          <w:sz w:val="18"/>
          <w:szCs w:val="18"/>
          <w:color w:val="auto"/>
        </w:rPr>
      </w:pPr>
    </w:p>
    <w:p>
      <w:pPr>
        <w:ind w:left="2040" w:hanging="411"/>
        <w:spacing w:after="0"/>
        <w:tabs>
          <w:tab w:leader="none" w:pos="2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306"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65"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use standard industry billing codes, known as CPT codes, to bill for cytopathology. In addition, we use the CPT code 81545 to bill for our Afirma classifier. CPT codes do not exist for our other proprietary molecular diagnostic tests. Therefore, until such time that we are assigned and are able to use a designated CPT code specific to Percepta and Envisia, we use “unlisted”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81545 code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8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determination, there is a risk that we may be required to return some portion of prior payments we have received.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We rely on a third-party provider to transmit claims to payers, and any delay in transmitting claims could have an adverse effect on our revenue.</w:t>
      </w:r>
    </w:p>
    <w:p>
      <w:pPr>
        <w:spacing w:after="0" w:line="2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sell Afirma in the United States through our internal sales team and, until recently, also through a co-promotion agreement with Genzyme Corporation, which we terminated effective September 9, 2016. In connection with the transition, we have hired additional sales personnel to sell our Afirma tests. If we are unsuccessful in transitioning the sales and marketing of the Afirma test from Genzyme solely to our internal sales and marketing personnel, we may experience declining test volumes and associated declines in revenue. We may not be able to market or sell the Afirma test effectively enough to maintain or increase demand for the test, or without significant additional sales and marketing efforts and expense. Our failure to do so successfully without the benefit of Genzyme’s efforts could have an adverse effect on our business, financial condition and results of operations.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7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52" w:lineRule="exact"/>
        <w:rPr>
          <w:sz w:val="20"/>
          <w:szCs w:val="20"/>
          <w:color w:val="auto"/>
        </w:rPr>
      </w:pPr>
    </w:p>
    <w:p>
      <w:pPr>
        <w:ind w:left="2020" w:hanging="391"/>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97" w:lineRule="exact"/>
        <w:rPr>
          <w:sz w:val="20"/>
          <w:szCs w:val="20"/>
          <w:color w:val="auto"/>
        </w:rPr>
      </w:pPr>
    </w:p>
    <w:p>
      <w:pPr>
        <w:ind w:left="2020" w:hanging="391"/>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65"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cannot enter into new clinical study collaborations, our product development and subsequent commercialization could be delayed.</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Loan and Security Agreement provides our lender with a first-priority liens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loan and security agreement requires us to achieve certain revenue levels tested quarterly on a trailing twelve-month basis. However, failure to maintain the revenue levels will not be considered a default if we maintain liquidity of at least $40.0 million. Our ability to comply with these and other covenants is dependent upon a number of factors, some of which are beyond our control.</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first-priority liens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9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personal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6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left="980" w:firstLine="649"/>
        <w:spacing w:after="0" w:line="325" w:lineRule="auto"/>
        <w:tabs>
          <w:tab w:leader="none" w:pos="20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5" w:lineRule="exact"/>
        <w:rPr>
          <w:rFonts w:ascii="Arial" w:cs="Arial" w:eastAsia="Arial" w:hAnsi="Arial"/>
          <w:sz w:val="17"/>
          <w:szCs w:val="17"/>
          <w:color w:val="auto"/>
        </w:rPr>
      </w:pPr>
    </w:p>
    <w:p>
      <w:pPr>
        <w:ind w:left="2020" w:hanging="391"/>
        <w:spacing w:after="0"/>
        <w:tabs>
          <w:tab w:leader="none" w:pos="2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65" w:lineRule="exact"/>
        <w:rPr>
          <w:rFonts w:ascii="Arial" w:cs="Arial" w:eastAsia="Arial" w:hAnsi="Arial"/>
          <w:sz w:val="18"/>
          <w:szCs w:val="18"/>
          <w:color w:val="auto"/>
        </w:rPr>
      </w:pPr>
    </w:p>
    <w:p>
      <w:pPr>
        <w:jc w:val="both"/>
        <w:ind w:left="980" w:firstLine="649"/>
        <w:spacing w:after="0" w:line="336" w:lineRule="auto"/>
        <w:tabs>
          <w:tab w:leader="none" w:pos="20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64" w:lineRule="exact"/>
        <w:rPr>
          <w:rFonts w:ascii="Arial" w:cs="Arial" w:eastAsia="Arial" w:hAnsi="Arial"/>
          <w:sz w:val="17"/>
          <w:szCs w:val="17"/>
          <w:color w:val="auto"/>
        </w:rPr>
      </w:pPr>
    </w:p>
    <w:p>
      <w:pPr>
        <w:jc w:val="both"/>
        <w:ind w:left="980" w:firstLine="649"/>
        <w:spacing w:after="0" w:line="306" w:lineRule="auto"/>
        <w:tabs>
          <w:tab w:leader="none" w:pos="20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firstLine="649"/>
        <w:spacing w:after="0" w:line="364" w:lineRule="auto"/>
        <w:tabs>
          <w:tab w:leader="none" w:pos="20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48" w:lineRule="exact"/>
        <w:rPr>
          <w:rFonts w:ascii="Arial" w:cs="Arial" w:eastAsia="Arial" w:hAnsi="Arial"/>
          <w:sz w:val="16"/>
          <w:szCs w:val="16"/>
          <w:color w:val="auto"/>
        </w:rPr>
      </w:pPr>
    </w:p>
    <w:p>
      <w:pPr>
        <w:ind w:left="980" w:firstLine="649"/>
        <w:spacing w:after="0" w:line="324" w:lineRule="auto"/>
        <w:tabs>
          <w:tab w:leader="none" w:pos="20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70" w:lineRule="exact"/>
        <w:rPr>
          <w:rFonts w:ascii="Arial" w:cs="Arial" w:eastAsia="Arial" w:hAnsi="Arial"/>
          <w:sz w:val="18"/>
          <w:szCs w:val="18"/>
          <w:color w:val="auto"/>
        </w:rPr>
      </w:pPr>
    </w:p>
    <w:p>
      <w:pPr>
        <w:jc w:val="both"/>
        <w:ind w:left="980" w:right="20" w:firstLine="649"/>
        <w:spacing w:after="0" w:line="311" w:lineRule="auto"/>
        <w:tabs>
          <w:tab w:leader="none" w:pos="20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ind w:left="980" w:right="20" w:firstLine="649"/>
        <w:spacing w:after="0" w:line="324" w:lineRule="auto"/>
        <w:tabs>
          <w:tab w:leader="none" w:pos="20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70" w:lineRule="exact"/>
        <w:rPr>
          <w:rFonts w:ascii="Arial" w:cs="Arial" w:eastAsia="Arial" w:hAnsi="Arial"/>
          <w:sz w:val="18"/>
          <w:szCs w:val="18"/>
          <w:color w:val="auto"/>
        </w:rPr>
      </w:pPr>
    </w:p>
    <w:p>
      <w:pPr>
        <w:jc w:val="both"/>
        <w:ind w:left="980" w:firstLine="649"/>
        <w:spacing w:after="0" w:line="336" w:lineRule="auto"/>
        <w:tabs>
          <w:tab w:leader="none" w:pos="20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64" w:lineRule="exact"/>
        <w:rPr>
          <w:rFonts w:ascii="Arial" w:cs="Arial" w:eastAsia="Arial" w:hAnsi="Arial"/>
          <w:sz w:val="17"/>
          <w:szCs w:val="17"/>
          <w:color w:val="auto"/>
        </w:rPr>
      </w:pPr>
    </w:p>
    <w:p>
      <w:pPr>
        <w:jc w:val="both"/>
        <w:ind w:left="980" w:firstLine="649"/>
        <w:spacing w:after="0" w:line="311" w:lineRule="auto"/>
        <w:tabs>
          <w:tab w:leader="none" w:pos="20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81" w:lineRule="exact"/>
        <w:rPr>
          <w:rFonts w:ascii="Arial" w:cs="Arial" w:eastAsia="Arial" w:hAnsi="Arial"/>
          <w:sz w:val="18"/>
          <w:szCs w:val="18"/>
          <w:color w:val="auto"/>
        </w:rPr>
      </w:pPr>
    </w:p>
    <w:p>
      <w:pPr>
        <w:ind w:left="2020" w:hanging="391"/>
        <w:spacing w:after="0"/>
        <w:tabs>
          <w:tab w:leader="none" w:pos="2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65"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enforcing our intellectual property rights.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8" w:lineRule="exact"/>
        <w:rPr>
          <w:sz w:val="20"/>
          <w:szCs w:val="20"/>
          <w:color w:val="auto"/>
        </w:rPr>
      </w:pPr>
    </w:p>
    <w:p>
      <w:pPr>
        <w:ind w:left="980" w:right="20" w:firstLine="649"/>
        <w:spacing w:after="0" w:line="324"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payer reimbursement regimes, government payers or patient self-pay systems;</w:t>
      </w:r>
    </w:p>
    <w:p>
      <w:pPr>
        <w:spacing w:after="0" w:line="288" w:lineRule="exact"/>
        <w:rPr>
          <w:rFonts w:ascii="Arial" w:cs="Arial" w:eastAsia="Arial" w:hAnsi="Arial"/>
          <w:sz w:val="16"/>
          <w:szCs w:val="16"/>
          <w:color w:val="auto"/>
        </w:rPr>
      </w:pPr>
    </w:p>
    <w:p>
      <w:pPr>
        <w:ind w:left="2020" w:hanging="391"/>
        <w:spacing w:after="0"/>
        <w:tabs>
          <w:tab w:leader="none" w:pos="2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logistics and regulations associated with shipping tissue samples, including infrastructure conditions and transportation delays;</w:t>
      </w:r>
    </w:p>
    <w:p>
      <w:pPr>
        <w:spacing w:after="0" w:line="288" w:lineRule="exact"/>
        <w:rPr>
          <w:rFonts w:ascii="Arial" w:cs="Arial" w:eastAsia="Arial" w:hAnsi="Arial"/>
          <w:sz w:val="16"/>
          <w:szCs w:val="16"/>
          <w:color w:val="auto"/>
        </w:rPr>
      </w:pPr>
    </w:p>
    <w:p>
      <w:pPr>
        <w:ind w:left="980" w:firstLine="649"/>
        <w:spacing w:after="0" w:line="324"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980" w:right="20" w:firstLine="649"/>
        <w:spacing w:after="0" w:line="324" w:lineRule="auto"/>
        <w:tabs>
          <w:tab w:leader="none" w:pos="20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firstLine="649"/>
        <w:spacing w:after="0" w:line="357" w:lineRule="auto"/>
        <w:tabs>
          <w:tab w:leader="none" w:pos="20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perform all of the Afirma, Percepta and Envisia genomic classifier testing at our laboratory in South San Francisco, California, near major earthquake faults known for seismic activity. Our laboratory in Austin, Texas accepts and stores substantially all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9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78" w:lineRule="exact"/>
        <w:rPr>
          <w:sz w:val="20"/>
          <w:szCs w:val="20"/>
          <w:color w:val="auto"/>
        </w:rPr>
      </w:pPr>
    </w:p>
    <w:p>
      <w:pPr>
        <w:ind w:right="80" w:firstLine="648"/>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Recent developments in Europe have created compliance uncertainty regarding the processing of personal data from Europe. For example, the General Data Protection Regulation (“GDPR”), which becomes effective in the European Union on May 25, 2018, will apply to our activities conducted from an establishment in the EU or related to products and services that we offer to European Union users. The GDPR will create new compliance obligations applicable to our business, which could cause us to change our business practices, and will increase financial penalties for noncompliance (including possible fines of up to 4% of global annual turnover for the preceding financial year or €20 million (whichever is higher) for the most serious infringements). As a result, we may need to modify the way we treat such information.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4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16 issued patents that expire between 2029 and 2032 related to methods used in the Afirma diagnostic platform, in addition to 14 pending U.S. utility patent applications, one pending Patent Cooperation Treaty, or PCT, patent application and two U.S. provisional patent applications. Some of these U.S. utility patent applications have pending foreign counterparts. We also exclusively licensed intellectual property, including rights to four issued patents that will expire between 2030 and 2032, and three pending U.S. utility patent applications in the thyroid space that would expire between 2030 and 2033 once issued, related to methods that are used in the Afirma diagnostic test, some of which have foreign counterparts. In the lung diagnostic space, we have exclusively licensed intellectual property rights to six pending patent applications and eight issued patents. Patents issuing from the licensed portfolio will expire between 2024 and 2028. In addition, we own two pending U.S. provisional applications, a pending U.S. utility patent application and pending foreign counterpart patent applications in Australia, Canada, China, Europe, Japan, and South Korea related to our Percepta test. We also own one U.S. patent application and one counterpart European patent application related to another lung disease, and two pending U.S. patent applications, five patent applications abroad, and one PCT patent application related to Envisia. Any patents granted from our current lung cancer patent applications will expire no earlier than 2035 and those from the interstitial lung disease patent applications will expire no earlier than 2034.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incurred net losses since our inception and may never achieve profitability. As of the fiscal year ended December 31, 2017, we had U.S. federal and state net operating losses, or NOLs, of approximately $196.1 million and $91.8 million, respectively. The federal and state NOL carryforwards will begin to expire, if not utilized, beginning in 2028. These NOL carryforwards could expire unused and be unavailable to offset future income tax liabilities. Under the newly enacted federal income tax law,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Code, if we earn net taxable income, our ability to use our pre-change NOL carryforwards to offset U.S. federal taxable income may become subject to limitations, which could potentially result in increased future tax liability to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U.S. government has recently enacted comprehensive tax legislation that includes significant changes to the taxation of business entities. These changes include, among others, (i) a permanent reduction to the corporate income tax rate,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the reduction in the corporate income tax rate, the overall impact of this tax reform is uncertain, and our business and financial condition could be adversely affected. In addition, it is uncertain if and to what extent various states will conform to the newly enacted federal tax law.</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financial statements during the period in which any impairment of our goodwill or intangible assets is determined, that would negatively affect our operating results.</w:t>
      </w:r>
    </w:p>
    <w:p>
      <w:pPr>
        <w:spacing w:after="0" w:line="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example, the FASB and the International Accounting Standards Board are working to converge certain accounting principles and facilitate more comparable financial reporting between companies that are required to follow U.S. GAAP and those that are required to follow International Financial Reporting Standards, or IFRS. In connection with these initiatives, the FASB issued new accounting standards for revenue recognition that replace most existing revenue recognition guidance. We have completed our assessment of the new accounting standards for revenue recognition and believe that the adoption of this new standard did not have a material impact on our financial reporting position or results of operations. The impact of the convergence of U.S. GAAP and IFRS, if any, on our financial statements is uncertain and may not be known until additional rules are proposed and adopted, which may or may not occur.</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financial statements are subject to change and if our estimates or judgments relating to our critical accounting policies prove to be incorrect, our operating results could be adversely affected.</w:t>
      </w:r>
    </w:p>
    <w:p>
      <w:pPr>
        <w:spacing w:after="0" w:line="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related notes.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Our independent registered public accounting firm will be required to issue an attestation report on the effectiveness of our internal control over financial reporting when we cease being an emerging growth company on December 31, 2018.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an emerging growth company, as defined under the Securities Act of 1933, or the Securities Act. We will remain an emerging growth company until December 31, 2018.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However, we previously irrevocably elected not to avail ourselves of this exemption from new or revised accounting standards and, therefore, will be subject to the same new or revised accounting standards as other public companies that are not emerging growth companies. If some investors find our common stock less attractive as a result of any choices to reduce future disclosure we may make, there may be a less active trading market for our common stock and our stock price may be more volatile.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April 27, 2018, directors and executive officers and their affiliates beneficially owned, in the aggregate, 14%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280" w:type="dxa"/>
            <w:vAlign w:val="bottom"/>
            <w:gridSpan w:val="6"/>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820" w:type="dxa"/>
            <w:vAlign w:val="bottom"/>
            <w:gridSpan w:val="3"/>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68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gridSpan w:val="5"/>
          </w:tcPr>
          <w:p>
            <w:pPr>
              <w:ind w:left="40"/>
              <w:spacing w:after="0" w:line="202" w:lineRule="exact"/>
              <w:rPr>
                <w:sz w:val="20"/>
                <w:szCs w:val="20"/>
                <w:color w:val="auto"/>
              </w:rPr>
            </w:pPr>
            <w:r>
              <w:rPr>
                <w:rFonts w:ascii="Arial" w:cs="Arial" w:eastAsia="Arial" w:hAnsi="Arial"/>
                <w:sz w:val="18"/>
                <w:szCs w:val="18"/>
                <w:color w:val="0000EE"/>
              </w:rPr>
              <w:t>Form of Performance Stock Unit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gridSpan w:val="2"/>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0000EE"/>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0000EE"/>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0000EE"/>
              </w:rPr>
              <w:t>Certification Pursuant to 18 U.S.C. § 1350 (Section 906 of the Sarbanes-Oxley Act of 2002)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gridSpan w:val="2"/>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0000EE"/>
              </w:rPr>
              <w:t>Certification Pursuant to 18 U.S.C. § 1350 (Section 906 of the Sarbanes-Oxley Act of 2002)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gridSpan w:val="2"/>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3"/>
                <w:szCs w:val="23"/>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3"/>
                <w:szCs w:val="23"/>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3"/>
                <w:szCs w:val="23"/>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3"/>
                <w:szCs w:val="23"/>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3"/>
                <w:szCs w:val="23"/>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1"/>
        </w:trPr>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5"/>
            <w:vMerge w:val="restart"/>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840" w:right="500" w:hanging="1400"/>
        <w:spacing w:after="0" w:line="279" w:lineRule="auto"/>
        <w:tabs>
          <w:tab w:leader="none" w:pos="1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240" w:top="122" w:right="6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540" w:type="dxa"/>
            <w:vAlign w:val="bottom"/>
            <w:gridSpan w:val="4"/>
          </w:tcPr>
          <w:p>
            <w:pPr>
              <w:ind w:left="1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540" w:type="dxa"/>
            <w:vAlign w:val="bottom"/>
            <w:gridSpan w:val="4"/>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75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60" w:type="dxa"/>
            <w:vAlign w:val="bottom"/>
            <w:gridSpan w:val="4"/>
          </w:tcPr>
          <w:p>
            <w:pPr>
              <w:jc w:val="right"/>
              <w:spacing w:after="0" w:line="202" w:lineRule="exact"/>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w:t>
            </w:r>
          </w:p>
        </w:tc>
        <w:tc>
          <w:tcPr>
            <w:tcW w:w="140" w:type="dxa"/>
            <w:vAlign w:val="bottom"/>
          </w:tcPr>
          <w:p>
            <w:pPr>
              <w:spacing w:after="0"/>
              <w:rPr>
                <w:sz w:val="17"/>
                <w:szCs w:val="17"/>
                <w:color w:val="auto"/>
              </w:rPr>
            </w:pPr>
          </w:p>
        </w:tc>
        <w:tc>
          <w:tcPr>
            <w:tcW w:w="9920" w:type="dxa"/>
            <w:vAlign w:val="bottom"/>
            <w:gridSpan w:val="6"/>
          </w:tcPr>
          <w:p>
            <w:pPr>
              <w:ind w:left="20"/>
              <w:spacing w:after="0" w:line="202" w:lineRule="exact"/>
              <w:rPr>
                <w:sz w:val="20"/>
                <w:szCs w:val="20"/>
                <w:color w:val="auto"/>
              </w:rPr>
            </w:pPr>
            <w:r>
              <w:rPr>
                <w:rFonts w:ascii="Arial" w:cs="Arial" w:eastAsia="Arial" w:hAnsi="Arial"/>
                <w:sz w:val="18"/>
                <w:szCs w:val="18"/>
                <w:color w:val="0000FF"/>
              </w:rPr>
              <w:t>Form of Performance Stock Unit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Principal Executive Officer’s Certification Pursuant to Section 302 of the Sarbanes-Oxley Act of 2002</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3"/>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0000FF"/>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0000FF"/>
              </w:rPr>
              <w:t>Certification Pursuant to 18 U.S.C. § 1350 (Section 906 of the Sarbanes-Oxley Act of 2002)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gridSpan w:val="2"/>
            <w:shd w:val="clear" w:color="auto" w:fill="0000FF"/>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0000FF"/>
              </w:rPr>
              <w:t>Certification Pursuant to 18 U.S.C. § 1350 (Section 906 of the Sarbanes-Oxley Act of 2002)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gridSpan w:val="2"/>
            <w:shd w:val="clear" w:color="auto" w:fill="0000FF"/>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3"/>
                <w:szCs w:val="23"/>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3"/>
                <w:szCs w:val="23"/>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3"/>
                <w:szCs w:val="23"/>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3"/>
                <w:szCs w:val="23"/>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3"/>
                <w:szCs w:val="23"/>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1"/>
        </w:trPr>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gridSpan w:val="6"/>
            <w:vMerge w:val="restart"/>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w w:val="93"/>
              </w:rPr>
              <w:t>In accordance with Item 601(b)(32)(ii) of Regulation S-K and SEC Release No. 34-47986, the certifications furnished in Exhibits 32.1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w w:val="93"/>
              </w:rPr>
              <w:t>and 32.2 hereto are deemed to accompany this Form 10-Q and will not be deemed “filed” for purposes of Section 18 of the Securities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w w:val="94"/>
              </w:rPr>
              <w:t>Exchange Act of 1934 (the “Exchange Act”) or deemed to be incorporated by reference into any filing under the Exchange Act or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Securities Act of 1933 except to the extent that the registrant specifically incorporates it by reference.</w:t>
            </w: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1,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Keith Kennedy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ind w:left="9360"/>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VERACYTE,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2013 STOCK INCENTIVE PLAN</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Notice of Performance-Based Stock Unit Award</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You have been granted an award (the “</w:t>
      </w:r>
      <w:r>
        <w:rPr>
          <w:rFonts w:ascii="Arial" w:cs="Arial" w:eastAsia="Arial" w:hAnsi="Arial"/>
          <w:sz w:val="20"/>
          <w:szCs w:val="20"/>
          <w:b w:val="1"/>
          <w:bCs w:val="1"/>
          <w:color w:val="auto"/>
        </w:rPr>
        <w:t>Award</w:t>
      </w:r>
      <w:r>
        <w:rPr>
          <w:rFonts w:ascii="Arial" w:cs="Arial" w:eastAsia="Arial" w:hAnsi="Arial"/>
          <w:sz w:val="20"/>
          <w:szCs w:val="20"/>
          <w:color w:val="auto"/>
        </w:rPr>
        <w:t>”) of the following Performance-Based Stock Units (“</w:t>
      </w:r>
      <w:r>
        <w:rPr>
          <w:rFonts w:ascii="Arial" w:cs="Arial" w:eastAsia="Arial" w:hAnsi="Arial"/>
          <w:sz w:val="20"/>
          <w:szCs w:val="20"/>
          <w:b w:val="1"/>
          <w:bCs w:val="1"/>
          <w:color w:val="auto"/>
        </w:rPr>
        <w:t>PSUs</w:t>
      </w:r>
      <w:r>
        <w:rPr>
          <w:rFonts w:ascii="Arial" w:cs="Arial" w:eastAsia="Arial" w:hAnsi="Arial"/>
          <w:sz w:val="20"/>
          <w:szCs w:val="20"/>
          <w:color w:val="auto"/>
        </w:rPr>
        <w:t>”) representing shares of Common Stock of Veracyte, Inc. (the “</w:t>
      </w:r>
      <w:r>
        <w:rPr>
          <w:rFonts w:ascii="Arial" w:cs="Arial" w:eastAsia="Arial" w:hAnsi="Arial"/>
          <w:sz w:val="20"/>
          <w:szCs w:val="20"/>
          <w:b w:val="1"/>
          <w:bCs w:val="1"/>
          <w:color w:val="auto"/>
        </w:rPr>
        <w:t>Company</w:t>
      </w:r>
      <w:r>
        <w:rPr>
          <w:rFonts w:ascii="Arial" w:cs="Arial" w:eastAsia="Arial" w:hAnsi="Arial"/>
          <w:sz w:val="20"/>
          <w:szCs w:val="20"/>
          <w:color w:val="auto"/>
        </w:rPr>
        <w:t>”) under the Company’s 2013 Stock Incentive Plan (the “</w:t>
      </w:r>
      <w:r>
        <w:rPr>
          <w:rFonts w:ascii="Arial" w:cs="Arial" w:eastAsia="Arial" w:hAnsi="Arial"/>
          <w:sz w:val="20"/>
          <w:szCs w:val="20"/>
          <w:b w:val="1"/>
          <w:bCs w:val="1"/>
          <w:color w:val="auto"/>
        </w:rPr>
        <w:t>Plan</w:t>
      </w:r>
      <w:r>
        <w:rPr>
          <w:rFonts w:ascii="Arial" w:cs="Arial" w:eastAsia="Arial" w:hAnsi="Arial"/>
          <w:sz w:val="20"/>
          <w:szCs w:val="20"/>
          <w:color w:val="auto"/>
        </w:rPr>
        <w:t>”) subject to the terms and conditions of the Plan, this Notice of Performance-Based Stock Unit Award (the “</w:t>
      </w:r>
      <w:r>
        <w:rPr>
          <w:rFonts w:ascii="Arial" w:cs="Arial" w:eastAsia="Arial" w:hAnsi="Arial"/>
          <w:sz w:val="20"/>
          <w:szCs w:val="20"/>
          <w:b w:val="1"/>
          <w:bCs w:val="1"/>
          <w:color w:val="auto"/>
        </w:rPr>
        <w:t>Notice</w:t>
      </w:r>
      <w:r>
        <w:rPr>
          <w:rFonts w:ascii="Arial" w:cs="Arial" w:eastAsia="Arial" w:hAnsi="Arial"/>
          <w:sz w:val="20"/>
          <w:szCs w:val="20"/>
          <w:color w:val="auto"/>
        </w:rPr>
        <w:t>”), the performance-based terms and conditions set forth in Appendix A attached hereto (“</w:t>
      </w:r>
      <w:r>
        <w:rPr>
          <w:rFonts w:ascii="Arial" w:cs="Arial" w:eastAsia="Arial" w:hAnsi="Arial"/>
          <w:sz w:val="20"/>
          <w:szCs w:val="20"/>
          <w:b w:val="1"/>
          <w:bCs w:val="1"/>
          <w:color w:val="auto"/>
        </w:rPr>
        <w:t>Appendix A</w:t>
      </w:r>
      <w:r>
        <w:rPr>
          <w:rFonts w:ascii="Arial" w:cs="Arial" w:eastAsia="Arial" w:hAnsi="Arial"/>
          <w:sz w:val="20"/>
          <w:szCs w:val="20"/>
          <w:color w:val="auto"/>
        </w:rPr>
        <w:t>”) and the Performance-Based Stock Unit Agreement attached hereto as Appendix B (“</w:t>
      </w:r>
      <w:r>
        <w:rPr>
          <w:rFonts w:ascii="Arial" w:cs="Arial" w:eastAsia="Arial" w:hAnsi="Arial"/>
          <w:sz w:val="20"/>
          <w:szCs w:val="20"/>
          <w:b w:val="1"/>
          <w:bCs w:val="1"/>
          <w:color w:val="auto"/>
        </w:rPr>
        <w:t>Appendix B</w:t>
      </w:r>
      <w:r>
        <w:rPr>
          <w:rFonts w:ascii="Arial" w:cs="Arial" w:eastAsia="Arial" w:hAnsi="Arial"/>
          <w:sz w:val="20"/>
          <w:szCs w:val="20"/>
          <w:color w:val="auto"/>
        </w:rPr>
        <w:t>”) (together, hereinafter “</w:t>
      </w:r>
      <w:r>
        <w:rPr>
          <w:rFonts w:ascii="Arial" w:cs="Arial" w:eastAsia="Arial" w:hAnsi="Arial"/>
          <w:sz w:val="20"/>
          <w:szCs w:val="20"/>
          <w:b w:val="1"/>
          <w:bCs w:val="1"/>
          <w:color w:val="auto"/>
        </w:rPr>
        <w:t>PSU Agreement</w:t>
      </w:r>
      <w:r>
        <w:rPr>
          <w:rFonts w:ascii="Arial" w:cs="Arial" w:eastAsia="Arial" w:hAnsi="Arial"/>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Certain capitalized terms used, but not defined in this PSU Agreement, are defined in the Plan.</w:t>
      </w:r>
    </w:p>
    <w:p>
      <w:pPr>
        <w:spacing w:after="0" w:line="216" w:lineRule="exact"/>
        <w:rPr>
          <w:sz w:val="20"/>
          <w:szCs w:val="20"/>
          <w:color w:val="auto"/>
        </w:rPr>
      </w:pPr>
    </w:p>
    <w:p>
      <w:pPr>
        <w:ind w:left="300"/>
        <w:spacing w:after="0"/>
        <w:tabs>
          <w:tab w:leader="none" w:pos="2160" w:val="left"/>
        </w:tabs>
        <w:rPr>
          <w:sz w:val="20"/>
          <w:szCs w:val="20"/>
          <w:color w:val="auto"/>
        </w:rPr>
      </w:pPr>
      <w:r>
        <w:rPr>
          <w:rFonts w:ascii="Arial" w:cs="Arial" w:eastAsia="Arial" w:hAnsi="Arial"/>
          <w:sz w:val="20"/>
          <w:szCs w:val="20"/>
          <w:i w:val="1"/>
          <w:iCs w:val="1"/>
          <w:color w:val="auto"/>
        </w:rPr>
        <w:t>Name of Participant:</w:t>
      </w:r>
      <w:r>
        <w:rPr>
          <w:sz w:val="20"/>
          <w:szCs w:val="20"/>
          <w:color w:val="auto"/>
        </w:rPr>
        <w:tab/>
      </w:r>
      <w:r>
        <w:rPr>
          <w:rFonts w:ascii="Arial" w:cs="Arial" w:eastAsia="Arial" w:hAnsi="Arial"/>
          <w:sz w:val="19"/>
          <w:szCs w:val="19"/>
          <w:color w:val="auto"/>
        </w:rPr>
        <w:t>[–]</w:t>
      </w:r>
    </w:p>
    <w:p>
      <w:pPr>
        <w:spacing w:after="0" w:line="67" w:lineRule="exact"/>
        <w:rPr>
          <w:sz w:val="20"/>
          <w:szCs w:val="20"/>
          <w:color w:val="auto"/>
        </w:rPr>
      </w:pPr>
    </w:p>
    <w:p>
      <w:pPr>
        <w:ind w:left="300"/>
        <w:spacing w:after="0"/>
        <w:tabs>
          <w:tab w:leader="none" w:pos="2320" w:val="left"/>
        </w:tabs>
        <w:rPr>
          <w:sz w:val="20"/>
          <w:szCs w:val="20"/>
          <w:color w:val="auto"/>
        </w:rPr>
      </w:pPr>
      <w:r>
        <w:rPr>
          <w:rFonts w:ascii="Arial" w:cs="Arial" w:eastAsia="Arial" w:hAnsi="Arial"/>
          <w:sz w:val="20"/>
          <w:szCs w:val="20"/>
          <w:i w:val="1"/>
          <w:iCs w:val="1"/>
          <w:color w:val="auto"/>
        </w:rPr>
        <w:t>Total Number of PSUs:</w:t>
      </w:r>
      <w:r>
        <w:rPr>
          <w:sz w:val="20"/>
          <w:szCs w:val="20"/>
          <w:color w:val="auto"/>
        </w:rPr>
        <w:tab/>
      </w:r>
      <w:r>
        <w:rPr>
          <w:rFonts w:ascii="Arial" w:cs="Arial" w:eastAsia="Arial" w:hAnsi="Arial"/>
          <w:sz w:val="19"/>
          <w:szCs w:val="19"/>
          <w:color w:val="auto"/>
        </w:rPr>
        <w:t>[–]</w:t>
      </w:r>
    </w:p>
    <w:p>
      <w:pPr>
        <w:spacing w:after="0" w:line="67" w:lineRule="exact"/>
        <w:rPr>
          <w:sz w:val="20"/>
          <w:szCs w:val="20"/>
          <w:color w:val="auto"/>
        </w:rPr>
      </w:pPr>
    </w:p>
    <w:p>
      <w:pPr>
        <w:ind w:left="300"/>
        <w:spacing w:after="0"/>
        <w:tabs>
          <w:tab w:leader="none" w:pos="1640" w:val="left"/>
        </w:tabs>
        <w:rPr>
          <w:sz w:val="20"/>
          <w:szCs w:val="20"/>
          <w:color w:val="auto"/>
        </w:rPr>
      </w:pPr>
      <w:r>
        <w:rPr>
          <w:rFonts w:ascii="Arial" w:cs="Arial" w:eastAsia="Arial" w:hAnsi="Arial"/>
          <w:sz w:val="20"/>
          <w:szCs w:val="20"/>
          <w:i w:val="1"/>
          <w:iCs w:val="1"/>
          <w:color w:val="auto"/>
        </w:rPr>
        <w:t>Date of Grant:</w:t>
      </w:r>
      <w:r>
        <w:rPr>
          <w:sz w:val="20"/>
          <w:szCs w:val="20"/>
          <w:color w:val="auto"/>
        </w:rPr>
        <w:tab/>
      </w:r>
      <w:r>
        <w:rPr>
          <w:rFonts w:ascii="Arial" w:cs="Arial" w:eastAsia="Arial" w:hAnsi="Arial"/>
          <w:sz w:val="20"/>
          <w:szCs w:val="20"/>
          <w:color w:val="auto"/>
        </w:rPr>
        <w:t>[–]</w:t>
      </w:r>
    </w:p>
    <w:p>
      <w:pPr>
        <w:spacing w:after="0" w:line="67" w:lineRule="exact"/>
        <w:rPr>
          <w:sz w:val="20"/>
          <w:szCs w:val="20"/>
          <w:color w:val="auto"/>
        </w:rPr>
      </w:pPr>
    </w:p>
    <w:p>
      <w:pPr>
        <w:ind w:left="300"/>
        <w:spacing w:after="0"/>
        <w:tabs>
          <w:tab w:leader="none" w:pos="2160" w:val="left"/>
        </w:tabs>
        <w:rPr>
          <w:sz w:val="20"/>
          <w:szCs w:val="20"/>
          <w:color w:val="auto"/>
        </w:rPr>
      </w:pPr>
      <w:r>
        <w:rPr>
          <w:rFonts w:ascii="Arial" w:cs="Arial" w:eastAsia="Arial" w:hAnsi="Arial"/>
          <w:sz w:val="20"/>
          <w:szCs w:val="20"/>
          <w:i w:val="1"/>
          <w:iCs w:val="1"/>
          <w:color w:val="auto"/>
        </w:rPr>
        <w:t>Performance Period:</w:t>
      </w:r>
      <w:r>
        <w:rPr>
          <w:sz w:val="20"/>
          <w:szCs w:val="20"/>
          <w:color w:val="auto"/>
        </w:rPr>
        <w:tab/>
      </w:r>
      <w:r>
        <w:rPr>
          <w:rFonts w:ascii="Arial" w:cs="Arial" w:eastAsia="Arial" w:hAnsi="Arial"/>
          <w:sz w:val="19"/>
          <w:szCs w:val="19"/>
          <w:color w:val="auto"/>
        </w:rPr>
        <w:t>[–]</w:t>
      </w:r>
    </w:p>
    <w:p>
      <w:pPr>
        <w:spacing w:after="0" w:line="67" w:lineRule="exact"/>
        <w:rPr>
          <w:sz w:val="20"/>
          <w:szCs w:val="20"/>
          <w:color w:val="auto"/>
        </w:rPr>
      </w:pPr>
    </w:p>
    <w:p>
      <w:pPr>
        <w:ind w:left="300"/>
        <w:spacing w:after="0"/>
        <w:tabs>
          <w:tab w:leader="none" w:pos="2220" w:val="left"/>
        </w:tabs>
        <w:rPr>
          <w:sz w:val="20"/>
          <w:szCs w:val="20"/>
          <w:color w:val="auto"/>
        </w:rPr>
      </w:pPr>
      <w:r>
        <w:rPr>
          <w:rFonts w:ascii="Arial" w:cs="Arial" w:eastAsia="Arial" w:hAnsi="Arial"/>
          <w:sz w:val="20"/>
          <w:szCs w:val="20"/>
          <w:i w:val="1"/>
          <w:iCs w:val="1"/>
          <w:color w:val="auto"/>
        </w:rPr>
        <w:t>Performance Metrics:</w:t>
      </w:r>
      <w:r>
        <w:rPr>
          <w:sz w:val="20"/>
          <w:szCs w:val="20"/>
          <w:color w:val="auto"/>
        </w:rPr>
        <w:tab/>
      </w:r>
      <w:r>
        <w:rPr>
          <w:rFonts w:ascii="Arial" w:cs="Arial" w:eastAsia="Arial" w:hAnsi="Arial"/>
          <w:sz w:val="18"/>
          <w:szCs w:val="18"/>
          <w:color w:val="auto"/>
        </w:rPr>
        <w:t>As set forth in Appendix A</w:t>
      </w:r>
    </w:p>
    <w:p>
      <w:pPr>
        <w:sectPr>
          <w:pgSz w:w="11900" w:h="16838" w:orient="portrait"/>
          <w:cols w:equalWidth="0" w:num="1">
            <w:col w:w="11420"/>
          </w:cols>
          <w:pgMar w:left="240" w:top="126" w:right="239" w:bottom="0" w:gutter="0" w:footer="0" w:header="0"/>
        </w:sectPr>
      </w:pPr>
    </w:p>
    <w:p>
      <w:pPr>
        <w:spacing w:after="0" w:line="67"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Vesting Schedule: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Appendix A</w:t>
      </w:r>
    </w:p>
    <w:p>
      <w:pPr>
        <w:spacing w:after="0" w:line="90" w:lineRule="exact"/>
        <w:rPr>
          <w:sz w:val="20"/>
          <w:szCs w:val="20"/>
          <w:color w:val="auto"/>
        </w:rPr>
      </w:pPr>
    </w:p>
    <w:p>
      <w:pPr>
        <w:sectPr>
          <w:pgSz w:w="11900" w:h="16838" w:orient="portrait"/>
          <w:cols w:equalWidth="0" w:num="2">
            <w:col w:w="1700" w:space="200"/>
            <w:col w:w="9520"/>
          </w:cols>
          <w:pgMar w:left="240" w:top="126" w:right="239" w:bottom="0" w:gutter="0" w:footer="0" w:header="0"/>
          <w:type w:val="continuous"/>
        </w:sectPr>
      </w:pPr>
    </w:p>
    <w:p>
      <w:pPr>
        <w:ind w:left="300"/>
        <w:spacing w:after="0"/>
        <w:rPr>
          <w:sz w:val="20"/>
          <w:szCs w:val="20"/>
          <w:color w:val="auto"/>
        </w:rPr>
      </w:pPr>
      <w:r>
        <w:rPr>
          <w:rFonts w:ascii="Arial" w:cs="Arial" w:eastAsia="Arial" w:hAnsi="Arial"/>
          <w:sz w:val="19"/>
          <w:szCs w:val="19"/>
          <w:i w:val="1"/>
          <w:iCs w:val="1"/>
          <w:color w:val="auto"/>
        </w:rPr>
        <w:t>Expiration Date:</w:t>
      </w:r>
    </w:p>
    <w:p>
      <w:pPr>
        <w:spacing w:after="0" w:line="20" w:lineRule="exact"/>
        <w:rPr>
          <w:sz w:val="20"/>
          <w:szCs w:val="20"/>
          <w:color w:val="auto"/>
        </w:rPr>
      </w:pPr>
      <w:r>
        <w:rPr>
          <w:sz w:val="20"/>
          <w:szCs w:val="20"/>
          <w:color w:val="auto"/>
        </w:rPr>
        <w:br w:type="column"/>
      </w:r>
    </w:p>
    <w:p>
      <w:pPr>
        <w:ind w:right="240" w:hanging="53"/>
        <w:spacing w:after="0" w:line="246" w:lineRule="auto"/>
        <w:rPr>
          <w:sz w:val="20"/>
          <w:szCs w:val="20"/>
          <w:color w:val="auto"/>
        </w:rPr>
      </w:pPr>
      <w:r>
        <w:rPr>
          <w:rFonts w:ascii="Arial" w:cs="Arial" w:eastAsia="Arial" w:hAnsi="Arial"/>
          <w:sz w:val="20"/>
          <w:szCs w:val="20"/>
          <w:color w:val="auto"/>
        </w:rPr>
        <w:t>This Award expires on the latest of: (i) the date on which this Award is settled in full, if applicable, or (ii) the date that the Committee determines that the Performance Metrics have not been satisfied; provided, however, that it will expire earlier if Participant’s Service terminates.</w:t>
      </w:r>
    </w:p>
    <w:p>
      <w:pPr>
        <w:spacing w:after="0" w:line="186" w:lineRule="exact"/>
        <w:rPr>
          <w:sz w:val="20"/>
          <w:szCs w:val="20"/>
          <w:color w:val="auto"/>
        </w:rPr>
      </w:pPr>
    </w:p>
    <w:p>
      <w:pPr>
        <w:sectPr>
          <w:pgSz w:w="11900" w:h="16838" w:orient="portrait"/>
          <w:cols w:equalWidth="0" w:num="2">
            <w:col w:w="3580" w:space="720"/>
            <w:col w:w="7120"/>
          </w:cols>
          <w:pgMar w:left="240" w:top="126" w:right="239" w:bottom="0" w:gutter="0" w:footer="0" w:header="0"/>
          <w:type w:val="continuous"/>
        </w:sectPr>
      </w:pPr>
    </w:p>
    <w:p>
      <w:pPr>
        <w:jc w:val="both"/>
        <w:ind w:right="260" w:firstLine="648"/>
        <w:spacing w:after="0" w:line="253" w:lineRule="auto"/>
        <w:rPr>
          <w:sz w:val="20"/>
          <w:szCs w:val="20"/>
          <w:color w:val="auto"/>
        </w:rPr>
      </w:pPr>
      <w:r>
        <w:rPr>
          <w:rFonts w:ascii="Arial" w:cs="Arial" w:eastAsia="Arial" w:hAnsi="Arial"/>
          <w:sz w:val="20"/>
          <w:szCs w:val="20"/>
          <w:b w:val="1"/>
          <w:bCs w:val="1"/>
          <w:color w:val="auto"/>
        </w:rPr>
        <w:t>By executing this document, which may be accomplished by e-signature or other electronic indication of acceptance, you and the Company agree that this Award is granted under and governed by the term and conditions of the Plan and the PSU Agreement, both of which are attached to and made a part of this document.</w:t>
      </w:r>
    </w:p>
    <w:p>
      <w:pPr>
        <w:spacing w:after="0" w:line="178" w:lineRule="exact"/>
        <w:rPr>
          <w:sz w:val="20"/>
          <w:szCs w:val="20"/>
          <w:color w:val="auto"/>
        </w:rPr>
      </w:pPr>
    </w:p>
    <w:p>
      <w:pPr>
        <w:ind w:right="40" w:firstLine="648"/>
        <w:spacing w:after="0" w:line="323" w:lineRule="auto"/>
        <w:rPr>
          <w:sz w:val="20"/>
          <w:szCs w:val="20"/>
          <w:color w:val="auto"/>
        </w:rPr>
      </w:pPr>
      <w:r>
        <w:rPr>
          <w:rFonts w:ascii="Arial" w:cs="Arial" w:eastAsia="Arial" w:hAnsi="Arial"/>
          <w:sz w:val="16"/>
          <w:szCs w:val="16"/>
          <w:b w:val="1"/>
          <w:bCs w:val="1"/>
          <w:color w:val="auto"/>
        </w:rPr>
        <w:t>By executing this document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w:t>
      </w:r>
    </w:p>
    <w:p>
      <w:pPr>
        <w:spacing w:after="0" w:line="369" w:lineRule="exact"/>
        <w:rPr>
          <w:sz w:val="20"/>
          <w:szCs w:val="20"/>
          <w:color w:val="auto"/>
        </w:rPr>
      </w:pPr>
    </w:p>
    <w:p>
      <w:pPr>
        <w:spacing w:after="0"/>
        <w:tabs>
          <w:tab w:leader="none" w:pos="2020" w:val="left"/>
        </w:tabs>
        <w:rPr>
          <w:sz w:val="20"/>
          <w:szCs w:val="20"/>
          <w:color w:val="auto"/>
        </w:rPr>
      </w:pPr>
      <w:r>
        <w:rPr>
          <w:rFonts w:ascii="Arial" w:cs="Arial" w:eastAsia="Arial" w:hAnsi="Arial"/>
          <w:sz w:val="20"/>
          <w:szCs w:val="20"/>
          <w:b w:val="1"/>
          <w:bCs w:val="1"/>
          <w:color w:val="auto"/>
        </w:rPr>
        <w:t>[Name of Participant]</w:t>
      </w:r>
      <w:r>
        <w:rPr>
          <w:sz w:val="20"/>
          <w:szCs w:val="20"/>
          <w:color w:val="auto"/>
        </w:rPr>
        <w:tab/>
      </w:r>
      <w:r>
        <w:rPr>
          <w:rFonts w:ascii="Arial" w:cs="Arial" w:eastAsia="Arial" w:hAnsi="Arial"/>
          <w:sz w:val="19"/>
          <w:szCs w:val="19"/>
          <w:b w:val="1"/>
          <w:bCs w:val="1"/>
          <w:color w:val="auto"/>
        </w:rPr>
        <w:t>VERACYTE, Inc.</w:t>
      </w:r>
    </w:p>
    <w:p>
      <w:pPr>
        <w:spacing w:after="0" w:line="24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125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-14605</wp:posOffset>
            </wp:positionV>
            <wp:extent cx="125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Print Name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AND VESTING METRICS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[to be inserted as approved on a grant-by-grant basis.</w:t>
      </w:r>
      <w:r>
        <w:rPr>
          <w:rFonts w:ascii="Arial" w:cs="Arial" w:eastAsia="Arial" w:hAnsi="Arial"/>
          <w:sz w:val="20"/>
          <w:szCs w:val="20"/>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B</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VERACYTE,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2013 STOCK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Performance-Based Stock Unit Agreement</w:t>
      </w:r>
    </w:p>
    <w:p>
      <w:pPr>
        <w:spacing w:after="0" w:line="324" w:lineRule="exact"/>
        <w:rPr>
          <w:sz w:val="20"/>
          <w:szCs w:val="20"/>
          <w:color w:val="auto"/>
        </w:rPr>
      </w:pPr>
    </w:p>
    <w:p>
      <w:pPr>
        <w:ind w:left="2920" w:right="320" w:hanging="2525"/>
        <w:spacing w:after="0" w:line="260" w:lineRule="auto"/>
        <w:tabs>
          <w:tab w:leader="none" w:pos="2900" w:val="left"/>
        </w:tabs>
        <w:rPr>
          <w:sz w:val="20"/>
          <w:szCs w:val="20"/>
          <w:color w:val="auto"/>
        </w:rPr>
      </w:pPr>
      <w:r>
        <w:rPr>
          <w:rFonts w:ascii="Arial" w:cs="Arial" w:eastAsia="Arial" w:hAnsi="Arial"/>
          <w:sz w:val="20"/>
          <w:szCs w:val="20"/>
          <w:b w:val="1"/>
          <w:bCs w:val="1"/>
          <w:color w:val="auto"/>
        </w:rPr>
        <w:t>Payment for Stock Units</w:t>
      </w:r>
      <w:r>
        <w:rPr>
          <w:sz w:val="20"/>
          <w:szCs w:val="20"/>
          <w:color w:val="auto"/>
        </w:rPr>
        <w:tab/>
      </w:r>
      <w:r>
        <w:rPr>
          <w:rFonts w:ascii="Arial" w:cs="Arial" w:eastAsia="Arial" w:hAnsi="Arial"/>
          <w:sz w:val="20"/>
          <w:szCs w:val="20"/>
          <w:color w:val="auto"/>
        </w:rPr>
        <w:t>No cash payment is required for the PSUs you receive. You are receiving the PSUs in consideration for Services rendered by you.</w:t>
      </w:r>
    </w:p>
    <w:p>
      <w:pPr>
        <w:sectPr>
          <w:pgSz w:w="11900" w:h="16838" w:orient="portrait"/>
          <w:cols w:equalWidth="0" w:num="1">
            <w:col w:w="11420"/>
          </w:cols>
          <w:pgMar w:left="240" w:top="126" w:right="239" w:bottom="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56"/>
        </w:trPr>
        <w:tc>
          <w:tcPr>
            <w:tcW w:w="2380" w:type="dxa"/>
            <w:vAlign w:val="bottom"/>
          </w:tcPr>
          <w:p>
            <w:pPr>
              <w:ind w:left="80"/>
              <w:spacing w:after="0"/>
              <w:rPr>
                <w:sz w:val="20"/>
                <w:szCs w:val="20"/>
                <w:color w:val="auto"/>
              </w:rPr>
            </w:pPr>
            <w:r>
              <w:rPr>
                <w:rFonts w:ascii="Arial" w:cs="Arial" w:eastAsia="Arial" w:hAnsi="Arial"/>
                <w:sz w:val="20"/>
                <w:szCs w:val="20"/>
                <w:b w:val="1"/>
                <w:bCs w:val="1"/>
                <w:color w:val="auto"/>
              </w:rPr>
              <w:t>Vesting</w:t>
            </w:r>
          </w:p>
        </w:tc>
        <w:tc>
          <w:tcPr>
            <w:tcW w:w="8720" w:type="dxa"/>
            <w:vAlign w:val="bottom"/>
          </w:tcPr>
          <w:p>
            <w:pPr>
              <w:ind w:left="220"/>
              <w:spacing w:after="0"/>
              <w:rPr>
                <w:sz w:val="20"/>
                <w:szCs w:val="20"/>
                <w:color w:val="auto"/>
              </w:rPr>
            </w:pPr>
            <w:r>
              <w:rPr>
                <w:rFonts w:ascii="Arial" w:cs="Arial" w:eastAsia="Arial" w:hAnsi="Arial"/>
                <w:sz w:val="20"/>
                <w:szCs w:val="20"/>
                <w:color w:val="auto"/>
              </w:rPr>
              <w:t>As set forth in Appendix A.</w:t>
            </w:r>
          </w:p>
        </w:tc>
        <w:tc>
          <w:tcPr>
            <w:tcW w:w="0" w:type="dxa"/>
            <w:vAlign w:val="bottom"/>
          </w:tcPr>
          <w:p>
            <w:pPr>
              <w:spacing w:after="0"/>
              <w:rPr>
                <w:sz w:val="1"/>
                <w:szCs w:val="1"/>
                <w:color w:val="auto"/>
              </w:rPr>
            </w:pPr>
          </w:p>
        </w:tc>
      </w:tr>
      <w:tr>
        <w:trPr>
          <w:trHeight w:val="317"/>
        </w:trPr>
        <w:tc>
          <w:tcPr>
            <w:tcW w:w="2380" w:type="dxa"/>
            <w:vAlign w:val="bottom"/>
          </w:tcPr>
          <w:p>
            <w:pPr>
              <w:ind w:left="80"/>
              <w:spacing w:after="0"/>
              <w:rPr>
                <w:sz w:val="20"/>
                <w:szCs w:val="20"/>
                <w:color w:val="auto"/>
              </w:rPr>
            </w:pPr>
            <w:r>
              <w:rPr>
                <w:rFonts w:ascii="Arial" w:cs="Arial" w:eastAsia="Arial" w:hAnsi="Arial"/>
                <w:sz w:val="20"/>
                <w:szCs w:val="20"/>
                <w:b w:val="1"/>
                <w:bCs w:val="1"/>
                <w:color w:val="auto"/>
              </w:rPr>
              <w:t>Forfeiture</w:t>
            </w:r>
          </w:p>
        </w:tc>
        <w:tc>
          <w:tcPr>
            <w:tcW w:w="8720" w:type="dxa"/>
            <w:vAlign w:val="bottom"/>
          </w:tcPr>
          <w:p>
            <w:pPr>
              <w:ind w:left="220"/>
              <w:spacing w:after="0"/>
              <w:rPr>
                <w:sz w:val="20"/>
                <w:szCs w:val="20"/>
                <w:color w:val="auto"/>
              </w:rPr>
            </w:pPr>
            <w:r>
              <w:rPr>
                <w:rFonts w:ascii="Arial" w:cs="Arial" w:eastAsia="Arial" w:hAnsi="Arial"/>
                <w:sz w:val="20"/>
                <w:szCs w:val="20"/>
                <w:color w:val="auto"/>
                <w:w w:val="94"/>
              </w:rPr>
              <w:t>Except as may be provided in Appendix A, if your Service terminates for any reason, then your Award</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90"/>
              </w:rPr>
              <w:t>expires immediately as to the number of PSUs that have not vested before the termination date and do not</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rPr>
              <w:t>vest as a result of termination.</w:t>
            </w:r>
          </w:p>
        </w:tc>
        <w:tc>
          <w:tcPr>
            <w:tcW w:w="0" w:type="dxa"/>
            <w:vAlign w:val="bottom"/>
          </w:tcPr>
          <w:p>
            <w:pPr>
              <w:spacing w:after="0"/>
              <w:rPr>
                <w:sz w:val="1"/>
                <w:szCs w:val="1"/>
                <w:color w:val="auto"/>
              </w:rPr>
            </w:pPr>
          </w:p>
        </w:tc>
      </w:tr>
      <w:tr>
        <w:trPr>
          <w:trHeight w:val="317"/>
        </w:trPr>
        <w:tc>
          <w:tcPr>
            <w:tcW w:w="2380" w:type="dxa"/>
            <w:vAlign w:val="bottom"/>
          </w:tcPr>
          <w:p>
            <w:pPr>
              <w:spacing w:after="0"/>
              <w:rPr>
                <w:sz w:val="24"/>
                <w:szCs w:val="24"/>
                <w:color w:val="auto"/>
              </w:rPr>
            </w:pPr>
          </w:p>
        </w:tc>
        <w:tc>
          <w:tcPr>
            <w:tcW w:w="8720" w:type="dxa"/>
            <w:vAlign w:val="bottom"/>
          </w:tcPr>
          <w:p>
            <w:pPr>
              <w:ind w:left="3160"/>
              <w:spacing w:after="0"/>
              <w:rPr>
                <w:sz w:val="20"/>
                <w:szCs w:val="20"/>
                <w:color w:val="auto"/>
              </w:rPr>
            </w:pPr>
            <w:r>
              <w:rPr>
                <w:rFonts w:ascii="Arial" w:cs="Arial" w:eastAsia="Arial" w:hAnsi="Arial"/>
                <w:sz w:val="20"/>
                <w:szCs w:val="20"/>
                <w:color w:val="auto"/>
                <w:w w:val="94"/>
              </w:rPr>
              <w:t>This means that the unvested PSUs will immediately be cancelled.</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rPr>
              <w:t>You receive no payment for PSUs that are forfeited.</w:t>
            </w:r>
          </w:p>
        </w:tc>
        <w:tc>
          <w:tcPr>
            <w:tcW w:w="0" w:type="dxa"/>
            <w:vAlign w:val="bottom"/>
          </w:tcPr>
          <w:p>
            <w:pPr>
              <w:spacing w:after="0"/>
              <w:rPr>
                <w:sz w:val="1"/>
                <w:szCs w:val="1"/>
                <w:color w:val="auto"/>
              </w:rPr>
            </w:pPr>
          </w:p>
        </w:tc>
      </w:tr>
      <w:tr>
        <w:trPr>
          <w:trHeight w:val="317"/>
        </w:trPr>
        <w:tc>
          <w:tcPr>
            <w:tcW w:w="2380" w:type="dxa"/>
            <w:vAlign w:val="bottom"/>
          </w:tcPr>
          <w:p>
            <w:pPr>
              <w:spacing w:after="0"/>
              <w:rPr>
                <w:sz w:val="24"/>
                <w:szCs w:val="24"/>
                <w:color w:val="auto"/>
              </w:rPr>
            </w:pPr>
          </w:p>
        </w:tc>
        <w:tc>
          <w:tcPr>
            <w:tcW w:w="8720" w:type="dxa"/>
            <w:vAlign w:val="bottom"/>
          </w:tcPr>
          <w:p>
            <w:pPr>
              <w:ind w:left="3160"/>
              <w:spacing w:after="0"/>
              <w:rPr>
                <w:sz w:val="20"/>
                <w:szCs w:val="20"/>
                <w:color w:val="auto"/>
              </w:rPr>
            </w:pPr>
            <w:r>
              <w:rPr>
                <w:rFonts w:ascii="Arial" w:cs="Arial" w:eastAsia="Arial" w:hAnsi="Arial"/>
                <w:sz w:val="20"/>
                <w:szCs w:val="20"/>
                <w:color w:val="auto"/>
                <w:w w:val="98"/>
              </w:rPr>
              <w:t>The Company determines when your Service terminates for this</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90"/>
              </w:rPr>
              <w:t>purpose and all purposes under the Plan and its determinations are conclusive and binding on all persons.</w:t>
            </w:r>
          </w:p>
        </w:tc>
        <w:tc>
          <w:tcPr>
            <w:tcW w:w="0" w:type="dxa"/>
            <w:vAlign w:val="bottom"/>
          </w:tcPr>
          <w:p>
            <w:pPr>
              <w:spacing w:after="0"/>
              <w:rPr>
                <w:sz w:val="1"/>
                <w:szCs w:val="1"/>
                <w:color w:val="auto"/>
              </w:rPr>
            </w:pPr>
          </w:p>
        </w:tc>
      </w:tr>
      <w:tr>
        <w:trPr>
          <w:trHeight w:val="317"/>
        </w:trPr>
        <w:tc>
          <w:tcPr>
            <w:tcW w:w="2380" w:type="dxa"/>
            <w:vAlign w:val="bottom"/>
          </w:tcPr>
          <w:p>
            <w:pPr>
              <w:ind w:left="80"/>
              <w:spacing w:after="0"/>
              <w:rPr>
                <w:sz w:val="20"/>
                <w:szCs w:val="20"/>
                <w:color w:val="auto"/>
              </w:rPr>
            </w:pPr>
            <w:r>
              <w:rPr>
                <w:rFonts w:ascii="Arial" w:cs="Arial" w:eastAsia="Arial" w:hAnsi="Arial"/>
                <w:sz w:val="20"/>
                <w:szCs w:val="20"/>
                <w:b w:val="1"/>
                <w:bCs w:val="1"/>
                <w:color w:val="auto"/>
              </w:rPr>
              <w:t>Leaves of Absence</w:t>
            </w:r>
          </w:p>
        </w:tc>
        <w:tc>
          <w:tcPr>
            <w:tcW w:w="8720" w:type="dxa"/>
            <w:vAlign w:val="bottom"/>
          </w:tcPr>
          <w:p>
            <w:pPr>
              <w:ind w:left="220"/>
              <w:spacing w:after="0"/>
              <w:rPr>
                <w:sz w:val="20"/>
                <w:szCs w:val="20"/>
                <w:color w:val="auto"/>
              </w:rPr>
            </w:pPr>
            <w:r>
              <w:rPr>
                <w:rFonts w:ascii="Arial" w:cs="Arial" w:eastAsia="Arial" w:hAnsi="Arial"/>
                <w:sz w:val="20"/>
                <w:szCs w:val="20"/>
                <w:color w:val="auto"/>
                <w:w w:val="90"/>
              </w:rPr>
              <w:t>For purposes of this Award, your Service does not terminate when you go on a military leave, a sick leave</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89"/>
              </w:rPr>
              <w:t xml:space="preserve">or another </w:t>
            </w:r>
            <w:r>
              <w:rPr>
                <w:rFonts w:ascii="Arial" w:cs="Arial" w:eastAsia="Arial" w:hAnsi="Arial"/>
                <w:sz w:val="20"/>
                <w:szCs w:val="20"/>
                <w:i w:val="1"/>
                <w:iCs w:val="1"/>
                <w:color w:val="auto"/>
                <w:w w:val="89"/>
              </w:rPr>
              <w:t>bona fide</w:t>
            </w:r>
            <w:r>
              <w:rPr>
                <w:rFonts w:ascii="Arial" w:cs="Arial" w:eastAsia="Arial" w:hAnsi="Arial"/>
                <w:sz w:val="20"/>
                <w:szCs w:val="20"/>
                <w:color w:val="auto"/>
                <w:w w:val="89"/>
              </w:rPr>
              <w:t xml:space="preserve"> leave of absence, if the leave of absence was approved by the Company in writing and</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97"/>
              </w:rPr>
              <w:t>if continued crediting of Service is required by the terms of the leave or by applicable law. But your</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99"/>
              </w:rPr>
              <w:t>Service terminates when the approved leave ends, unless you immediately return to active work.</w:t>
            </w:r>
          </w:p>
        </w:tc>
        <w:tc>
          <w:tcPr>
            <w:tcW w:w="0" w:type="dxa"/>
            <w:vAlign w:val="bottom"/>
          </w:tcPr>
          <w:p>
            <w:pPr>
              <w:spacing w:after="0"/>
              <w:rPr>
                <w:sz w:val="1"/>
                <w:szCs w:val="1"/>
                <w:color w:val="auto"/>
              </w:rPr>
            </w:pPr>
          </w:p>
        </w:tc>
      </w:tr>
      <w:tr>
        <w:trPr>
          <w:trHeight w:val="317"/>
        </w:trPr>
        <w:tc>
          <w:tcPr>
            <w:tcW w:w="2380" w:type="dxa"/>
            <w:vAlign w:val="bottom"/>
          </w:tcPr>
          <w:p>
            <w:pPr>
              <w:spacing w:after="0"/>
              <w:rPr>
                <w:sz w:val="24"/>
                <w:szCs w:val="24"/>
                <w:color w:val="auto"/>
              </w:rPr>
            </w:pPr>
          </w:p>
        </w:tc>
        <w:tc>
          <w:tcPr>
            <w:tcW w:w="8720" w:type="dxa"/>
            <w:vAlign w:val="bottom"/>
          </w:tcPr>
          <w:p>
            <w:pPr>
              <w:ind w:left="3160"/>
              <w:spacing w:after="0"/>
              <w:rPr>
                <w:sz w:val="20"/>
                <w:szCs w:val="20"/>
                <w:color w:val="auto"/>
              </w:rPr>
            </w:pPr>
            <w:r>
              <w:rPr>
                <w:rFonts w:ascii="Arial" w:cs="Arial" w:eastAsia="Arial" w:hAnsi="Arial"/>
                <w:sz w:val="20"/>
                <w:szCs w:val="20"/>
                <w:color w:val="auto"/>
                <w:w w:val="89"/>
              </w:rPr>
              <w:t>If you go on a leave of absence, then the vesting schedule specified in</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92"/>
              </w:rPr>
              <w:t>the Notice of Performance-Based Stock Unit Award may be adjusted in accordance with the Company’s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93"/>
              </w:rPr>
              <w:t>leave of absence policy or the terms of your leave. Notwithstanding the foregoing, except as otherwise</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91"/>
              </w:rPr>
              <w:t>required by applicable laws, vesting of your PSUs will be suspended during any unpaid leave of absence.</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97"/>
              </w:rPr>
              <w:t>If you commence working on a part-time basis, then the vesting schedule specified in the Notice of</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91"/>
              </w:rPr>
              <w:t>Performance-Based Stock Unit Award may be adjusted in accordance with the Company’s part-time work</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90"/>
              </w:rPr>
              <w:t>policy or the terms of an agreement between you and the Company pertaining to your part-time schedule.</w:t>
            </w:r>
          </w:p>
        </w:tc>
        <w:tc>
          <w:tcPr>
            <w:tcW w:w="0" w:type="dxa"/>
            <w:vAlign w:val="bottom"/>
          </w:tcPr>
          <w:p>
            <w:pPr>
              <w:spacing w:after="0"/>
              <w:rPr>
                <w:sz w:val="1"/>
                <w:szCs w:val="1"/>
                <w:color w:val="auto"/>
              </w:rPr>
            </w:pPr>
          </w:p>
        </w:tc>
      </w:tr>
      <w:tr>
        <w:trPr>
          <w:trHeight w:val="317"/>
        </w:trPr>
        <w:tc>
          <w:tcPr>
            <w:tcW w:w="2380" w:type="dxa"/>
            <w:vAlign w:val="bottom"/>
          </w:tcPr>
          <w:p>
            <w:pPr>
              <w:ind w:left="20"/>
              <w:spacing w:after="0"/>
              <w:rPr>
                <w:sz w:val="20"/>
                <w:szCs w:val="20"/>
                <w:color w:val="auto"/>
              </w:rPr>
            </w:pPr>
            <w:r>
              <w:rPr>
                <w:rFonts w:ascii="Arial" w:cs="Arial" w:eastAsia="Arial" w:hAnsi="Arial"/>
                <w:sz w:val="20"/>
                <w:szCs w:val="20"/>
                <w:b w:val="1"/>
                <w:bCs w:val="1"/>
                <w:color w:val="auto"/>
              </w:rPr>
              <w:t>Nature of Stock Units</w:t>
            </w:r>
          </w:p>
        </w:tc>
        <w:tc>
          <w:tcPr>
            <w:tcW w:w="8720" w:type="dxa"/>
            <w:vAlign w:val="bottom"/>
          </w:tcPr>
          <w:p>
            <w:pPr>
              <w:ind w:left="220"/>
              <w:spacing w:after="0"/>
              <w:rPr>
                <w:sz w:val="20"/>
                <w:szCs w:val="20"/>
                <w:color w:val="auto"/>
              </w:rPr>
            </w:pPr>
            <w:r>
              <w:rPr>
                <w:rFonts w:ascii="Arial" w:cs="Arial" w:eastAsia="Arial" w:hAnsi="Arial"/>
                <w:sz w:val="20"/>
                <w:szCs w:val="20"/>
                <w:color w:val="auto"/>
                <w:w w:val="91"/>
              </w:rPr>
              <w:t>Your PSUs are mere bookkeeping entries. They represent only the Company’s unfunded and unsecured</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89"/>
              </w:rPr>
              <w:t>promise to issue Shares on a future date. As a holder of PSUs, you have no rights other than the rights of a</w:t>
            </w:r>
          </w:p>
        </w:tc>
        <w:tc>
          <w:tcPr>
            <w:tcW w:w="0" w:type="dxa"/>
            <w:vAlign w:val="bottom"/>
          </w:tcPr>
          <w:p>
            <w:pPr>
              <w:spacing w:after="0"/>
              <w:rPr>
                <w:sz w:val="1"/>
                <w:szCs w:val="1"/>
                <w:color w:val="auto"/>
              </w:rPr>
            </w:pPr>
          </w:p>
        </w:tc>
      </w:tr>
      <w:tr>
        <w:trPr>
          <w:trHeight w:val="250"/>
        </w:trPr>
        <w:tc>
          <w:tcPr>
            <w:tcW w:w="238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No Voting Rights or</w:t>
            </w:r>
          </w:p>
        </w:tc>
        <w:tc>
          <w:tcPr>
            <w:tcW w:w="8720" w:type="dxa"/>
            <w:vAlign w:val="bottom"/>
          </w:tcPr>
          <w:p>
            <w:pPr>
              <w:ind w:left="220"/>
              <w:spacing w:after="0"/>
              <w:rPr>
                <w:sz w:val="20"/>
                <w:szCs w:val="20"/>
                <w:color w:val="auto"/>
              </w:rPr>
            </w:pPr>
            <w:r>
              <w:rPr>
                <w:rFonts w:ascii="Arial" w:cs="Arial" w:eastAsia="Arial" w:hAnsi="Arial"/>
                <w:sz w:val="20"/>
                <w:szCs w:val="20"/>
                <w:color w:val="auto"/>
              </w:rPr>
              <w:t>general creditor of the Company.</w:t>
            </w: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8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80" w:type="dxa"/>
            <w:vAlign w:val="bottom"/>
          </w:tcPr>
          <w:p>
            <w:pPr>
              <w:ind w:left="20"/>
              <w:spacing w:after="0"/>
              <w:rPr>
                <w:sz w:val="20"/>
                <w:szCs w:val="20"/>
                <w:color w:val="auto"/>
              </w:rPr>
            </w:pPr>
            <w:r>
              <w:rPr>
                <w:rFonts w:ascii="Arial" w:cs="Arial" w:eastAsia="Arial" w:hAnsi="Arial"/>
                <w:sz w:val="20"/>
                <w:szCs w:val="20"/>
                <w:b w:val="1"/>
                <w:bCs w:val="1"/>
                <w:color w:val="auto"/>
              </w:rPr>
              <w:t>Dividends</w:t>
            </w:r>
          </w:p>
        </w:tc>
        <w:tc>
          <w:tcPr>
            <w:tcW w:w="8720" w:type="dxa"/>
            <w:vAlign w:val="bottom"/>
          </w:tcPr>
          <w:p>
            <w:pPr>
              <w:ind w:left="220"/>
              <w:spacing w:after="0"/>
              <w:rPr>
                <w:sz w:val="20"/>
                <w:szCs w:val="20"/>
                <w:color w:val="auto"/>
              </w:rPr>
            </w:pPr>
            <w:r>
              <w:rPr>
                <w:rFonts w:ascii="Arial" w:cs="Arial" w:eastAsia="Arial" w:hAnsi="Arial"/>
                <w:sz w:val="20"/>
                <w:szCs w:val="20"/>
                <w:color w:val="auto"/>
                <w:w w:val="91"/>
              </w:rPr>
              <w:t>Your PSUs are mere bookkeeping entries. They represent only the Company’s unfunded and unsecured</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w w:val="89"/>
              </w:rPr>
              <w:t>promise to issue Shares on a future date. As a holder of PSUs, you have no rights other than the rights of a</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220"/>
              <w:spacing w:after="0"/>
              <w:rPr>
                <w:sz w:val="20"/>
                <w:szCs w:val="20"/>
                <w:color w:val="auto"/>
              </w:rPr>
            </w:pPr>
            <w:r>
              <w:rPr>
                <w:rFonts w:ascii="Arial" w:cs="Arial" w:eastAsia="Arial" w:hAnsi="Arial"/>
                <w:sz w:val="20"/>
                <w:szCs w:val="20"/>
                <w:color w:val="auto"/>
              </w:rPr>
              <w:t>general creditor of the Company.</w:t>
            </w:r>
          </w:p>
        </w:tc>
        <w:tc>
          <w:tcPr>
            <w:tcW w:w="0" w:type="dxa"/>
            <w:vAlign w:val="bottom"/>
          </w:tcPr>
          <w:p>
            <w:pPr>
              <w:spacing w:after="0"/>
              <w:rPr>
                <w:sz w:val="1"/>
                <w:szCs w:val="1"/>
                <w:color w:val="auto"/>
              </w:rPr>
            </w:pPr>
          </w:p>
        </w:tc>
      </w:tr>
      <w:tr>
        <w:trPr>
          <w:trHeight w:val="311"/>
        </w:trPr>
        <w:tc>
          <w:tcPr>
            <w:tcW w:w="2380" w:type="dxa"/>
            <w:vAlign w:val="bottom"/>
          </w:tcPr>
          <w:p>
            <w:pPr>
              <w:ind w:left="20"/>
              <w:spacing w:after="0"/>
              <w:rPr>
                <w:sz w:val="20"/>
                <w:szCs w:val="20"/>
                <w:color w:val="auto"/>
              </w:rPr>
            </w:pPr>
            <w:r>
              <w:rPr>
                <w:rFonts w:ascii="Arial" w:cs="Arial" w:eastAsia="Arial" w:hAnsi="Arial"/>
                <w:sz w:val="20"/>
                <w:szCs w:val="20"/>
                <w:b w:val="1"/>
                <w:bCs w:val="1"/>
                <w:color w:val="auto"/>
              </w:rPr>
              <w:t>Stock Units</w:t>
            </w:r>
          </w:p>
        </w:tc>
        <w:tc>
          <w:tcPr>
            <w:tcW w:w="8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380" w:type="dxa"/>
            <w:vAlign w:val="bottom"/>
          </w:tcPr>
          <w:p>
            <w:pPr>
              <w:ind w:left="20"/>
              <w:spacing w:after="0"/>
              <w:rPr>
                <w:sz w:val="20"/>
                <w:szCs w:val="20"/>
                <w:color w:val="auto"/>
              </w:rPr>
            </w:pPr>
            <w:r>
              <w:rPr>
                <w:rFonts w:ascii="Arial" w:cs="Arial" w:eastAsia="Arial" w:hAnsi="Arial"/>
                <w:sz w:val="20"/>
                <w:szCs w:val="20"/>
                <w:b w:val="1"/>
                <w:bCs w:val="1"/>
                <w:color w:val="auto"/>
              </w:rPr>
              <w:t>Nontransferable</w:t>
            </w:r>
          </w:p>
        </w:tc>
        <w:tc>
          <w:tcPr>
            <w:tcW w:w="8720" w:type="dxa"/>
            <w:vAlign w:val="bottom"/>
          </w:tcPr>
          <w:p>
            <w:pPr>
              <w:ind w:left="300"/>
              <w:spacing w:after="0"/>
              <w:rPr>
                <w:sz w:val="20"/>
                <w:szCs w:val="20"/>
                <w:color w:val="auto"/>
              </w:rPr>
            </w:pPr>
            <w:r>
              <w:rPr>
                <w:rFonts w:ascii="Arial" w:cs="Arial" w:eastAsia="Arial" w:hAnsi="Arial"/>
                <w:sz w:val="20"/>
                <w:szCs w:val="20"/>
                <w:color w:val="auto"/>
                <w:w w:val="91"/>
              </w:rPr>
              <w:t>You may not sell, transfer, assign, pledge or otherwise dispose of any PSUs. For instance, you may not</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rPr>
              <w:t>use your PSUs as security for a loan. If you attempt to do any of these things, your PSUs will</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rPr>
              <w:t>immediately become invalid.</w:t>
            </w:r>
          </w:p>
        </w:tc>
        <w:tc>
          <w:tcPr>
            <w:tcW w:w="0" w:type="dxa"/>
            <w:vAlign w:val="bottom"/>
          </w:tcPr>
          <w:p>
            <w:pPr>
              <w:spacing w:after="0"/>
              <w:rPr>
                <w:sz w:val="1"/>
                <w:szCs w:val="1"/>
                <w:color w:val="auto"/>
              </w:rPr>
            </w:pPr>
          </w:p>
        </w:tc>
      </w:tr>
      <w:tr>
        <w:trPr>
          <w:trHeight w:val="317"/>
        </w:trPr>
        <w:tc>
          <w:tcPr>
            <w:tcW w:w="2380" w:type="dxa"/>
            <w:vAlign w:val="bottom"/>
          </w:tcPr>
          <w:p>
            <w:pPr>
              <w:ind w:left="20"/>
              <w:spacing w:after="0"/>
              <w:rPr>
                <w:sz w:val="20"/>
                <w:szCs w:val="20"/>
                <w:color w:val="auto"/>
              </w:rPr>
            </w:pPr>
            <w:r>
              <w:rPr>
                <w:rFonts w:ascii="Arial" w:cs="Arial" w:eastAsia="Arial" w:hAnsi="Arial"/>
                <w:sz w:val="20"/>
                <w:szCs w:val="20"/>
                <w:b w:val="1"/>
                <w:bCs w:val="1"/>
                <w:color w:val="auto"/>
                <w:w w:val="96"/>
              </w:rPr>
              <w:t>Settlement of Stock Units</w:t>
            </w:r>
          </w:p>
        </w:tc>
        <w:tc>
          <w:tcPr>
            <w:tcW w:w="8720" w:type="dxa"/>
            <w:vAlign w:val="bottom"/>
          </w:tcPr>
          <w:p>
            <w:pPr>
              <w:ind w:left="300"/>
              <w:spacing w:after="0"/>
              <w:rPr>
                <w:sz w:val="20"/>
                <w:szCs w:val="20"/>
                <w:color w:val="auto"/>
              </w:rPr>
            </w:pPr>
            <w:r>
              <w:rPr>
                <w:rFonts w:ascii="Arial" w:cs="Arial" w:eastAsia="Arial" w:hAnsi="Arial"/>
                <w:sz w:val="20"/>
                <w:szCs w:val="20"/>
                <w:color w:val="auto"/>
                <w:w w:val="90"/>
              </w:rPr>
              <w:t>Settlement of Vested PSUs shall be made within the earlier of (i) 90 days following the applicable date of</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1"/>
              </w:rPr>
              <w:t>becoming Vested PSUs or (ii) March 15 of the year following the year of vesting, in either case, pursuant</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rPr>
              <w:t>to the Notice.</w:t>
            </w:r>
          </w:p>
        </w:tc>
        <w:tc>
          <w:tcPr>
            <w:tcW w:w="0" w:type="dxa"/>
            <w:vAlign w:val="bottom"/>
          </w:tcPr>
          <w:p>
            <w:pPr>
              <w:spacing w:after="0"/>
              <w:rPr>
                <w:sz w:val="1"/>
                <w:szCs w:val="1"/>
                <w:color w:val="auto"/>
              </w:rPr>
            </w:pPr>
          </w:p>
        </w:tc>
      </w:tr>
      <w:tr>
        <w:trPr>
          <w:trHeight w:val="317"/>
        </w:trPr>
        <w:tc>
          <w:tcPr>
            <w:tcW w:w="2380" w:type="dxa"/>
            <w:vAlign w:val="bottom"/>
          </w:tcPr>
          <w:p>
            <w:pPr>
              <w:spacing w:after="0"/>
              <w:rPr>
                <w:sz w:val="24"/>
                <w:szCs w:val="24"/>
                <w:color w:val="auto"/>
              </w:rPr>
            </w:pPr>
          </w:p>
        </w:tc>
        <w:tc>
          <w:tcPr>
            <w:tcW w:w="8720" w:type="dxa"/>
            <w:vAlign w:val="bottom"/>
          </w:tcPr>
          <w:p>
            <w:pPr>
              <w:ind w:left="960"/>
              <w:spacing w:after="0"/>
              <w:rPr>
                <w:sz w:val="20"/>
                <w:szCs w:val="20"/>
                <w:color w:val="auto"/>
              </w:rPr>
            </w:pPr>
            <w:r>
              <w:rPr>
                <w:rFonts w:ascii="Arial" w:cs="Arial" w:eastAsia="Arial" w:hAnsi="Arial"/>
                <w:sz w:val="20"/>
                <w:szCs w:val="20"/>
                <w:color w:val="auto"/>
                <w:w w:val="93"/>
              </w:rPr>
              <w:t>At the time of settlement, you will receive one Share for each vested PSU; provided, however,</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5"/>
              </w:rPr>
              <w:t>that no fractional Shares will be issued or delivered pursuant to the Plan or this Agreement, and the</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7"/>
              </w:rPr>
              <w:t>Committee will determine whether cash will be paid in lieu of any fractional Share or whether such</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2"/>
              </w:rPr>
              <w:t>fractional Share and any rights thereto will be canceled, terminated or otherwise eliminated. In addition,</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89"/>
              </w:rPr>
              <w:t>the Shares are issued to you subject to the condition that the issuance of the Shares not violate any law or</w:t>
            </w:r>
          </w:p>
        </w:tc>
        <w:tc>
          <w:tcPr>
            <w:tcW w:w="0" w:type="dxa"/>
            <w:vAlign w:val="bottom"/>
          </w:tcPr>
          <w:p>
            <w:pPr>
              <w:spacing w:after="0"/>
              <w:rPr>
                <w:sz w:val="1"/>
                <w:szCs w:val="1"/>
                <w:color w:val="auto"/>
              </w:rPr>
            </w:pPr>
          </w:p>
        </w:tc>
      </w:tr>
      <w:tr>
        <w:trPr>
          <w:trHeight w:val="250"/>
        </w:trPr>
        <w:tc>
          <w:tcPr>
            <w:tcW w:w="2380" w:type="dxa"/>
            <w:vAlign w:val="bottom"/>
            <w:vMerge w:val="restart"/>
          </w:tcPr>
          <w:p>
            <w:pPr>
              <w:spacing w:after="0"/>
              <w:rPr>
                <w:sz w:val="20"/>
                <w:szCs w:val="20"/>
                <w:color w:val="auto"/>
              </w:rPr>
            </w:pPr>
            <w:r>
              <w:rPr>
                <w:rFonts w:ascii="Arial" w:cs="Arial" w:eastAsia="Arial" w:hAnsi="Arial"/>
                <w:sz w:val="20"/>
                <w:szCs w:val="20"/>
                <w:b w:val="1"/>
                <w:bCs w:val="1"/>
                <w:color w:val="auto"/>
              </w:rPr>
              <w:t>Withholding Taxes and</w:t>
            </w:r>
          </w:p>
        </w:tc>
        <w:tc>
          <w:tcPr>
            <w:tcW w:w="8720" w:type="dxa"/>
            <w:vAlign w:val="bottom"/>
          </w:tcPr>
          <w:p>
            <w:pPr>
              <w:ind w:left="300"/>
              <w:spacing w:after="0"/>
              <w:rPr>
                <w:sz w:val="20"/>
                <w:szCs w:val="20"/>
                <w:color w:val="auto"/>
              </w:rPr>
            </w:pPr>
            <w:r>
              <w:rPr>
                <w:rFonts w:ascii="Arial" w:cs="Arial" w:eastAsia="Arial" w:hAnsi="Arial"/>
                <w:sz w:val="20"/>
                <w:szCs w:val="20"/>
                <w:color w:val="auto"/>
              </w:rPr>
              <w:t>regulation.</w:t>
            </w: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8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80" w:type="dxa"/>
            <w:vAlign w:val="bottom"/>
          </w:tcPr>
          <w:p>
            <w:pPr>
              <w:ind w:left="20"/>
              <w:spacing w:after="0"/>
              <w:rPr>
                <w:sz w:val="20"/>
                <w:szCs w:val="20"/>
                <w:color w:val="auto"/>
              </w:rPr>
            </w:pPr>
            <w:r>
              <w:rPr>
                <w:rFonts w:ascii="Arial" w:cs="Arial" w:eastAsia="Arial" w:hAnsi="Arial"/>
                <w:sz w:val="20"/>
                <w:szCs w:val="20"/>
                <w:b w:val="1"/>
                <w:bCs w:val="1"/>
                <w:color w:val="auto"/>
              </w:rPr>
              <w:t>Stock Withholding</w:t>
            </w:r>
          </w:p>
        </w:tc>
        <w:tc>
          <w:tcPr>
            <w:tcW w:w="8720" w:type="dxa"/>
            <w:vAlign w:val="bottom"/>
          </w:tcPr>
          <w:p>
            <w:pPr>
              <w:ind w:left="300"/>
              <w:spacing w:after="0"/>
              <w:rPr>
                <w:sz w:val="20"/>
                <w:szCs w:val="20"/>
                <w:color w:val="auto"/>
              </w:rPr>
            </w:pPr>
            <w:r>
              <w:rPr>
                <w:rFonts w:ascii="Arial" w:cs="Arial" w:eastAsia="Arial" w:hAnsi="Arial"/>
                <w:sz w:val="20"/>
                <w:szCs w:val="20"/>
                <w:color w:val="auto"/>
                <w:w w:val="93"/>
              </w:rPr>
              <w:t>Regardless of any action the Company or your actual employer (the “Employer”) takes with respect to</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2"/>
              </w:rPr>
              <w:t>any or all income tax, social insurance, payroll tax, payment on account or other tax-related withholding</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3"/>
              </w:rPr>
              <w:t>(“Tax-Related Items”), you acknowledge that the ultimate liability for all Tax-Related Items legally due</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7"/>
              </w:rPr>
              <w:t>by you is and remains your responsibility and that the Company and/or the Employer (1) make no</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0"/>
              </w:rPr>
              <w:t>representations or undertakings regarding the treatment of any Tax-Related Items in connection with any</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6"/>
              </w:rPr>
              <w:t>aspect of the Award, including the settlement of the PSUs, the subsequent sale of Shares acquired</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89"/>
              </w:rPr>
              <w:t>pursuant to such settlement and the receipt of any dividends; and (2) do not commit to structure the terms</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7"/>
              </w:rPr>
              <w:t>of the Award or any aspect of the PSUs to reduce or eliminate your liability for Tax-Related Items.</w:t>
            </w:r>
          </w:p>
        </w:tc>
        <w:tc>
          <w:tcPr>
            <w:tcW w:w="0" w:type="dxa"/>
            <w:vAlign w:val="bottom"/>
          </w:tcPr>
          <w:p>
            <w:pPr>
              <w:spacing w:after="0"/>
              <w:rPr>
                <w:sz w:val="1"/>
                <w:szCs w:val="1"/>
                <w:color w:val="auto"/>
              </w:rPr>
            </w:pPr>
          </w:p>
        </w:tc>
      </w:tr>
      <w:tr>
        <w:trPr>
          <w:trHeight w:val="317"/>
        </w:trPr>
        <w:tc>
          <w:tcPr>
            <w:tcW w:w="2380" w:type="dxa"/>
            <w:vAlign w:val="bottom"/>
          </w:tcPr>
          <w:p>
            <w:pPr>
              <w:spacing w:after="0"/>
              <w:rPr>
                <w:sz w:val="24"/>
                <w:szCs w:val="24"/>
                <w:color w:val="auto"/>
              </w:rPr>
            </w:pPr>
          </w:p>
        </w:tc>
        <w:tc>
          <w:tcPr>
            <w:tcW w:w="8720" w:type="dxa"/>
            <w:vAlign w:val="bottom"/>
          </w:tcPr>
          <w:p>
            <w:pPr>
              <w:ind w:left="960"/>
              <w:spacing w:after="0"/>
              <w:rPr>
                <w:sz w:val="20"/>
                <w:szCs w:val="20"/>
                <w:color w:val="auto"/>
              </w:rPr>
            </w:pPr>
            <w:r>
              <w:rPr>
                <w:rFonts w:ascii="Arial" w:cs="Arial" w:eastAsia="Arial" w:hAnsi="Arial"/>
                <w:sz w:val="20"/>
                <w:szCs w:val="20"/>
                <w:color w:val="auto"/>
                <w:w w:val="96"/>
              </w:rPr>
              <w:t>Prior to any relevant taxable or tax withholding event, as applicable, you shall pay or make</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89"/>
              </w:rPr>
              <w:t>adequate arrangements satisfactory to the Company and/or the Employer, as applicable, to satisfy all Tax-</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rPr>
              <w:t>Related Items.</w:t>
            </w:r>
          </w:p>
        </w:tc>
        <w:tc>
          <w:tcPr>
            <w:tcW w:w="0" w:type="dxa"/>
            <w:vAlign w:val="bottom"/>
          </w:tcPr>
          <w:p>
            <w:pPr>
              <w:spacing w:after="0"/>
              <w:rPr>
                <w:sz w:val="1"/>
                <w:szCs w:val="1"/>
                <w:color w:val="auto"/>
              </w:rPr>
            </w:pPr>
          </w:p>
        </w:tc>
      </w:tr>
      <w:tr>
        <w:trPr>
          <w:trHeight w:val="317"/>
        </w:trPr>
        <w:tc>
          <w:tcPr>
            <w:tcW w:w="2380" w:type="dxa"/>
            <w:vAlign w:val="bottom"/>
          </w:tcPr>
          <w:p>
            <w:pPr>
              <w:spacing w:after="0"/>
              <w:rPr>
                <w:sz w:val="24"/>
                <w:szCs w:val="24"/>
                <w:color w:val="auto"/>
              </w:rPr>
            </w:pPr>
          </w:p>
        </w:tc>
        <w:tc>
          <w:tcPr>
            <w:tcW w:w="8720" w:type="dxa"/>
            <w:vAlign w:val="bottom"/>
          </w:tcPr>
          <w:p>
            <w:pPr>
              <w:ind w:left="960"/>
              <w:spacing w:after="0"/>
              <w:rPr>
                <w:sz w:val="20"/>
                <w:szCs w:val="20"/>
                <w:color w:val="auto"/>
              </w:rPr>
            </w:pPr>
            <w:r>
              <w:rPr>
                <w:rFonts w:ascii="Arial" w:cs="Arial" w:eastAsia="Arial" w:hAnsi="Arial"/>
                <w:sz w:val="20"/>
                <w:szCs w:val="20"/>
                <w:color w:val="auto"/>
                <w:w w:val="92"/>
              </w:rPr>
              <w:t>In this regard, you authorize the Company and/or the Employer (and their respective agents) to</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3"/>
              </w:rPr>
              <w:t>satisfy the obligations with regard to all Tax-Related Items by one or a combination of the following, as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1"/>
              </w:rPr>
              <w:t>determined at the sole discretion of the Company and only to the extent permissible under local law: (1)</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8"/>
              </w:rPr>
              <w:t>withholding from your wages or other cash compensation paid to you by the Company and/or the</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4"/>
              </w:rPr>
              <w:t>Employer; (2) withholding from proceeds of the sale of Shares acquired upon settlement of the PSUs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3"/>
              </w:rPr>
              <w:t>either through a voluntary sale or through a mandatory sale arranged by the Company (on your behalf</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2"/>
              </w:rPr>
              <w:t>pursuant to this authorization); (3) withholding of Shares to otherwise be issued upon settlement of the</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1"/>
              </w:rPr>
              <w:t>PSUs; or (4) any other arrangement approved by the Committee and permitted under applicable law; all</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0"/>
              </w:rPr>
              <w:t>under such rules as may be established by the Committee and in compliance with the Company’s Insider</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5"/>
              </w:rPr>
              <w:t>Trading Policy and 10b5-1 Trading Plan Policy, if applicable; provided, however, that the Committee</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6"/>
              </w:rPr>
              <w:t>shall establish the method prior to the Tax-Related Items withholding event and, unless determined</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8"/>
              </w:rPr>
              <w:t>otherwise by the Committee in advance of a Tax-Related Items withholding event, the method of</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rPr>
              <w:t>withholding for this PSU will be (3) above.</w:t>
            </w:r>
          </w:p>
        </w:tc>
        <w:tc>
          <w:tcPr>
            <w:tcW w:w="0" w:type="dxa"/>
            <w:vAlign w:val="bottom"/>
          </w:tcPr>
          <w:p>
            <w:pPr>
              <w:spacing w:after="0"/>
              <w:rPr>
                <w:sz w:val="1"/>
                <w:szCs w:val="1"/>
                <w:color w:val="auto"/>
              </w:rPr>
            </w:pPr>
          </w:p>
        </w:tc>
      </w:tr>
      <w:tr>
        <w:trPr>
          <w:trHeight w:val="317"/>
        </w:trPr>
        <w:tc>
          <w:tcPr>
            <w:tcW w:w="2380" w:type="dxa"/>
            <w:vAlign w:val="bottom"/>
          </w:tcPr>
          <w:p>
            <w:pPr>
              <w:spacing w:after="0"/>
              <w:rPr>
                <w:sz w:val="24"/>
                <w:szCs w:val="24"/>
                <w:color w:val="auto"/>
              </w:rPr>
            </w:pPr>
          </w:p>
        </w:tc>
        <w:tc>
          <w:tcPr>
            <w:tcW w:w="8720" w:type="dxa"/>
            <w:vAlign w:val="bottom"/>
          </w:tcPr>
          <w:p>
            <w:pPr>
              <w:ind w:left="940"/>
              <w:spacing w:after="0"/>
              <w:rPr>
                <w:sz w:val="20"/>
                <w:szCs w:val="20"/>
                <w:color w:val="auto"/>
              </w:rPr>
            </w:pPr>
            <w:r>
              <w:rPr>
                <w:rFonts w:ascii="Arial" w:cs="Arial" w:eastAsia="Arial" w:hAnsi="Arial"/>
                <w:sz w:val="20"/>
                <w:szCs w:val="20"/>
                <w:color w:val="auto"/>
                <w:w w:val="91"/>
              </w:rPr>
              <w:t>If the obligation for Tax-Related Items is satisfied by withholding in Shares, for tax purposes, you</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720" w:type="dxa"/>
            <w:vAlign w:val="bottom"/>
          </w:tcPr>
          <w:p>
            <w:pPr>
              <w:ind w:left="300"/>
              <w:spacing w:after="0"/>
              <w:rPr>
                <w:sz w:val="20"/>
                <w:szCs w:val="20"/>
                <w:color w:val="auto"/>
              </w:rPr>
            </w:pPr>
            <w:r>
              <w:rPr>
                <w:rFonts w:ascii="Arial" w:cs="Arial" w:eastAsia="Arial" w:hAnsi="Arial"/>
                <w:sz w:val="20"/>
                <w:szCs w:val="20"/>
                <w:color w:val="auto"/>
                <w:w w:val="91"/>
              </w:rPr>
              <w:t>are deemed to have been issued the full number of Shares subject to the vested PSUs, notwithstanding</w:t>
            </w:r>
          </w:p>
        </w:tc>
        <w:tc>
          <w:tcPr>
            <w:tcW w:w="0" w:type="dxa"/>
            <w:vAlign w:val="bottom"/>
          </w:tcPr>
          <w:p>
            <w:pPr>
              <w:spacing w:after="0"/>
              <w:rPr>
                <w:sz w:val="1"/>
                <w:szCs w:val="1"/>
                <w:color w:val="auto"/>
              </w:rPr>
            </w:pPr>
          </w:p>
        </w:tc>
      </w:tr>
    </w:tbl>
    <w:p>
      <w:pPr>
        <w:sectPr>
          <w:pgSz w:w="11900" w:h="16838" w:orient="portrait"/>
          <w:cols w:equalWidth="0" w:num="1">
            <w:col w:w="11100"/>
          </w:cols>
          <w:pgMar w:left="560" w:top="118" w:right="239" w:bottom="0" w:gutter="0" w:footer="0" w:header="0"/>
        </w:sectPr>
      </w:pPr>
    </w:p>
    <w:bookmarkStart w:id="53" w:name="page54"/>
    <w:bookmarkEnd w:id="53"/>
    <w:p>
      <w:pPr>
        <w:spacing w:after="0" w:line="77" w:lineRule="exact"/>
        <w:rPr>
          <w:sz w:val="20"/>
          <w:szCs w:val="20"/>
          <w:color w:val="auto"/>
        </w:rPr>
      </w:pPr>
    </w:p>
    <w:p>
      <w:pPr>
        <w:ind w:left="2660" w:right="100"/>
        <w:spacing w:after="0" w:line="273" w:lineRule="auto"/>
        <w:rPr>
          <w:sz w:val="20"/>
          <w:szCs w:val="20"/>
          <w:color w:val="auto"/>
        </w:rPr>
      </w:pPr>
      <w:r>
        <w:rPr>
          <w:rFonts w:ascii="Arial" w:cs="Arial" w:eastAsia="Arial" w:hAnsi="Arial"/>
          <w:sz w:val="18"/>
          <w:szCs w:val="18"/>
          <w:color w:val="auto"/>
        </w:rPr>
        <w:t>that a number of the Shares are held back solely for the purpose of paying the Tax-Related Items due as a result of any aspect of your participation in the Plan. The Fair Market Value of these Shares, determined as of as of the date that the taxes are required to be withheld, will be applied as a credit against the Tax-Related Items withholding. Depending on the withholding method, the Company may withhold or account for Tax-Related Items by considering applicable statutory withholding rates or other applicable withholding rates, including up to the maximum permissible statutory rate for your tax jurisdiction(s) in which case you will have no entitlement to the equivalent amount in Shares and will receive a refund of any over-withheld amount in cash in accordance with applicable law.</w:t>
      </w:r>
    </w:p>
    <w:p>
      <w:pPr>
        <w:spacing w:after="0" w:line="6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Finally, you shall pay to the Company or the Employer any amount of Tax-Related Items that the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4"/>
              </w:rPr>
              <w:t>Company or the Employer may be required to withhold as a result of your participation in the Plan or</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1"/>
              </w:rPr>
              <w:t>your purchase of Shares that cannot be satisfied by the means previously described. The Company may</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1"/>
              </w:rPr>
              <w:t>refuse to deliver the Shares if you fail to comply with your obligations in connection with the Tax-Related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3"/>
              </w:rPr>
              <w:t>Items as described in this section, and your rights to the Shares shall be forfeited if you do not comply</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with such obligations on or before the scheduled settlement deadline.</w:t>
            </w:r>
          </w:p>
        </w:tc>
        <w:tc>
          <w:tcPr>
            <w:tcW w:w="0" w:type="dxa"/>
            <w:vAlign w:val="bottom"/>
          </w:tcPr>
          <w:p>
            <w:pPr>
              <w:spacing w:after="0"/>
              <w:rPr>
                <w:sz w:val="1"/>
                <w:szCs w:val="1"/>
                <w:color w:val="auto"/>
              </w:rPr>
            </w:pPr>
          </w:p>
        </w:tc>
      </w:tr>
      <w:tr>
        <w:trPr>
          <w:trHeight w:val="317"/>
        </w:trPr>
        <w:tc>
          <w:tcPr>
            <w:tcW w:w="2300" w:type="dxa"/>
            <w:vAlign w:val="bottom"/>
          </w:tcPr>
          <w:p>
            <w:pPr>
              <w:spacing w:after="0"/>
              <w:rPr>
                <w:sz w:val="20"/>
                <w:szCs w:val="20"/>
                <w:color w:val="auto"/>
              </w:rPr>
            </w:pPr>
            <w:r>
              <w:rPr>
                <w:rFonts w:ascii="Arial" w:cs="Arial" w:eastAsia="Arial" w:hAnsi="Arial"/>
                <w:sz w:val="20"/>
                <w:szCs w:val="20"/>
                <w:b w:val="1"/>
                <w:bCs w:val="1"/>
                <w:color w:val="auto"/>
              </w:rPr>
              <w:t>Restrictions on Resale</w:t>
            </w:r>
          </w:p>
        </w:tc>
        <w:tc>
          <w:tcPr>
            <w:tcW w:w="8780" w:type="dxa"/>
            <w:vAlign w:val="bottom"/>
          </w:tcPr>
          <w:p>
            <w:pPr>
              <w:ind w:left="360"/>
              <w:spacing w:after="0"/>
              <w:rPr>
                <w:sz w:val="20"/>
                <w:szCs w:val="20"/>
                <w:color w:val="auto"/>
              </w:rPr>
            </w:pPr>
            <w:r>
              <w:rPr>
                <w:rFonts w:ascii="Arial" w:cs="Arial" w:eastAsia="Arial" w:hAnsi="Arial"/>
                <w:sz w:val="20"/>
                <w:szCs w:val="20"/>
                <w:color w:val="auto"/>
                <w:w w:val="94"/>
              </w:rPr>
              <w:t>You agree not to sell any Shares at a time when applicable laws, Company policies or an agreement</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5"/>
              </w:rPr>
              <w:t>between the Company and its underwriters prohibit a sale. This restriction will apply as long as your</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1"/>
              </w:rPr>
              <w:t>Service continues and for such period of time after the termination of your Service as the Company may</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specify.</w:t>
            </w:r>
          </w:p>
        </w:tc>
        <w:tc>
          <w:tcPr>
            <w:tcW w:w="0" w:type="dxa"/>
            <w:vAlign w:val="bottom"/>
          </w:tcPr>
          <w:p>
            <w:pPr>
              <w:spacing w:after="0"/>
              <w:rPr>
                <w:sz w:val="1"/>
                <w:szCs w:val="1"/>
                <w:color w:val="auto"/>
              </w:rPr>
            </w:pPr>
          </w:p>
        </w:tc>
      </w:tr>
      <w:tr>
        <w:trPr>
          <w:trHeight w:val="317"/>
        </w:trPr>
        <w:tc>
          <w:tcPr>
            <w:tcW w:w="2300" w:type="dxa"/>
            <w:vAlign w:val="bottom"/>
          </w:tcPr>
          <w:p>
            <w:pPr>
              <w:spacing w:after="0"/>
              <w:rPr>
                <w:sz w:val="20"/>
                <w:szCs w:val="20"/>
                <w:color w:val="auto"/>
              </w:rPr>
            </w:pPr>
            <w:r>
              <w:rPr>
                <w:rFonts w:ascii="Arial" w:cs="Arial" w:eastAsia="Arial" w:hAnsi="Arial"/>
                <w:sz w:val="20"/>
                <w:szCs w:val="20"/>
                <w:b w:val="1"/>
                <w:bCs w:val="1"/>
                <w:color w:val="auto"/>
              </w:rPr>
              <w:t>No Retention Rights</w:t>
            </w:r>
          </w:p>
        </w:tc>
        <w:tc>
          <w:tcPr>
            <w:tcW w:w="8780" w:type="dxa"/>
            <w:vAlign w:val="bottom"/>
          </w:tcPr>
          <w:p>
            <w:pPr>
              <w:ind w:left="360"/>
              <w:spacing w:after="0"/>
              <w:rPr>
                <w:sz w:val="20"/>
                <w:szCs w:val="20"/>
                <w:color w:val="auto"/>
              </w:rPr>
            </w:pPr>
            <w:r>
              <w:rPr>
                <w:rFonts w:ascii="Arial" w:cs="Arial" w:eastAsia="Arial" w:hAnsi="Arial"/>
                <w:sz w:val="20"/>
                <w:szCs w:val="20"/>
                <w:color w:val="auto"/>
                <w:w w:val="92"/>
              </w:rPr>
              <w:t>Neither your Award nor this Agreement gives you the right to be employed or retained by the Company</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3"/>
              </w:rPr>
              <w:t>or a subsidiary of the Company in any capacity. The Company and its subsidiaries reserve the right to</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terminate your Service at any time, with or without cause.</w:t>
            </w:r>
          </w:p>
        </w:tc>
        <w:tc>
          <w:tcPr>
            <w:tcW w:w="0" w:type="dxa"/>
            <w:vAlign w:val="bottom"/>
          </w:tcPr>
          <w:p>
            <w:pPr>
              <w:spacing w:after="0"/>
              <w:rPr>
                <w:sz w:val="1"/>
                <w:szCs w:val="1"/>
                <w:color w:val="auto"/>
              </w:rPr>
            </w:pPr>
          </w:p>
        </w:tc>
      </w:tr>
      <w:tr>
        <w:trPr>
          <w:trHeight w:val="317"/>
        </w:trPr>
        <w:tc>
          <w:tcPr>
            <w:tcW w:w="2300" w:type="dxa"/>
            <w:vAlign w:val="bottom"/>
          </w:tcPr>
          <w:p>
            <w:pPr>
              <w:spacing w:after="0"/>
              <w:rPr>
                <w:sz w:val="20"/>
                <w:szCs w:val="20"/>
                <w:color w:val="auto"/>
              </w:rPr>
            </w:pPr>
            <w:r>
              <w:rPr>
                <w:rFonts w:ascii="Arial" w:cs="Arial" w:eastAsia="Arial" w:hAnsi="Arial"/>
                <w:sz w:val="20"/>
                <w:szCs w:val="20"/>
                <w:b w:val="1"/>
                <w:bCs w:val="1"/>
                <w:color w:val="auto"/>
              </w:rPr>
              <w:t>Adjustments</w:t>
            </w:r>
          </w:p>
        </w:tc>
        <w:tc>
          <w:tcPr>
            <w:tcW w:w="8780" w:type="dxa"/>
            <w:vAlign w:val="bottom"/>
          </w:tcPr>
          <w:p>
            <w:pPr>
              <w:ind w:left="360"/>
              <w:spacing w:after="0"/>
              <w:rPr>
                <w:sz w:val="20"/>
                <w:szCs w:val="20"/>
                <w:color w:val="auto"/>
              </w:rPr>
            </w:pPr>
            <w:r>
              <w:rPr>
                <w:rFonts w:ascii="Arial" w:cs="Arial" w:eastAsia="Arial" w:hAnsi="Arial"/>
                <w:sz w:val="20"/>
                <w:szCs w:val="20"/>
                <w:color w:val="auto"/>
                <w:w w:val="91"/>
              </w:rPr>
              <w:t>The number of PSUs covered by this Award shall be subject to adjustment in the event of a stock split, 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3"/>
              </w:rPr>
              <w:t>stock dividend or a similar change in Company Shares, and in other circumstances, as set forth in the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7"/>
              </w:rPr>
              <w:t>Plan. The forfeiture provisions and restrictions provided for in this Agreement will apply to all new,</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substitute or additional PSUs or securities to which you are entitled by reason of this Award.</w:t>
            </w:r>
          </w:p>
        </w:tc>
        <w:tc>
          <w:tcPr>
            <w:tcW w:w="0" w:type="dxa"/>
            <w:vAlign w:val="bottom"/>
          </w:tcPr>
          <w:p>
            <w:pPr>
              <w:spacing w:after="0"/>
              <w:rPr>
                <w:sz w:val="1"/>
                <w:szCs w:val="1"/>
                <w:color w:val="auto"/>
              </w:rPr>
            </w:pPr>
          </w:p>
        </w:tc>
      </w:tr>
      <w:tr>
        <w:trPr>
          <w:trHeight w:val="317"/>
        </w:trPr>
        <w:tc>
          <w:tcPr>
            <w:tcW w:w="2300" w:type="dxa"/>
            <w:vAlign w:val="bottom"/>
          </w:tcPr>
          <w:p>
            <w:pPr>
              <w:spacing w:after="0"/>
              <w:rPr>
                <w:sz w:val="20"/>
                <w:szCs w:val="20"/>
                <w:color w:val="auto"/>
              </w:rPr>
            </w:pPr>
            <w:r>
              <w:rPr>
                <w:rFonts w:ascii="Arial" w:cs="Arial" w:eastAsia="Arial" w:hAnsi="Arial"/>
                <w:sz w:val="20"/>
                <w:szCs w:val="20"/>
                <w:b w:val="1"/>
                <w:bCs w:val="1"/>
                <w:color w:val="auto"/>
                <w:w w:val="96"/>
              </w:rPr>
              <w:t>Successors and Assigns</w:t>
            </w:r>
          </w:p>
        </w:tc>
        <w:tc>
          <w:tcPr>
            <w:tcW w:w="8780" w:type="dxa"/>
            <w:vAlign w:val="bottom"/>
          </w:tcPr>
          <w:p>
            <w:pPr>
              <w:ind w:left="360"/>
              <w:spacing w:after="0"/>
              <w:rPr>
                <w:sz w:val="20"/>
                <w:szCs w:val="20"/>
                <w:color w:val="auto"/>
              </w:rPr>
            </w:pPr>
            <w:r>
              <w:rPr>
                <w:rFonts w:ascii="Arial" w:cs="Arial" w:eastAsia="Arial" w:hAnsi="Arial"/>
                <w:sz w:val="20"/>
                <w:szCs w:val="20"/>
                <w:color w:val="auto"/>
                <w:w w:val="96"/>
              </w:rPr>
              <w:t>Except as otherwise provided in the Plan or this Agreement, every term of this Agreement shall be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5"/>
              </w:rPr>
              <w:t>binding upon and inure to the benefit of the parties hereto and their respective heirs, legatees, legal</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representatives, successors, transferees and assigns.</w:t>
            </w:r>
          </w:p>
        </w:tc>
        <w:tc>
          <w:tcPr>
            <w:tcW w:w="0" w:type="dxa"/>
            <w:vAlign w:val="bottom"/>
          </w:tcPr>
          <w:p>
            <w:pPr>
              <w:spacing w:after="0"/>
              <w:rPr>
                <w:sz w:val="1"/>
                <w:szCs w:val="1"/>
                <w:color w:val="auto"/>
              </w:rPr>
            </w:pPr>
          </w:p>
        </w:tc>
      </w:tr>
      <w:tr>
        <w:trPr>
          <w:trHeight w:val="317"/>
        </w:trPr>
        <w:tc>
          <w:tcPr>
            <w:tcW w:w="2300" w:type="dxa"/>
            <w:vAlign w:val="bottom"/>
          </w:tcPr>
          <w:p>
            <w:pPr>
              <w:spacing w:after="0"/>
              <w:rPr>
                <w:sz w:val="20"/>
                <w:szCs w:val="20"/>
                <w:color w:val="auto"/>
              </w:rPr>
            </w:pPr>
            <w:r>
              <w:rPr>
                <w:rFonts w:ascii="Arial" w:cs="Arial" w:eastAsia="Arial" w:hAnsi="Arial"/>
                <w:sz w:val="20"/>
                <w:szCs w:val="20"/>
                <w:b w:val="1"/>
                <w:bCs w:val="1"/>
                <w:color w:val="auto"/>
              </w:rPr>
              <w:t>Notice</w:t>
            </w:r>
          </w:p>
        </w:tc>
        <w:tc>
          <w:tcPr>
            <w:tcW w:w="8780" w:type="dxa"/>
            <w:vAlign w:val="bottom"/>
          </w:tcPr>
          <w:p>
            <w:pPr>
              <w:ind w:left="360"/>
              <w:spacing w:after="0"/>
              <w:rPr>
                <w:sz w:val="20"/>
                <w:szCs w:val="20"/>
                <w:color w:val="auto"/>
              </w:rPr>
            </w:pPr>
            <w:r>
              <w:rPr>
                <w:rFonts w:ascii="Arial" w:cs="Arial" w:eastAsia="Arial" w:hAnsi="Arial"/>
                <w:sz w:val="20"/>
                <w:szCs w:val="20"/>
                <w:color w:val="auto"/>
                <w:w w:val="94"/>
              </w:rPr>
              <w:t>Any notice required or permitted under this Agreement shall be given in writing and shall be deemed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2"/>
              </w:rPr>
              <w:t>effectively given upon the earliest of personal delivery, receipt or the third full day following mailing with</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89"/>
              </w:rPr>
              <w:t>postage and fees prepaid, addressed to the other party hereto at the address last known in the Company’s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0"/>
              </w:rPr>
              <w:t>records or at such other address as such party may designate by ten (10) days’ advance written notice to</w:t>
            </w:r>
          </w:p>
        </w:tc>
        <w:tc>
          <w:tcPr>
            <w:tcW w:w="0" w:type="dxa"/>
            <w:vAlign w:val="bottom"/>
          </w:tcPr>
          <w:p>
            <w:pPr>
              <w:spacing w:after="0"/>
              <w:rPr>
                <w:sz w:val="1"/>
                <w:szCs w:val="1"/>
                <w:color w:val="auto"/>
              </w:rPr>
            </w:pPr>
          </w:p>
        </w:tc>
      </w:tr>
      <w:tr>
        <w:trPr>
          <w:trHeight w:val="250"/>
        </w:trPr>
        <w:tc>
          <w:tcPr>
            <w:tcW w:w="2300" w:type="dxa"/>
            <w:vAlign w:val="bottom"/>
            <w:vMerge w:val="restart"/>
          </w:tcPr>
          <w:p>
            <w:pPr>
              <w:spacing w:after="0"/>
              <w:rPr>
                <w:sz w:val="20"/>
                <w:szCs w:val="20"/>
                <w:color w:val="auto"/>
              </w:rPr>
            </w:pPr>
            <w:r>
              <w:rPr>
                <w:rFonts w:ascii="Arial" w:cs="Arial" w:eastAsia="Arial" w:hAnsi="Arial"/>
                <w:sz w:val="20"/>
                <w:szCs w:val="20"/>
                <w:b w:val="1"/>
                <w:bCs w:val="1"/>
                <w:color w:val="auto"/>
              </w:rPr>
              <w:t>Applicable Law and</w:t>
            </w:r>
          </w:p>
        </w:tc>
        <w:tc>
          <w:tcPr>
            <w:tcW w:w="8780" w:type="dxa"/>
            <w:vAlign w:val="bottom"/>
          </w:tcPr>
          <w:p>
            <w:pPr>
              <w:ind w:left="360"/>
              <w:spacing w:after="0"/>
              <w:rPr>
                <w:sz w:val="20"/>
                <w:szCs w:val="20"/>
                <w:color w:val="auto"/>
              </w:rPr>
            </w:pPr>
            <w:r>
              <w:rPr>
                <w:rFonts w:ascii="Arial" w:cs="Arial" w:eastAsia="Arial" w:hAnsi="Arial"/>
                <w:sz w:val="20"/>
                <w:szCs w:val="20"/>
                <w:color w:val="auto"/>
              </w:rPr>
              <w:t>the other party hereto.</w:t>
            </w:r>
          </w:p>
        </w:tc>
        <w:tc>
          <w:tcPr>
            <w:tcW w:w="0" w:type="dxa"/>
            <w:vAlign w:val="bottom"/>
          </w:tcPr>
          <w:p>
            <w:pPr>
              <w:spacing w:after="0"/>
              <w:rPr>
                <w:sz w:val="1"/>
                <w:szCs w:val="1"/>
                <w:color w:val="auto"/>
              </w:rPr>
            </w:pPr>
          </w:p>
        </w:tc>
      </w:tr>
      <w:tr>
        <w:trPr>
          <w:trHeight w:val="203"/>
        </w:trPr>
        <w:tc>
          <w:tcPr>
            <w:tcW w:w="2300" w:type="dxa"/>
            <w:vAlign w:val="bottom"/>
            <w:vMerge w:val="continue"/>
          </w:tcPr>
          <w:p>
            <w:pPr>
              <w:spacing w:after="0"/>
              <w:rPr>
                <w:sz w:val="17"/>
                <w:szCs w:val="17"/>
                <w:color w:val="auto"/>
              </w:rPr>
            </w:pP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00" w:type="dxa"/>
            <w:vAlign w:val="bottom"/>
          </w:tcPr>
          <w:p>
            <w:pPr>
              <w:spacing w:after="0"/>
              <w:rPr>
                <w:sz w:val="20"/>
                <w:szCs w:val="20"/>
                <w:color w:val="auto"/>
              </w:rPr>
            </w:pPr>
            <w:r>
              <w:rPr>
                <w:rFonts w:ascii="Arial" w:cs="Arial" w:eastAsia="Arial" w:hAnsi="Arial"/>
                <w:sz w:val="20"/>
                <w:szCs w:val="20"/>
                <w:b w:val="1"/>
                <w:bCs w:val="1"/>
                <w:color w:val="auto"/>
              </w:rPr>
              <w:t>Choice of Venue</w:t>
            </w:r>
          </w:p>
        </w:tc>
        <w:tc>
          <w:tcPr>
            <w:tcW w:w="8780" w:type="dxa"/>
            <w:vAlign w:val="bottom"/>
          </w:tcPr>
          <w:p>
            <w:pPr>
              <w:ind w:left="360"/>
              <w:spacing w:after="0"/>
              <w:rPr>
                <w:sz w:val="20"/>
                <w:szCs w:val="20"/>
                <w:color w:val="auto"/>
              </w:rPr>
            </w:pPr>
            <w:r>
              <w:rPr>
                <w:rFonts w:ascii="Arial" w:cs="Arial" w:eastAsia="Arial" w:hAnsi="Arial"/>
                <w:sz w:val="20"/>
                <w:szCs w:val="20"/>
                <w:color w:val="auto"/>
                <w:w w:val="91"/>
              </w:rPr>
              <w:t>This Agreement will be interpreted and enforced under the laws of the State of California (without regard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3"/>
              </w:rPr>
              <w:t>to their choice-of-law provisions). For purposes of litigating any dispute that arises directly or indirectly</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1"/>
              </w:rPr>
              <w:t>from the relationship of the parties evidenced by this Award or the Agreement, the parties hereby submit</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0"/>
              </w:rPr>
              <w:t>to and consent to the exclusive jurisdiction of the State of California and agree that such litigation shall be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1"/>
              </w:rPr>
              <w:t>conducted only in the courts of San Mateo County, California, or the federal courts for the United States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for the Northern District of California, and no other courts, were this grant is made and/or to be</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performed.</w:t>
            </w:r>
          </w:p>
        </w:tc>
        <w:tc>
          <w:tcPr>
            <w:tcW w:w="0" w:type="dxa"/>
            <w:vAlign w:val="bottom"/>
          </w:tcPr>
          <w:p>
            <w:pPr>
              <w:spacing w:after="0"/>
              <w:rPr>
                <w:sz w:val="1"/>
                <w:szCs w:val="1"/>
                <w:color w:val="auto"/>
              </w:rPr>
            </w:pPr>
          </w:p>
        </w:tc>
      </w:tr>
      <w:tr>
        <w:trPr>
          <w:trHeight w:val="317"/>
        </w:trPr>
        <w:tc>
          <w:tcPr>
            <w:tcW w:w="2300" w:type="dxa"/>
            <w:vAlign w:val="bottom"/>
          </w:tcPr>
          <w:p>
            <w:pPr>
              <w:spacing w:after="0"/>
              <w:rPr>
                <w:sz w:val="20"/>
                <w:szCs w:val="20"/>
                <w:color w:val="auto"/>
              </w:rPr>
            </w:pPr>
            <w:r>
              <w:rPr>
                <w:rFonts w:ascii="Arial" w:cs="Arial" w:eastAsia="Arial" w:hAnsi="Arial"/>
                <w:sz w:val="20"/>
                <w:szCs w:val="20"/>
                <w:b w:val="1"/>
                <w:bCs w:val="1"/>
                <w:color w:val="auto"/>
              </w:rPr>
              <w:t>Miscellaneous</w:t>
            </w:r>
          </w:p>
        </w:tc>
        <w:tc>
          <w:tcPr>
            <w:tcW w:w="8780" w:type="dxa"/>
            <w:vAlign w:val="bottom"/>
          </w:tcPr>
          <w:p>
            <w:pPr>
              <w:ind w:left="360"/>
              <w:spacing w:after="0"/>
              <w:rPr>
                <w:sz w:val="20"/>
                <w:szCs w:val="20"/>
                <w:color w:val="auto"/>
              </w:rPr>
            </w:pPr>
            <w:r>
              <w:rPr>
                <w:rFonts w:ascii="Arial" w:cs="Arial" w:eastAsia="Arial" w:hAnsi="Arial"/>
                <w:sz w:val="20"/>
                <w:szCs w:val="20"/>
                <w:color w:val="auto"/>
                <w:w w:val="93"/>
              </w:rPr>
              <w:t>You understand and acknowledge that (i) the Plan is entirely discretionary, (ii) the Company and your</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2"/>
              </w:rPr>
              <w:t>employer have reserved the right to amend, suspend or terminate the Plan at any time, (iii) the grant of</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6"/>
              </w:rPr>
              <w:t>your Award does not in any way create any contractual or other right to receive additional grants of</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7"/>
              </w:rPr>
              <w:t>awards (or benefits in lieu of awards) at any time or in any amount and (iv) all determinations with</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1"/>
              </w:rPr>
              <w:t>respect to any additional grants, including (without limitation) the times when awards will be granted, the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3"/>
              </w:rPr>
              <w:t>number of Shares subject to the awards, and the vesting schedule, will be at the sole discretion of the</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Company.</w:t>
            </w:r>
          </w:p>
        </w:tc>
        <w:tc>
          <w:tcPr>
            <w:tcW w:w="0" w:type="dxa"/>
            <w:vAlign w:val="bottom"/>
          </w:tcPr>
          <w:p>
            <w:pPr>
              <w:spacing w:after="0"/>
              <w:rPr>
                <w:sz w:val="1"/>
                <w:szCs w:val="1"/>
                <w:color w:val="auto"/>
              </w:rPr>
            </w:pPr>
          </w:p>
        </w:tc>
      </w:tr>
      <w:tr>
        <w:trPr>
          <w:trHeight w:val="317"/>
        </w:trPr>
        <w:tc>
          <w:tcPr>
            <w:tcW w:w="2300" w:type="dxa"/>
            <w:vAlign w:val="bottom"/>
          </w:tcPr>
          <w:p>
            <w:pPr>
              <w:spacing w:after="0"/>
              <w:rPr>
                <w:sz w:val="24"/>
                <w:szCs w:val="24"/>
                <w:color w:val="auto"/>
              </w:rPr>
            </w:pPr>
          </w:p>
        </w:tc>
        <w:tc>
          <w:tcPr>
            <w:tcW w:w="8780" w:type="dxa"/>
            <w:vAlign w:val="bottom"/>
          </w:tcPr>
          <w:p>
            <w:pPr>
              <w:ind w:left="1020"/>
              <w:spacing w:after="0"/>
              <w:rPr>
                <w:sz w:val="20"/>
                <w:szCs w:val="20"/>
                <w:color w:val="auto"/>
              </w:rPr>
            </w:pPr>
            <w:r>
              <w:rPr>
                <w:rFonts w:ascii="Arial" w:cs="Arial" w:eastAsia="Arial" w:hAnsi="Arial"/>
                <w:sz w:val="20"/>
                <w:szCs w:val="20"/>
                <w:color w:val="auto"/>
                <w:w w:val="90"/>
              </w:rPr>
              <w:t>The value of this Award shall be an extraordinary item of compensation outside the scope of your</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0"/>
              </w:rPr>
              <w:t>employment contract, if any, and shall not be considered a part of your normal or expected compensation</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3"/>
              </w:rPr>
              <w:t>for purposes of calculating severance, resignation, redundancy or end-of-service payments, bonuses,</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long-service awards, pension or retirement benefits or similar payments.</w:t>
            </w:r>
          </w:p>
        </w:tc>
        <w:tc>
          <w:tcPr>
            <w:tcW w:w="0" w:type="dxa"/>
            <w:vAlign w:val="bottom"/>
          </w:tcPr>
          <w:p>
            <w:pPr>
              <w:spacing w:after="0"/>
              <w:rPr>
                <w:sz w:val="1"/>
                <w:szCs w:val="1"/>
                <w:color w:val="auto"/>
              </w:rPr>
            </w:pPr>
          </w:p>
        </w:tc>
      </w:tr>
      <w:tr>
        <w:trPr>
          <w:trHeight w:val="317"/>
        </w:trPr>
        <w:tc>
          <w:tcPr>
            <w:tcW w:w="2300" w:type="dxa"/>
            <w:vAlign w:val="bottom"/>
          </w:tcPr>
          <w:p>
            <w:pPr>
              <w:spacing w:after="0"/>
              <w:rPr>
                <w:sz w:val="24"/>
                <w:szCs w:val="24"/>
                <w:color w:val="auto"/>
              </w:rPr>
            </w:pPr>
          </w:p>
        </w:tc>
        <w:tc>
          <w:tcPr>
            <w:tcW w:w="8780" w:type="dxa"/>
            <w:vAlign w:val="bottom"/>
          </w:tcPr>
          <w:p>
            <w:pPr>
              <w:ind w:left="1020"/>
              <w:spacing w:after="0"/>
              <w:rPr>
                <w:sz w:val="20"/>
                <w:szCs w:val="20"/>
                <w:color w:val="auto"/>
              </w:rPr>
            </w:pPr>
            <w:r>
              <w:rPr>
                <w:rFonts w:ascii="Arial" w:cs="Arial" w:eastAsia="Arial" w:hAnsi="Arial"/>
                <w:sz w:val="20"/>
                <w:szCs w:val="20"/>
                <w:color w:val="auto"/>
                <w:w w:val="91"/>
              </w:rPr>
              <w:t>You understand and acknowledge that participation in the Plan ceases upon termination of your</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4"/>
              </w:rPr>
              <w:t>Service for any reason, except as may explicitly be provided otherwise in the Plan or this Agreement.</w:t>
            </w:r>
          </w:p>
        </w:tc>
        <w:tc>
          <w:tcPr>
            <w:tcW w:w="0" w:type="dxa"/>
            <w:vAlign w:val="bottom"/>
          </w:tcPr>
          <w:p>
            <w:pPr>
              <w:spacing w:after="0"/>
              <w:rPr>
                <w:sz w:val="1"/>
                <w:szCs w:val="1"/>
                <w:color w:val="auto"/>
              </w:rPr>
            </w:pPr>
          </w:p>
        </w:tc>
      </w:tr>
      <w:tr>
        <w:trPr>
          <w:trHeight w:val="317"/>
        </w:trPr>
        <w:tc>
          <w:tcPr>
            <w:tcW w:w="2300" w:type="dxa"/>
            <w:vAlign w:val="bottom"/>
          </w:tcPr>
          <w:p>
            <w:pPr>
              <w:spacing w:after="0"/>
              <w:rPr>
                <w:sz w:val="24"/>
                <w:szCs w:val="24"/>
                <w:color w:val="auto"/>
              </w:rPr>
            </w:pPr>
          </w:p>
        </w:tc>
        <w:tc>
          <w:tcPr>
            <w:tcW w:w="8780" w:type="dxa"/>
            <w:vAlign w:val="bottom"/>
          </w:tcPr>
          <w:p>
            <w:pPr>
              <w:ind w:left="1020"/>
              <w:spacing w:after="0"/>
              <w:rPr>
                <w:sz w:val="20"/>
                <w:szCs w:val="20"/>
                <w:color w:val="auto"/>
              </w:rPr>
            </w:pPr>
            <w:r>
              <w:rPr>
                <w:rFonts w:ascii="Arial" w:cs="Arial" w:eastAsia="Arial" w:hAnsi="Arial"/>
                <w:sz w:val="20"/>
                <w:szCs w:val="20"/>
                <w:color w:val="auto"/>
                <w:w w:val="89"/>
              </w:rPr>
              <w:t>You hereby authorize and direct your employer to disclose to the Company or any Subsidiary any</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2"/>
              </w:rPr>
              <w:t>information regarding your employment, the nature and amount of your compensation and the fact and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0"/>
              </w:rPr>
              <w:t>conditions of your participation in the Plan, as your employer deems necessary or appropriate to facilitate</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the administration of the Plan.</w:t>
            </w:r>
          </w:p>
        </w:tc>
        <w:tc>
          <w:tcPr>
            <w:tcW w:w="0" w:type="dxa"/>
            <w:vAlign w:val="bottom"/>
          </w:tcPr>
          <w:p>
            <w:pPr>
              <w:spacing w:after="0"/>
              <w:rPr>
                <w:sz w:val="1"/>
                <w:szCs w:val="1"/>
                <w:color w:val="auto"/>
              </w:rPr>
            </w:pPr>
          </w:p>
        </w:tc>
      </w:tr>
      <w:tr>
        <w:trPr>
          <w:trHeight w:val="317"/>
        </w:trPr>
        <w:tc>
          <w:tcPr>
            <w:tcW w:w="2300" w:type="dxa"/>
            <w:vAlign w:val="bottom"/>
          </w:tcPr>
          <w:p>
            <w:pPr>
              <w:spacing w:after="0"/>
              <w:rPr>
                <w:sz w:val="24"/>
                <w:szCs w:val="24"/>
                <w:color w:val="auto"/>
              </w:rPr>
            </w:pPr>
          </w:p>
        </w:tc>
        <w:tc>
          <w:tcPr>
            <w:tcW w:w="8780" w:type="dxa"/>
            <w:vAlign w:val="bottom"/>
          </w:tcPr>
          <w:p>
            <w:pPr>
              <w:ind w:left="1020"/>
              <w:spacing w:after="0"/>
              <w:rPr>
                <w:sz w:val="20"/>
                <w:szCs w:val="20"/>
                <w:color w:val="auto"/>
              </w:rPr>
            </w:pPr>
            <w:r>
              <w:rPr>
                <w:rFonts w:ascii="Arial" w:cs="Arial" w:eastAsia="Arial" w:hAnsi="Arial"/>
                <w:sz w:val="20"/>
                <w:szCs w:val="20"/>
                <w:color w:val="auto"/>
                <w:w w:val="91"/>
              </w:rPr>
              <w:t>You consent to the collection, use and transfer of personal data as described in this subsection.</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You understand and acknowledge that the Company, your employer and the Company’s other</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rPr>
              <w:t>Subsidiaries hold certain personal information regarding you for the purpose of managing and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1"/>
              </w:rPr>
              <w:t>administering the Plan, including (without limitation) your name, home address, telephone number, date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5"/>
              </w:rPr>
              <w:t>of birth, social insurance number, salary, nationality, job title, any Shares or directorships held in the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3"/>
              </w:rPr>
              <w:t>Company and details of all awards or any other entitlements to Shares awarded, canceled, exercised,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1"/>
              </w:rPr>
              <w:t>vested, unvested or outstanding in your favor (the “Data”). You further understand and acknowledge that</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89"/>
              </w:rPr>
              <w:t>the Company and/or its Subsidiaries will transfer Data among themselves as necessary for the purpose of</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8780" w:type="dxa"/>
            <w:vAlign w:val="bottom"/>
          </w:tcPr>
          <w:p>
            <w:pPr>
              <w:ind w:left="360"/>
              <w:spacing w:after="0"/>
              <w:rPr>
                <w:sz w:val="20"/>
                <w:szCs w:val="20"/>
                <w:color w:val="auto"/>
              </w:rPr>
            </w:pPr>
            <w:r>
              <w:rPr>
                <w:rFonts w:ascii="Arial" w:cs="Arial" w:eastAsia="Arial" w:hAnsi="Arial"/>
                <w:sz w:val="20"/>
                <w:szCs w:val="20"/>
                <w:color w:val="auto"/>
                <w:w w:val="91"/>
              </w:rPr>
              <w:t>implementation, administration and management of your participation in the Plan and that the Company</w:t>
            </w:r>
          </w:p>
        </w:tc>
        <w:tc>
          <w:tcPr>
            <w:tcW w:w="0" w:type="dxa"/>
            <w:vAlign w:val="bottom"/>
          </w:tcPr>
          <w:p>
            <w:pPr>
              <w:spacing w:after="0"/>
              <w:rPr>
                <w:sz w:val="1"/>
                <w:szCs w:val="1"/>
                <w:color w:val="auto"/>
              </w:rPr>
            </w:pPr>
          </w:p>
        </w:tc>
      </w:tr>
    </w:tbl>
    <w:p>
      <w:pPr>
        <w:sectPr>
          <w:pgSz w:w="11900" w:h="16915" w:orient="portrait"/>
          <w:cols w:equalWidth="0" w:num="1">
            <w:col w:w="11080"/>
          </w:cols>
          <w:pgMar w:left="580" w:top="122" w:right="239" w:bottom="0" w:gutter="0" w:footer="0" w:header="0"/>
        </w:sectPr>
      </w:pPr>
    </w:p>
    <w:bookmarkStart w:id="54" w:name="page55"/>
    <w:bookmarkEnd w:id="54"/>
    <w:p>
      <w:pPr>
        <w:ind w:left="2660" w:right="80"/>
        <w:spacing w:after="0" w:line="272" w:lineRule="auto"/>
        <w:rPr>
          <w:sz w:val="20"/>
          <w:szCs w:val="20"/>
          <w:color w:val="auto"/>
        </w:rPr>
      </w:pPr>
      <w:r>
        <w:rPr>
          <w:rFonts w:ascii="Arial" w:cs="Arial" w:eastAsia="Arial" w:hAnsi="Arial"/>
          <w:sz w:val="18"/>
          <w:szCs w:val="18"/>
          <w:color w:val="auto"/>
        </w:rPr>
        <w:t>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by contacting the Human Resources Department of the Company in writing.</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Plan and Other</w:t>
      </w:r>
    </w:p>
    <w:p>
      <w:pPr>
        <w:spacing w:after="0" w:line="26" w:lineRule="exact"/>
        <w:rPr>
          <w:sz w:val="20"/>
          <w:szCs w:val="20"/>
          <w:color w:val="auto"/>
        </w:rPr>
      </w:pPr>
    </w:p>
    <w:p>
      <w:pPr>
        <w:ind w:left="2660" w:hanging="2659"/>
        <w:spacing w:after="0" w:line="265" w:lineRule="auto"/>
        <w:tabs>
          <w:tab w:leader="none" w:pos="2640" w:val="left"/>
        </w:tabs>
        <w:rPr>
          <w:sz w:val="20"/>
          <w:szCs w:val="20"/>
          <w:color w:val="auto"/>
        </w:rPr>
      </w:pPr>
      <w:r>
        <w:rPr>
          <w:rFonts w:ascii="Arial" w:cs="Arial" w:eastAsia="Arial" w:hAnsi="Arial"/>
          <w:sz w:val="22"/>
          <w:szCs w:val="22"/>
          <w:b w:val="1"/>
          <w:bCs w:val="1"/>
          <w:color w:val="auto"/>
        </w:rPr>
        <w:t>Agreements</w:t>
      </w:r>
      <w:r>
        <w:rPr>
          <w:sz w:val="20"/>
          <w:szCs w:val="20"/>
          <w:color w:val="auto"/>
        </w:rPr>
        <w:tab/>
      </w:r>
      <w:r>
        <w:rPr>
          <w:rFonts w:ascii="Arial" w:cs="Arial" w:eastAsia="Arial" w:hAnsi="Arial"/>
          <w:sz w:val="20"/>
          <w:szCs w:val="20"/>
          <w:color w:val="auto"/>
        </w:rPr>
        <w:t>The text of the Plan is incorporated in this Agreement by reference. All capitalized terms in this Agreement shall have the meanings assigned to them in the Plan. This Agreement and the Plan constitute the entire understanding between you and the Company regarding this Award. Any prior agreements, commitments or negotiations concerning this Award are superseded. This Agreement may be amended by the Committee without our consent, however, if any such amendment would materially impair your rights under this Agreement, this Agreement may be amended on by another written agreement, signed by you and the Company.</w:t>
      </w:r>
    </w:p>
    <w:p>
      <w:pPr>
        <w:spacing w:after="0" w:line="304"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By EXECUTING THE ATTACHED NOTICE,</w:t>
      </w:r>
    </w:p>
    <w:p>
      <w:pPr>
        <w:spacing w:after="0" w:line="21"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you agree to all of the terms and conditions</w:t>
      </w:r>
    </w:p>
    <w:p>
      <w:pPr>
        <w:jc w:val="center"/>
        <w:ind w:right="280"/>
        <w:spacing w:after="0"/>
        <w:rPr>
          <w:sz w:val="20"/>
          <w:szCs w:val="20"/>
          <w:color w:val="auto"/>
        </w:rPr>
      </w:pPr>
      <w:r>
        <w:rPr>
          <w:rFonts w:ascii="Arial" w:cs="Arial" w:eastAsia="Arial" w:hAnsi="Arial"/>
          <w:sz w:val="20"/>
          <w:szCs w:val="20"/>
          <w:b w:val="1"/>
          <w:bCs w:val="1"/>
          <w:color w:val="auto"/>
        </w:rPr>
        <w:t>described above and in the Plan</w:t>
      </w:r>
    </w:p>
    <w:p>
      <w:pPr>
        <w:sectPr>
          <w:pgSz w:w="11900" w:h="16838" w:orient="portrait"/>
          <w:cols w:equalWidth="0" w:num="1">
            <w:col w:w="11040"/>
          </w:cols>
          <w:pgMar w:left="580" w:top="122" w:right="2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March 31, 2018;</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1, 2018</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Kennedy, certify that:</w:t>
      </w:r>
    </w:p>
    <w:p>
      <w:pPr>
        <w:spacing w:after="0" w:line="225" w:lineRule="exact"/>
        <w:rPr>
          <w:sz w:val="20"/>
          <w:szCs w:val="20"/>
          <w:color w:val="auto"/>
        </w:rPr>
      </w:pPr>
    </w:p>
    <w:p>
      <w:pPr>
        <w:ind w:left="1340" w:hanging="684"/>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March 31, 2018;</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1, 2018</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2018,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2000" w:hanging="695"/>
        <w:spacing w:after="0"/>
        <w:tabs>
          <w:tab w:leader="none" w:pos="2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1,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2018,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2000" w:hanging="695"/>
        <w:spacing w:after="0"/>
        <w:tabs>
          <w:tab w:leader="none" w:pos="2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1,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3"/>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2"/>
    </w:lvl>
  </w:abstractNum>
  <w:abstractNum w:abstractNumId="23">
    <w:nsid w:val="836C40E"/>
    <w:multiLevelType w:val="hybridMultilevel"/>
    <w:lvl w:ilvl="0">
      <w:lvlJc w:val="left"/>
      <w:lvlText w:val="%1)"/>
      <w:numFmt w:val="lowerLetter"/>
      <w:start w:val="3"/>
    </w:lvl>
  </w:abstractNum>
  <w:abstractNum w:abstractNumId="24">
    <w:nsid w:val="2901D82"/>
    <w:multiLevelType w:val="hybridMultilevel"/>
    <w:lvl w:ilvl="0">
      <w:lvlJc w:val="left"/>
      <w:lvlText w:val="%1."/>
      <w:numFmt w:val="decimal"/>
      <w:start w:val="5"/>
    </w:lvl>
    <w:lvl w:ilvl="1">
      <w:lvlJc w:val="left"/>
      <w:lvlText w:val="%2)"/>
      <w:numFmt w:val="lowerLetter"/>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3"/>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2"/>
    </w:lvl>
  </w:abstractNum>
  <w:abstractNum w:abstractNumId="29">
    <w:nsid w:val="737B8DDC"/>
    <w:multiLevelType w:val="hybridMultilevel"/>
    <w:lvl w:ilvl="0">
      <w:lvlJc w:val="left"/>
      <w:lvlText w:val="%1)"/>
      <w:numFmt w:val="lowerLetter"/>
      <w:start w:val="3"/>
    </w:lvl>
  </w:abstractNum>
  <w:abstractNum w:abstractNumId="30">
    <w:nsid w:val="6CEAF087"/>
    <w:multiLevelType w:val="hybridMultilevel"/>
    <w:lvl w:ilvl="0">
      <w:lvlJc w:val="left"/>
      <w:lvlText w:val="%1."/>
      <w:numFmt w:val="decimal"/>
      <w:start w:val="5"/>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2019-12-07T07:42:29Z</dcterms:created>
  <dcterms:modified xsi:type="dcterms:W3CDTF">2019-12-07T07:42:29Z</dcterms:modified>
</cp:coreProperties>
</file>