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2461260</wp:posOffset>
            </wp:positionH>
            <wp:positionV relativeFrom="paragraph">
              <wp:posOffset>78740</wp:posOffset>
            </wp:positionV>
            <wp:extent cx="22205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3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165735</wp:posOffset>
            </wp:positionV>
            <wp:extent cx="22205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32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6" w:lineRule="exact"/>
        <w:rPr>
          <w:sz w:val="24"/>
          <w:szCs w:val="24"/>
          <w:color w:val="auto"/>
        </w:rPr>
      </w:pPr>
    </w:p>
    <w:p>
      <w:pPr>
        <w:ind w:left="380" w:hanging="33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380" w:hanging="336"/>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2" w:lineRule="exact"/>
        <w:rPr>
          <w:sz w:val="24"/>
          <w:szCs w:val="24"/>
          <w:color w:val="auto"/>
        </w:rPr>
      </w:pPr>
    </w:p>
    <w:tbl>
      <w:tblPr>
        <w:tblLayout w:type="fixed"/>
        <w:tblInd w:w="3880" w:type="dxa"/>
        <w:tblCellMar>
          <w:top w:w="0" w:type="dxa"/>
          <w:left w:w="0" w:type="dxa"/>
          <w:bottom w:w="0" w:type="dxa"/>
          <w:right w:w="0" w:type="dxa"/>
        </w:tblCellMar>
      </w:tblPr>
      <w:tr>
        <w:trPr>
          <w:trHeight w:val="234"/>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25"/>
        </w:trPr>
        <w:tc>
          <w:tcPr>
            <w:tcW w:w="35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Commission File Number 001-36156</w:t>
            </w:r>
          </w:p>
        </w:tc>
      </w:tr>
      <w:tr>
        <w:trPr>
          <w:trHeight w:val="106"/>
        </w:trPr>
        <w:tc>
          <w:tcPr>
            <w:tcW w:w="26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bl>
    <w:p>
      <w:pPr>
        <w:spacing w:after="0" w:line="201" w:lineRule="exact"/>
        <w:rPr>
          <w:sz w:val="24"/>
          <w:szCs w:val="24"/>
          <w:color w:val="auto"/>
        </w:rPr>
      </w:pPr>
    </w:p>
    <w:tbl>
      <w:tblPr>
        <w:tblLayout w:type="fixed"/>
        <w:tblInd w:w="800" w:type="dxa"/>
        <w:tblCellMar>
          <w:top w:w="0" w:type="dxa"/>
          <w:left w:w="0" w:type="dxa"/>
          <w:bottom w:w="0" w:type="dxa"/>
          <w:right w:w="0" w:type="dxa"/>
        </w:tblCellMar>
      </w:tblPr>
      <w:tr>
        <w:trPr>
          <w:trHeight w:val="365"/>
        </w:trPr>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28"/>
                <w:szCs w:val="28"/>
                <w:b w:val="1"/>
                <w:bCs w:val="1"/>
                <w:color w:val="auto"/>
              </w:rPr>
              <w:t>VERACYTE, INC.</w:t>
            </w:r>
          </w:p>
        </w:tc>
      </w:tr>
      <w:tr>
        <w:trPr>
          <w:trHeight w:val="232"/>
        </w:trPr>
        <w:tc>
          <w:tcPr>
            <w:tcW w:w="2560" w:type="dxa"/>
            <w:vAlign w:val="bottom"/>
          </w:tcPr>
          <w:p>
            <w:pPr>
              <w:spacing w:after="0"/>
              <w:rPr>
                <w:sz w:val="20"/>
                <w:szCs w:val="20"/>
                <w:color w:val="auto"/>
              </w:rPr>
            </w:pPr>
          </w:p>
        </w:tc>
        <w:tc>
          <w:tcPr>
            <w:tcW w:w="6640" w:type="dxa"/>
            <w:vAlign w:val="bottom"/>
            <w:gridSpan w:val="3"/>
          </w:tcPr>
          <w:p>
            <w:pPr>
              <w:jc w:val="center"/>
              <w:ind w:right="1891"/>
              <w:spacing w:after="0"/>
              <w:rPr>
                <w:sz w:val="20"/>
                <w:szCs w:val="20"/>
                <w:color w:val="auto"/>
              </w:rPr>
            </w:pPr>
            <w:r>
              <w:rPr>
                <w:rFonts w:ascii="Times New Roman" w:cs="Times New Roman" w:eastAsia="Times New Roman" w:hAnsi="Times New Roman"/>
                <w:sz w:val="18"/>
                <w:szCs w:val="18"/>
                <w:color w:val="auto"/>
                <w:w w:val="98"/>
              </w:rPr>
              <w:t>(Exact name of registrant as specified in its charter)</w:t>
            </w:r>
          </w:p>
        </w:tc>
      </w:tr>
      <w:tr>
        <w:trPr>
          <w:trHeight w:val="265"/>
        </w:trPr>
        <w:tc>
          <w:tcPr>
            <w:tcW w:w="2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2620" w:type="dxa"/>
            <w:vAlign w:val="bottom"/>
          </w:tcPr>
          <w:p>
            <w:pPr>
              <w:spacing w:after="0"/>
              <w:rPr>
                <w:sz w:val="23"/>
                <w:szCs w:val="23"/>
                <w:color w:val="auto"/>
              </w:rPr>
            </w:pPr>
          </w:p>
        </w:tc>
      </w:tr>
      <w:tr>
        <w:trPr>
          <w:trHeight w:val="334"/>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640" w:type="dxa"/>
            <w:vAlign w:val="bottom"/>
            <w:gridSpan w:val="3"/>
          </w:tcPr>
          <w:p>
            <w:pPr>
              <w:jc w:val="center"/>
              <w:ind w:left="5231"/>
              <w:spacing w:after="0"/>
              <w:rPr>
                <w:sz w:val="20"/>
                <w:szCs w:val="20"/>
                <w:color w:val="auto"/>
              </w:rPr>
            </w:pPr>
            <w:r>
              <w:rPr>
                <w:rFonts w:ascii="Times New Roman" w:cs="Times New Roman" w:eastAsia="Times New Roman" w:hAnsi="Times New Roman"/>
                <w:sz w:val="18"/>
                <w:szCs w:val="18"/>
                <w:b w:val="1"/>
                <w:bCs w:val="1"/>
                <w:color w:val="auto"/>
                <w:w w:val="96"/>
              </w:rPr>
              <w:t>20-5455398</w:t>
            </w:r>
          </w:p>
        </w:tc>
      </w:tr>
      <w:tr>
        <w:trPr>
          <w:trHeight w:val="226"/>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5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32"/>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5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84"/>
        </w:trPr>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18"/>
                <w:szCs w:val="18"/>
                <w:b w:val="1"/>
                <w:bCs w:val="1"/>
                <w:color w:val="auto"/>
                <w:w w:val="98"/>
              </w:rPr>
              <w:t>6000 Shoreline Court, Suite 300</w:t>
            </w:r>
          </w:p>
        </w:tc>
      </w:tr>
      <w:tr>
        <w:trPr>
          <w:trHeight w:val="215"/>
        </w:trPr>
        <w:tc>
          <w:tcPr>
            <w:tcW w:w="2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18"/>
                <w:szCs w:val="18"/>
                <w:b w:val="1"/>
                <w:bCs w:val="1"/>
                <w:color w:val="auto"/>
                <w:w w:val="98"/>
              </w:rPr>
              <w:t>South San Francisco, California 94080</w:t>
            </w:r>
          </w:p>
        </w:tc>
      </w:tr>
      <w:tr>
        <w:trPr>
          <w:trHeight w:val="232"/>
        </w:trPr>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120" w:type="dxa"/>
            <w:vAlign w:val="bottom"/>
            <w:gridSpan w:val="2"/>
          </w:tcPr>
          <w:p>
            <w:pPr>
              <w:jc w:val="center"/>
              <w:ind w:right="2411"/>
              <w:spacing w:after="0"/>
              <w:rPr>
                <w:sz w:val="20"/>
                <w:szCs w:val="20"/>
                <w:color w:val="auto"/>
              </w:rPr>
            </w:pPr>
            <w:r>
              <w:rPr>
                <w:rFonts w:ascii="Times New Roman" w:cs="Times New Roman" w:eastAsia="Times New Roman" w:hAnsi="Times New Roman"/>
                <w:sz w:val="18"/>
                <w:szCs w:val="18"/>
                <w:color w:val="auto"/>
                <w:w w:val="98"/>
              </w:rPr>
              <w:t>(Address of principal executive offices, zip code)</w:t>
            </w:r>
          </w:p>
        </w:tc>
      </w:tr>
      <w:tr>
        <w:trPr>
          <w:trHeight w:val="406"/>
        </w:trPr>
        <w:tc>
          <w:tcPr>
            <w:tcW w:w="2560" w:type="dxa"/>
            <w:vAlign w:val="bottom"/>
          </w:tcPr>
          <w:p>
            <w:pPr>
              <w:spacing w:after="0"/>
              <w:rPr>
                <w:sz w:val="24"/>
                <w:szCs w:val="24"/>
                <w:color w:val="auto"/>
              </w:rPr>
            </w:pPr>
          </w:p>
        </w:tc>
        <w:tc>
          <w:tcPr>
            <w:tcW w:w="402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rPr>
              <w:t>(650) 243-6300</w:t>
            </w:r>
          </w:p>
        </w:tc>
        <w:tc>
          <w:tcPr>
            <w:tcW w:w="2620" w:type="dxa"/>
            <w:vAlign w:val="bottom"/>
          </w:tcPr>
          <w:p>
            <w:pPr>
              <w:spacing w:after="0"/>
              <w:rPr>
                <w:sz w:val="24"/>
                <w:szCs w:val="24"/>
                <w:color w:val="auto"/>
              </w:rPr>
            </w:pPr>
          </w:p>
        </w:tc>
      </w:tr>
      <w:tr>
        <w:trPr>
          <w:trHeight w:val="232"/>
        </w:trPr>
        <w:tc>
          <w:tcPr>
            <w:tcW w:w="2560" w:type="dxa"/>
            <w:vAlign w:val="bottom"/>
          </w:tcPr>
          <w:p>
            <w:pPr>
              <w:spacing w:after="0"/>
              <w:rPr>
                <w:sz w:val="20"/>
                <w:szCs w:val="20"/>
                <w:color w:val="auto"/>
              </w:rPr>
            </w:pPr>
          </w:p>
        </w:tc>
        <w:tc>
          <w:tcPr>
            <w:tcW w:w="6640" w:type="dxa"/>
            <w:vAlign w:val="bottom"/>
            <w:gridSpan w:val="3"/>
          </w:tcPr>
          <w:p>
            <w:pPr>
              <w:jc w:val="center"/>
              <w:ind w:right="1911"/>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2461260</wp:posOffset>
            </wp:positionH>
            <wp:positionV relativeFrom="paragraph">
              <wp:posOffset>176530</wp:posOffset>
            </wp:positionV>
            <wp:extent cx="2220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520" w:type="dxa"/>
            <w:vAlign w:val="bottom"/>
          </w:tcPr>
          <w:p>
            <w:pPr>
              <w:spacing w:after="0"/>
              <w:rPr>
                <w:sz w:val="20"/>
                <w:szCs w:val="20"/>
                <w:color w:val="auto"/>
              </w:rPr>
            </w:pPr>
          </w:p>
        </w:tc>
        <w:tc>
          <w:tcPr>
            <w:tcW w:w="42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8"/>
              </w:rPr>
              <w:t>Securities registered pursuant to Section 12(b) of the Act:</w:t>
            </w:r>
          </w:p>
        </w:tc>
        <w:tc>
          <w:tcPr>
            <w:tcW w:w="3500" w:type="dxa"/>
            <w:vAlign w:val="bottom"/>
          </w:tcPr>
          <w:p>
            <w:pPr>
              <w:spacing w:after="0"/>
              <w:rPr>
                <w:sz w:val="20"/>
                <w:szCs w:val="20"/>
                <w:color w:val="auto"/>
              </w:rPr>
            </w:pPr>
          </w:p>
        </w:tc>
      </w:tr>
      <w:tr>
        <w:trPr>
          <w:trHeight w:val="544"/>
        </w:trPr>
        <w:tc>
          <w:tcPr>
            <w:tcW w:w="352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50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225"/>
        </w:trPr>
        <w:tc>
          <w:tcPr>
            <w:tcW w:w="3520" w:type="dxa"/>
            <w:vAlign w:val="bottom"/>
            <w:tcBorders>
              <w:top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w w:val="98"/>
              </w:rPr>
              <w:t>Common Stock, par value, $0.001 per share</w:t>
            </w:r>
          </w:p>
        </w:tc>
        <w:tc>
          <w:tcPr>
            <w:tcW w:w="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VCYT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50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8"/>
              </w:rPr>
              <w:t>The Nasdaq Stock Market LLC</w:t>
            </w:r>
          </w:p>
        </w:tc>
      </w:tr>
    </w:tbl>
    <w:p>
      <w:pPr>
        <w:spacing w:after="0" w:line="282" w:lineRule="exact"/>
        <w:rPr>
          <w:sz w:val="24"/>
          <w:szCs w:val="24"/>
          <w:color w:val="auto"/>
        </w:rPr>
      </w:pPr>
    </w:p>
    <w:p>
      <w:pPr>
        <w:ind w:right="20" w:firstLine="439"/>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ind w:right="80" w:firstLine="439"/>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654685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0"/>
          <w:szCs w:val="20"/>
          <w:color w:val="auto"/>
        </w:rPr>
      </w:pPr>
    </w:p>
    <w:tbl>
      <w:tblPr>
        <w:tblLayout w:type="fixed"/>
        <w:tblInd w:w="1160" w:type="dxa"/>
        <w:tblCellMar>
          <w:top w:w="0" w:type="dxa"/>
          <w:left w:w="0" w:type="dxa"/>
          <w:bottom w:w="0" w:type="dxa"/>
          <w:right w:w="0" w:type="dxa"/>
        </w:tblCellMar>
      </w:tblPr>
      <w:tr>
        <w:trPr>
          <w:trHeight w:val="226"/>
        </w:trPr>
        <w:tc>
          <w:tcPr>
            <w:tcW w:w="2240" w:type="dxa"/>
            <w:vAlign w:val="bottom"/>
          </w:tcPr>
          <w:p>
            <w:pPr>
              <w:jc w:val="center"/>
              <w:ind w:right="551"/>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2660" w:type="dxa"/>
            <w:vAlign w:val="bottom"/>
          </w:tcPr>
          <w:p>
            <w:pPr>
              <w:ind w:left="640"/>
              <w:spacing w:after="0"/>
              <w:rPr>
                <w:sz w:val="20"/>
                <w:szCs w:val="20"/>
                <w:color w:val="auto"/>
              </w:rPr>
            </w:pPr>
            <w:r>
              <w:rPr>
                <w:rFonts w:ascii="Wingdings" w:cs="Wingdings" w:eastAsia="Wingdings" w:hAnsi="Wingdings"/>
                <w:sz w:val="18"/>
                <w:szCs w:val="18"/>
                <w:b w:val="1"/>
                <w:bCs w:val="1"/>
                <w:color w:val="auto"/>
              </w:rPr>
              <w:t>x</w:t>
            </w:r>
          </w:p>
        </w:tc>
        <w:tc>
          <w:tcPr>
            <w:tcW w:w="4340" w:type="dxa"/>
            <w:vAlign w:val="bottom"/>
          </w:tcPr>
          <w:p>
            <w:pPr>
              <w:jc w:val="center"/>
              <w:ind w:left="1231"/>
              <w:spacing w:after="0"/>
              <w:rPr>
                <w:sz w:val="20"/>
                <w:szCs w:val="20"/>
                <w:color w:val="auto"/>
              </w:rPr>
            </w:pPr>
            <w:r>
              <w:rPr>
                <w:rFonts w:ascii="Times New Roman" w:cs="Times New Roman" w:eastAsia="Times New Roman" w:hAnsi="Times New Roman"/>
                <w:sz w:val="18"/>
                <w:szCs w:val="18"/>
                <w:color w:val="auto"/>
                <w:w w:val="97"/>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6"/>
        </w:trPr>
        <w:tc>
          <w:tcPr>
            <w:tcW w:w="224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8"/>
              </w:rPr>
              <w:t>Non-accelerated filer</w:t>
            </w:r>
          </w:p>
        </w:tc>
        <w:tc>
          <w:tcPr>
            <w:tcW w:w="26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34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8"/>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2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8"/>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47" w:lineRule="exact"/>
        <w:rPr>
          <w:sz w:val="20"/>
          <w:szCs w:val="20"/>
          <w:color w:val="auto"/>
        </w:rPr>
      </w:pPr>
    </w:p>
    <w:p>
      <w:pPr>
        <w:ind w:right="280" w:firstLine="359"/>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360" w:right="228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October 31, 2025, there were 79,049,173 shares of common stock, par value $0.001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855345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7"/>
        </w:trPr>
        <w:tc>
          <w:tcPr>
            <w:tcW w:w="1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20" w:type="dxa"/>
            <w:vAlign w:val="bottom"/>
            <w:gridSpan w:val="12"/>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8"/>
              </w:rPr>
              <w:t>VERACYTE, INC.</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gridSpan w:val="10"/>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2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32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6"/>
              </w:rPr>
              <w:t>PART I. — FINANCIAL INFORMATION</w:t>
            </w:r>
          </w:p>
        </w:tc>
        <w:tc>
          <w:tcPr>
            <w:tcW w:w="4300" w:type="dxa"/>
            <w:vAlign w:val="bottom"/>
            <w:gridSpan w:val="13"/>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3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 Condensed Consolidated Financial Statements (Unaudited)</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2025 and</w:t>
            </w: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Borders>
              <w:top w:val="single" w:sz="8" w:color="0000FF"/>
              <w:bottom w:val="single" w:sz="8" w:color="0000FF"/>
            </w:tcBorders>
            <w:gridSpan w:val="5"/>
          </w:tcPr>
          <w:p>
            <w:pPr>
              <w:spacing w:after="0" w:line="140" w:lineRule="exact"/>
              <w:rPr>
                <w:sz w:val="20"/>
                <w:szCs w:val="20"/>
                <w:color w:val="auto"/>
              </w:rPr>
            </w:pPr>
            <w:r>
              <w:rPr>
                <w:rFonts w:ascii="Times New Roman" w:cs="Times New Roman" w:eastAsia="Times New Roman" w:hAnsi="Times New Roman"/>
                <w:sz w:val="16"/>
                <w:szCs w:val="16"/>
                <w:color w:val="0000FF"/>
              </w:rPr>
              <w:t>December 31, 2024</w:t>
            </w:r>
          </w:p>
        </w:tc>
        <w:tc>
          <w:tcPr>
            <w:tcW w:w="3640" w:type="dxa"/>
            <w:vAlign w:val="bottom"/>
            <w:tcBorders>
              <w:top w:val="single" w:sz="8" w:color="0000FF"/>
            </w:tcBorders>
            <w:gridSpan w:val="12"/>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3"/>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11"/>
          </w:tcPr>
          <w:p>
            <w:pPr>
              <w:spacing w:after="0" w:line="140" w:lineRule="exact"/>
              <w:rPr>
                <w:sz w:val="20"/>
                <w:szCs w:val="20"/>
                <w:color w:val="auto"/>
              </w:rPr>
            </w:pPr>
            <w:r>
              <w:rPr>
                <w:rFonts w:ascii="Times New Roman" w:cs="Times New Roman" w:eastAsia="Times New Roman" w:hAnsi="Times New Roman"/>
                <w:sz w:val="16"/>
                <w:szCs w:val="16"/>
                <w:color w:val="0000FF"/>
              </w:rPr>
              <w:t>Periods Ended September 30, 2025 and 2024</w:t>
            </w:r>
          </w:p>
        </w:tc>
        <w:tc>
          <w:tcPr>
            <w:tcW w:w="2580" w:type="dxa"/>
            <w:vAlign w:val="bottom"/>
            <w:tcBorders>
              <w:top w:val="single" w:sz="8" w:color="0000FF"/>
            </w:tcBorders>
            <w:gridSpan w:val="8"/>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3"/>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0" w:type="dxa"/>
            <w:vAlign w:val="bottom"/>
            <w:tcBorders>
              <w:top w:val="single" w:sz="8" w:color="0000FF"/>
              <w:bottom w:val="single" w:sz="8" w:color="0000FF"/>
            </w:tcBorders>
            <w:gridSpan w:val="14"/>
          </w:tcPr>
          <w:p>
            <w:pPr>
              <w:spacing w:after="0" w:line="140" w:lineRule="exact"/>
              <w:rPr>
                <w:sz w:val="20"/>
                <w:szCs w:val="20"/>
                <w:color w:val="auto"/>
              </w:rPr>
            </w:pPr>
            <w:r>
              <w:rPr>
                <w:rFonts w:ascii="Times New Roman" w:cs="Times New Roman" w:eastAsia="Times New Roman" w:hAnsi="Times New Roman"/>
                <w:sz w:val="16"/>
                <w:szCs w:val="16"/>
                <w:color w:val="0000FF"/>
              </w:rPr>
              <w:t>and Nine Month Periods Ended September 30, 2025 and 2024</w:t>
            </w:r>
          </w:p>
        </w:tc>
        <w:tc>
          <w:tcPr>
            <w:tcW w:w="1580" w:type="dxa"/>
            <w:vAlign w:val="bottom"/>
            <w:tcBorders>
              <w:top w:val="single" w:sz="8" w:color="0000FF"/>
            </w:tcBorders>
            <w:gridSpan w:val="8"/>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3"/>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12"/>
          </w:tcPr>
          <w:p>
            <w:pPr>
              <w:spacing w:after="0" w:line="140" w:lineRule="exact"/>
              <w:rPr>
                <w:sz w:val="20"/>
                <w:szCs w:val="20"/>
                <w:color w:val="auto"/>
              </w:rPr>
            </w:pPr>
            <w:r>
              <w:rPr>
                <w:rFonts w:ascii="Times New Roman" w:cs="Times New Roman" w:eastAsia="Times New Roman" w:hAnsi="Times New Roman"/>
                <w:sz w:val="16"/>
                <w:szCs w:val="16"/>
                <w:color w:val="0000FF"/>
              </w:rPr>
              <w:t>Month Periods Ended September 30, 2025 and 2024</w:t>
            </w:r>
          </w:p>
        </w:tc>
        <w:tc>
          <w:tcPr>
            <w:tcW w:w="2240" w:type="dxa"/>
            <w:vAlign w:val="bottom"/>
            <w:tcBorders>
              <w:top w:val="single" w:sz="8" w:color="0000FF"/>
            </w:tcBorders>
            <w:gridSpan w:val="9"/>
          </w:tcPr>
          <w:p>
            <w:pPr>
              <w:spacing w:after="0"/>
              <w:rPr>
                <w:sz w:val="13"/>
                <w:szCs w:val="13"/>
                <w:color w:val="auto"/>
              </w:rPr>
            </w:pPr>
          </w:p>
        </w:tc>
        <w:tc>
          <w:tcPr>
            <w:tcW w:w="1260" w:type="dxa"/>
            <w:vAlign w:val="bottom"/>
            <w:gridSpan w:val="2"/>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 Periods</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3"/>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tcBorders>
              <w:top w:val="single" w:sz="8" w:color="0000FF"/>
            </w:tcBorders>
            <w:gridSpan w:val="8"/>
          </w:tcPr>
          <w:p>
            <w:pPr>
              <w:spacing w:after="0" w:line="140" w:lineRule="exact"/>
              <w:rPr>
                <w:sz w:val="20"/>
                <w:szCs w:val="20"/>
                <w:color w:val="auto"/>
              </w:rPr>
            </w:pPr>
            <w:r>
              <w:rPr>
                <w:rFonts w:ascii="Times New Roman" w:cs="Times New Roman" w:eastAsia="Times New Roman" w:hAnsi="Times New Roman"/>
                <w:sz w:val="16"/>
                <w:szCs w:val="16"/>
                <w:color w:val="0000FF"/>
              </w:rPr>
              <w:t>Ended September 30, 2025 and 2024</w:t>
            </w:r>
          </w:p>
        </w:tc>
        <w:tc>
          <w:tcPr>
            <w:tcW w:w="3040" w:type="dxa"/>
            <w:vAlign w:val="bottom"/>
            <w:tcBorders>
              <w:top w:val="single" w:sz="8" w:color="0000FF"/>
            </w:tcBorders>
            <w:gridSpan w:val="10"/>
          </w:tcPr>
          <w:p>
            <w:pPr>
              <w:spacing w:after="0"/>
              <w:rPr>
                <w:sz w:val="13"/>
                <w:szCs w:val="13"/>
                <w:color w:val="auto"/>
              </w:rPr>
            </w:pPr>
          </w:p>
        </w:tc>
        <w:tc>
          <w:tcPr>
            <w:tcW w:w="220" w:type="dxa"/>
            <w:vAlign w:val="bottom"/>
            <w:gridSpan w:val="2"/>
          </w:tcPr>
          <w:p>
            <w:pPr>
              <w:spacing w:after="0"/>
              <w:rPr>
                <w:sz w:val="13"/>
                <w:szCs w:val="13"/>
                <w:color w:val="auto"/>
              </w:rPr>
            </w:pPr>
          </w:p>
        </w:tc>
        <w:tc>
          <w:tcPr>
            <w:tcW w:w="1340" w:type="dxa"/>
            <w:vAlign w:val="bottom"/>
            <w:gridSpan w:val="3"/>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540" w:type="dxa"/>
            <w:vAlign w:val="bottom"/>
            <w:tcBorders>
              <w:lef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gridSpan w:val="4"/>
          </w:tcPr>
          <w:p>
            <w:pPr>
              <w:spacing w:after="0"/>
              <w:rPr>
                <w:sz w:val="2"/>
                <w:szCs w:val="2"/>
                <w:color w:val="auto"/>
              </w:rPr>
            </w:pPr>
          </w:p>
        </w:tc>
        <w:tc>
          <w:tcPr>
            <w:tcW w:w="680" w:type="dxa"/>
            <w:vAlign w:val="bottom"/>
            <w:gridSpan w:val="3"/>
          </w:tcPr>
          <w:p>
            <w:pPr>
              <w:spacing w:after="0"/>
              <w:rPr>
                <w:sz w:val="2"/>
                <w:szCs w:val="2"/>
                <w:color w:val="auto"/>
              </w:rPr>
            </w:pPr>
          </w:p>
        </w:tc>
        <w:tc>
          <w:tcPr>
            <w:tcW w:w="1260" w:type="dxa"/>
            <w:vAlign w:val="bottom"/>
            <w:gridSpan w:val="4"/>
          </w:tcPr>
          <w:p>
            <w:pPr>
              <w:spacing w:after="0"/>
              <w:rPr>
                <w:sz w:val="2"/>
                <w:szCs w:val="2"/>
                <w:color w:val="auto"/>
              </w:rPr>
            </w:pPr>
          </w:p>
        </w:tc>
        <w:tc>
          <w:tcPr>
            <w:tcW w:w="1340" w:type="dxa"/>
            <w:vAlign w:val="bottom"/>
            <w:gridSpan w:val="3"/>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Notes to Condensed Consolidated Financial Statements</w:t>
            </w:r>
          </w:p>
        </w:tc>
        <w:tc>
          <w:tcPr>
            <w:tcW w:w="3280" w:type="dxa"/>
            <w:vAlign w:val="bottom"/>
            <w:gridSpan w:val="10"/>
          </w:tcPr>
          <w:p>
            <w:pPr>
              <w:spacing w:after="0"/>
              <w:rPr>
                <w:sz w:val="21"/>
                <w:szCs w:val="21"/>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w:t>
            </w:r>
          </w:p>
        </w:tc>
        <w:tc>
          <w:tcPr>
            <w:tcW w:w="1320" w:type="dxa"/>
            <w:vAlign w:val="bottom"/>
            <w:vMerge w:val="restart"/>
          </w:tcPr>
          <w:p>
            <w:pPr>
              <w:spacing w:after="0"/>
              <w:rPr>
                <w:sz w:val="19"/>
                <w:szCs w:val="19"/>
                <w:color w:val="auto"/>
              </w:rPr>
            </w:pP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22</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top w:val="single" w:sz="8" w:color="0000FF"/>
            </w:tcBorders>
            <w:gridSpan w:val="3"/>
          </w:tcPr>
          <w:p>
            <w:pPr>
              <w:spacing w:after="0" w:line="140" w:lineRule="exact"/>
              <w:rPr>
                <w:sz w:val="20"/>
                <w:szCs w:val="20"/>
                <w:color w:val="auto"/>
              </w:rPr>
            </w:pPr>
            <w:r>
              <w:rPr>
                <w:rFonts w:ascii="Times New Roman" w:cs="Times New Roman" w:eastAsia="Times New Roman" w:hAnsi="Times New Roman"/>
                <w:sz w:val="16"/>
                <w:szCs w:val="16"/>
                <w:color w:val="0000FF"/>
              </w:rPr>
              <w:t>Operations</w:t>
            </w:r>
          </w:p>
        </w:tc>
        <w:tc>
          <w:tcPr>
            <w:tcW w:w="5120" w:type="dxa"/>
            <w:vAlign w:val="bottom"/>
            <w:tcBorders>
              <w:top w:val="single" w:sz="8" w:color="0000FF"/>
            </w:tcBorders>
            <w:gridSpan w:val="18"/>
          </w:tcPr>
          <w:p>
            <w:pPr>
              <w:spacing w:after="0"/>
              <w:rPr>
                <w:sz w:val="13"/>
                <w:szCs w:val="13"/>
                <w:color w:val="auto"/>
              </w:rPr>
            </w:pPr>
          </w:p>
        </w:tc>
        <w:tc>
          <w:tcPr>
            <w:tcW w:w="1340" w:type="dxa"/>
            <w:vAlign w:val="bottom"/>
            <w:gridSpan w:val="3"/>
          </w:tcPr>
          <w:p>
            <w:pPr>
              <w:spacing w:after="0"/>
              <w:rPr>
                <w:sz w:val="13"/>
                <w:szCs w:val="13"/>
                <w:color w:val="auto"/>
              </w:rPr>
            </w:pPr>
          </w:p>
        </w:tc>
        <w:tc>
          <w:tcPr>
            <w:tcW w:w="1320" w:type="dxa"/>
            <w:vAlign w:val="bottom"/>
            <w:vMerge w:val="continue"/>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920" w:type="dxa"/>
            <w:vAlign w:val="bottom"/>
            <w:gridSpan w:val="3"/>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980" w:type="dxa"/>
            <w:vAlign w:val="bottom"/>
            <w:gridSpan w:val="7"/>
          </w:tcPr>
          <w:p>
            <w:pPr>
              <w:spacing w:after="0"/>
              <w:rPr>
                <w:sz w:val="2"/>
                <w:szCs w:val="2"/>
                <w:color w:val="auto"/>
              </w:rPr>
            </w:pPr>
          </w:p>
        </w:tc>
        <w:tc>
          <w:tcPr>
            <w:tcW w:w="2600" w:type="dxa"/>
            <w:vAlign w:val="bottom"/>
            <w:gridSpan w:val="7"/>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6"/>
              </w:rPr>
              <w:t>Item 3. Quantitative and Qualitative Disclosures About Market Risk</w:t>
            </w:r>
          </w:p>
        </w:tc>
        <w:tc>
          <w:tcPr>
            <w:tcW w:w="2600" w:type="dxa"/>
            <w:vAlign w:val="bottom"/>
            <w:gridSpan w:val="7"/>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gridSpan w:val="7"/>
            <w:shd w:val="clear" w:color="auto" w:fill="0000FF"/>
          </w:tcPr>
          <w:p>
            <w:pPr>
              <w:spacing w:after="0" w:line="20" w:lineRule="exact"/>
              <w:rPr>
                <w:sz w:val="1"/>
                <w:szCs w:val="1"/>
                <w:color w:val="auto"/>
              </w:rPr>
            </w:pPr>
          </w:p>
        </w:tc>
        <w:tc>
          <w:tcPr>
            <w:tcW w:w="2600" w:type="dxa"/>
            <w:vAlign w:val="bottom"/>
            <w:tcBorders>
              <w:left w:val="single" w:sz="8" w:color="0000FF"/>
            </w:tcBorders>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4"/>
              </w:rPr>
              <w:t>Item 4. Controls and Procedures</w:t>
            </w:r>
          </w:p>
        </w:tc>
        <w:tc>
          <w:tcPr>
            <w:tcW w:w="2540" w:type="dxa"/>
            <w:vAlign w:val="bottom"/>
            <w:gridSpan w:val="9"/>
          </w:tcPr>
          <w:p>
            <w:pPr>
              <w:spacing w:after="0"/>
              <w:rPr>
                <w:sz w:val="21"/>
                <w:szCs w:val="21"/>
                <w:color w:val="auto"/>
              </w:rPr>
            </w:pPr>
          </w:p>
        </w:tc>
        <w:tc>
          <w:tcPr>
            <w:tcW w:w="2600" w:type="dxa"/>
            <w:vAlign w:val="bottom"/>
            <w:gridSpan w:val="7"/>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75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7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4600" w:type="dxa"/>
            <w:vAlign w:val="bottom"/>
            <w:gridSpan w:val="15"/>
          </w:tcPr>
          <w:p>
            <w:pPr>
              <w:spacing w:after="0"/>
              <w:rPr>
                <w:sz w:val="21"/>
                <w:szCs w:val="21"/>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5580" w:type="dxa"/>
            <w:vAlign w:val="bottom"/>
            <w:gridSpan w:val="17"/>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3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980" w:type="dxa"/>
            <w:vAlign w:val="bottom"/>
            <w:gridSpan w:val="7"/>
            <w:shd w:val="clear" w:color="auto" w:fill="0000FF"/>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6"/>
              </w:rPr>
              <w:t>Item 3. Defaults Upon Senior Securities</w:t>
            </w:r>
          </w:p>
        </w:tc>
        <w:tc>
          <w:tcPr>
            <w:tcW w:w="1980" w:type="dxa"/>
            <w:vAlign w:val="bottom"/>
            <w:gridSpan w:val="7"/>
          </w:tcPr>
          <w:p>
            <w:pPr>
              <w:spacing w:after="0"/>
              <w:rPr>
                <w:sz w:val="21"/>
                <w:szCs w:val="21"/>
                <w:color w:val="auto"/>
              </w:rPr>
            </w:pPr>
          </w:p>
        </w:tc>
        <w:tc>
          <w:tcPr>
            <w:tcW w:w="2600" w:type="dxa"/>
            <w:vAlign w:val="bottom"/>
            <w:gridSpan w:val="7"/>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4580" w:type="dxa"/>
            <w:vAlign w:val="bottom"/>
            <w:gridSpan w:val="1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4580" w:type="dxa"/>
            <w:vAlign w:val="bottom"/>
            <w:gridSpan w:val="14"/>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140" w:type="dxa"/>
            <w:vAlign w:val="bottom"/>
            <w:gridSpan w:val="1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5140" w:type="dxa"/>
            <w:vAlign w:val="bottom"/>
            <w:gridSpan w:val="16"/>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580" w:type="dxa"/>
            <w:vAlign w:val="bottom"/>
            <w:gridSpan w:val="1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3"/>
              </w:rPr>
              <w:t>Item 6. Exhibits</w:t>
            </w:r>
          </w:p>
        </w:tc>
        <w:tc>
          <w:tcPr>
            <w:tcW w:w="700" w:type="dxa"/>
            <w:vAlign w:val="bottom"/>
            <w:gridSpan w:val="3"/>
          </w:tcPr>
          <w:p>
            <w:pPr>
              <w:spacing w:after="0"/>
              <w:rPr>
                <w:sz w:val="21"/>
                <w:szCs w:val="21"/>
                <w:color w:val="auto"/>
              </w:rPr>
            </w:pPr>
          </w:p>
        </w:tc>
        <w:tc>
          <w:tcPr>
            <w:tcW w:w="5580" w:type="dxa"/>
            <w:vAlign w:val="bottom"/>
            <w:gridSpan w:val="17"/>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80" w:type="dxa"/>
            <w:vAlign w:val="bottom"/>
            <w:gridSpan w:val="2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75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60"/>
          </w:cols>
          <w:pgMar w:left="320" w:top="105" w:right="1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7"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17"/>
          <w:szCs w:val="17"/>
          <w:color w:val="auto"/>
        </w:rPr>
        <w:t>This Quarterly Report on Form 10-Q, or this report, contains forward-looking statements within the meaning of the Private Securities Litigation Reform Act of 1995. All statements contained in this report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186"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such terminology as “believe,” “may,” “will,” “potentially,” “expect,” “estimate,” “continue,” “ongoing,” “anticipate,” “intend,” “could,” “would,” “project,” “plan,” “expect” and similar expressions that convey uncertainty of future events or outcomes, although not all forward-looking statements contain these words. These are statements that relate to future events and include, but are not limited to, statements about:</w:t>
      </w:r>
    </w:p>
    <w:p>
      <w:pPr>
        <w:spacing w:after="0" w:line="194" w:lineRule="exact"/>
        <w:rPr>
          <w:sz w:val="20"/>
          <w:szCs w:val="20"/>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that may impact our financial results;</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total revenue and total test volume;</w:t>
      </w:r>
    </w:p>
    <w:p>
      <w:pPr>
        <w:spacing w:after="0" w:line="32" w:lineRule="exact"/>
        <w:rPr>
          <w:rFonts w:ascii="Times New Roman" w:cs="Times New Roman" w:eastAsia="Times New Roman" w:hAnsi="Times New Roman"/>
          <w:sz w:val="18"/>
          <w:szCs w:val="18"/>
          <w:color w:val="auto"/>
        </w:rPr>
      </w:pPr>
    </w:p>
    <w:p>
      <w:pPr>
        <w:ind w:left="64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our future research and development, general and administrative and selling and marketing expenses and our anticipated uses of our funds;</w:t>
      </w:r>
    </w:p>
    <w:p>
      <w:pPr>
        <w:spacing w:after="0" w:line="3" w:lineRule="exact"/>
        <w:rPr>
          <w:rFonts w:ascii="Times New Roman" w:cs="Times New Roman" w:eastAsia="Times New Roman" w:hAnsi="Times New Roman"/>
          <w:sz w:val="18"/>
          <w:szCs w:val="18"/>
          <w:color w:val="auto"/>
        </w:rPr>
      </w:pPr>
    </w:p>
    <w:p>
      <w:pPr>
        <w:jc w:val="both"/>
        <w:ind w:left="640" w:hanging="315"/>
        <w:spacing w:after="0" w:line="23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volatile interest rates and foreign exchange fluctuations, as well as regional conflicts globally, including the war in Ukraine, the ongoing conflict in the Middle East, any impacts of the policies and legislation enacted by the current administration, energy, trade and supply chain disruptions, and market volatility resulting from the above on our business;</w:t>
      </w:r>
    </w:p>
    <w:p>
      <w:pPr>
        <w:spacing w:after="0" w:line="2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evolving international trade policies and government actions relating to tariffs;</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with respect to importance of maintaining libraries of clinical evidence;</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Percepta Nasal Swab classifier for early lung cancer classification and the Prosigna breast cancer assay;</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addition of minimal residual detection capabilities to our diagnostics platform;</w:t>
      </w:r>
    </w:p>
    <w:p>
      <w:pPr>
        <w:spacing w:after="0" w:line="45" w:lineRule="exact"/>
        <w:rPr>
          <w:rFonts w:ascii="Times New Roman" w:cs="Times New Roman" w:eastAsia="Times New Roman" w:hAnsi="Times New Roman"/>
          <w:sz w:val="18"/>
          <w:szCs w:val="18"/>
          <w:color w:val="auto"/>
        </w:rPr>
      </w:pPr>
    </w:p>
    <w:p>
      <w:pPr>
        <w:ind w:left="640" w:hanging="315"/>
        <w:spacing w:after="0" w:line="25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success of our transition to offering more of our tests as in vitro diagnostic tests on multiple platforms worldwide;</w:t>
      </w:r>
    </w:p>
    <w:p>
      <w:pPr>
        <w:ind w:left="640" w:right="2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receive quality reagents and other raw materials from certain single source suppliers, including our in vitro diagnostics, or IVD, products;</w:t>
      </w:r>
    </w:p>
    <w:p>
      <w:pPr>
        <w:spacing w:after="0" w:line="3" w:lineRule="exact"/>
        <w:rPr>
          <w:rFonts w:ascii="Times New Roman" w:cs="Times New Roman" w:eastAsia="Times New Roman" w:hAnsi="Times New Roman"/>
          <w:sz w:val="18"/>
          <w:szCs w:val="18"/>
          <w:color w:val="auto"/>
        </w:rPr>
      </w:pPr>
    </w:p>
    <w:p>
      <w:pPr>
        <w:ind w:left="640" w:hanging="315"/>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C2i Genomics, Inc., or C2i, and Decipher Biosciences into our business and our ability to develop and launch tests, and enter into supply agreements, with manufacturers of alternative systems;</w:t>
      </w:r>
    </w:p>
    <w:p>
      <w:pPr>
        <w:spacing w:after="0" w:line="1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partnerships and agreements;</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capital expenditures, our anticipated cash needs and our estimates regarding our capital requirements and profitability;</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our ability to execute on our strategy;</w:t>
      </w:r>
    </w:p>
    <w:p>
      <w:pPr>
        <w:spacing w:after="0" w:line="45" w:lineRule="exact"/>
        <w:rPr>
          <w:rFonts w:ascii="Times New Roman" w:cs="Times New Roman" w:eastAsia="Times New Roman" w:hAnsi="Times New Roman"/>
          <w:sz w:val="18"/>
          <w:szCs w:val="18"/>
          <w:color w:val="auto"/>
        </w:rPr>
      </w:pPr>
    </w:p>
    <w:p>
      <w:pPr>
        <w:ind w:left="640" w:hanging="315"/>
        <w:spacing w:after="0" w:line="25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Medicare, other government payer, and other commercial third-party payer reimbursement at acceptable levels and our expectations regarding the timing of reimbursement;</w:t>
      </w:r>
    </w:p>
    <w:p>
      <w:pPr>
        <w:ind w:left="64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the estimated number of patients eligible for our tests and the attributes and potential benefits of our tests and any future tests we may develop to patients, physicians, and payers;</w:t>
      </w:r>
    </w:p>
    <w:p>
      <w:pPr>
        <w:spacing w:after="0" w:line="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on our ability to drive demand for and reimbursement of our tests;</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strategy;</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policies, guidance agency interpretations and judicial decisions; and</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in our competitive position.</w:t>
      </w:r>
    </w:p>
    <w:p>
      <w:pPr>
        <w:spacing w:after="0" w:line="298"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report. 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report and are subject to a number of risks, uncertainties and assumptions described in the section titled “Risk Factors” in Part II, Item 1A and elsewhere in this report and in the section titled “Risk Factors” in Part I, Item 1A of our Annual Report on Form 10-K for the year ended December 31, 2024.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Statements-(Unaudited)</w:t>
      </w:r>
    </w:p>
    <w:p>
      <w:pPr>
        <w:spacing w:after="0" w:line="2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9"/>
        </w:trPr>
        <w:tc>
          <w:tcPr>
            <w:tcW w:w="7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239,087</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50,354</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46,525</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Supplies and inventory</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21,750</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14,551</w:t>
            </w:r>
          </w:p>
        </w:tc>
        <w:tc>
          <w:tcPr>
            <w:tcW w:w="0" w:type="dxa"/>
            <w:vAlign w:val="bottom"/>
          </w:tcPr>
          <w:p>
            <w:pPr>
              <w:spacing w:after="0"/>
              <w:rPr>
                <w:sz w:val="1"/>
                <w:szCs w:val="1"/>
                <w:color w:val="auto"/>
              </w:rPr>
            </w:pPr>
          </w:p>
        </w:tc>
      </w:tr>
      <w:tr>
        <w:trPr>
          <w:trHeight w:val="204"/>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449,224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372,267</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22,953</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operating leases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48,189</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102,301</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767,154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745,800</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0" w:type="dxa"/>
            <w:vAlign w:val="bottom"/>
          </w:tcPr>
          <w:p>
            <w:pPr>
              <w:spacing w:after="0"/>
              <w:rPr>
                <w:sz w:val="1"/>
                <w:szCs w:val="1"/>
                <w:color w:val="auto"/>
              </w:rPr>
            </w:pPr>
          </w:p>
        </w:tc>
      </w:tr>
      <w:tr>
        <w:trPr>
          <w:trHeight w:val="233"/>
        </w:trPr>
        <w:tc>
          <w:tcPr>
            <w:tcW w:w="7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1,367,787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1,300,035</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3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5,509</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8,634</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43,826</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acquisition-related contingent consideration</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16,981</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other liabilities</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4"/>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72,152</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78,633</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Acquisition-related contingent consideration, net of current portion</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43,237</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0" w:type="dxa"/>
            <w:vAlign w:val="bottom"/>
          </w:tcPr>
          <w:p>
            <w:pPr>
              <w:spacing w:after="0"/>
              <w:rPr>
                <w:sz w:val="1"/>
                <w:szCs w:val="1"/>
                <w:color w:val="auto"/>
              </w:rPr>
            </w:pPr>
          </w:p>
        </w:tc>
      </w:tr>
      <w:tr>
        <w:trPr>
          <w:trHeight w:val="208"/>
        </w:trPr>
        <w:tc>
          <w:tcPr>
            <w:tcW w:w="73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110,120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124,069</w:t>
            </w:r>
          </w:p>
        </w:tc>
        <w:tc>
          <w:tcPr>
            <w:tcW w:w="0" w:type="dxa"/>
            <w:vAlign w:val="bottom"/>
          </w:tcPr>
          <w:p>
            <w:pPr>
              <w:spacing w:after="0"/>
              <w:rPr>
                <w:sz w:val="1"/>
                <w:szCs w:val="1"/>
                <w:color w:val="auto"/>
              </w:rPr>
            </w:pPr>
          </w:p>
        </w:tc>
      </w:tr>
      <w:tr>
        <w:trPr>
          <w:trHeight w:val="19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380" w:type="dxa"/>
            <w:vAlign w:val="bottom"/>
          </w:tcPr>
          <w:p>
            <w:pPr>
              <w:ind w:left="180"/>
              <w:spacing w:after="0" w:line="160" w:lineRule="exact"/>
              <w:rPr>
                <w:sz w:val="20"/>
                <w:szCs w:val="20"/>
                <w:color w:val="auto"/>
              </w:rPr>
            </w:pPr>
            <w:r>
              <w:rPr>
                <w:rFonts w:ascii="Times New Roman" w:cs="Times New Roman" w:eastAsia="Times New Roman" w:hAnsi="Times New Roman"/>
                <w:sz w:val="16"/>
                <w:szCs w:val="16"/>
                <w:color w:val="auto"/>
              </w:rPr>
              <w:t>Preferred stock, $0.001 par value; 5,000,000 shares authorized, no shares issued and outstanding as of</w:t>
            </w:r>
          </w:p>
        </w:tc>
        <w:tc>
          <w:tcPr>
            <w:tcW w:w="180" w:type="dxa"/>
            <w:vAlign w:val="bottom"/>
          </w:tcPr>
          <w:p>
            <w:pPr>
              <w:spacing w:after="0"/>
              <w:rPr>
                <w:sz w:val="13"/>
                <w:szCs w:val="13"/>
                <w:color w:val="auto"/>
              </w:rPr>
            </w:pPr>
          </w:p>
        </w:tc>
        <w:tc>
          <w:tcPr>
            <w:tcW w:w="1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September 30, 2025 and December 31, 2024</w:t>
            </w:r>
          </w:p>
        </w:tc>
        <w:tc>
          <w:tcPr>
            <w:tcW w:w="18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 $0.001 par value; 125,000,000 shares authorized, 79,034,078 and 77,772,678 shares issued and</w:t>
            </w:r>
          </w:p>
        </w:tc>
        <w:tc>
          <w:tcPr>
            <w:tcW w:w="18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as of September 30, 2025 and December 31, 2024, respectively</w:t>
            </w:r>
          </w:p>
        </w:tc>
        <w:tc>
          <w:tcPr>
            <w:tcW w:w="18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1,684,587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1,655,961</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(443,983)</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(36,090)</w:t>
            </w:r>
          </w:p>
        </w:tc>
        <w:tc>
          <w:tcPr>
            <w:tcW w:w="0" w:type="dxa"/>
            <w:vAlign w:val="bottom"/>
          </w:tcPr>
          <w:p>
            <w:pPr>
              <w:spacing w:after="0"/>
              <w:rPr>
                <w:sz w:val="1"/>
                <w:szCs w:val="1"/>
                <w:color w:val="auto"/>
              </w:rPr>
            </w:pPr>
          </w:p>
        </w:tc>
      </w:tr>
      <w:tr>
        <w:trPr>
          <w:trHeight w:val="20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1,257,667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1,175,966</w:t>
            </w:r>
          </w:p>
        </w:tc>
        <w:tc>
          <w:tcPr>
            <w:tcW w:w="0" w:type="dxa"/>
            <w:vAlign w:val="bottom"/>
          </w:tcPr>
          <w:p>
            <w:pPr>
              <w:spacing w:after="0"/>
              <w:rPr>
                <w:sz w:val="1"/>
                <w:szCs w:val="1"/>
                <w:color w:val="auto"/>
              </w:rPr>
            </w:pPr>
          </w:p>
        </w:tc>
      </w:tr>
      <w:tr>
        <w:trPr>
          <w:trHeight w:val="208"/>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1,367,787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1,300,035</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6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44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0"/>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Testing revenue</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127,756</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109,536</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357,328</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306,809</w:t>
            </w:r>
          </w:p>
        </w:tc>
      </w:tr>
      <w:tr>
        <w:trPr>
          <w:trHeight w:val="21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revenue</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10,631</w:t>
            </w:r>
          </w:p>
        </w:tc>
      </w:tr>
      <w:tr>
        <w:trPr>
          <w:trHeight w:val="210"/>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9,692</w:t>
            </w:r>
          </w:p>
        </w:tc>
      </w:tr>
      <w:tr>
        <w:trPr>
          <w:trHeight w:val="208"/>
        </w:trPr>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131,872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115,860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376,509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327,132</w:t>
            </w:r>
          </w:p>
        </w:tc>
      </w:tr>
      <w:tr>
        <w:trPr>
          <w:trHeight w:val="19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testing revenue</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82,928</w:t>
            </w:r>
          </w:p>
        </w:tc>
      </w:tr>
      <w:tr>
        <w:trPr>
          <w:trHeight w:val="210"/>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6,310</w:t>
            </w:r>
          </w:p>
        </w:tc>
      </w:tr>
      <w:tr>
        <w:trPr>
          <w:trHeight w:val="21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9,762</w:t>
            </w:r>
          </w:p>
        </w:tc>
      </w:tr>
      <w:tr>
        <w:trPr>
          <w:trHeight w:val="210"/>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8,741</w:t>
            </w:r>
          </w:p>
        </w:tc>
      </w:tr>
      <w:tr>
        <w:trPr>
          <w:trHeight w:val="208"/>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cost of revenue</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115,950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107,741</w:t>
            </w:r>
          </w:p>
        </w:tc>
      </w:tr>
      <w:tr>
        <w:trPr>
          <w:trHeight w:val="204"/>
        </w:trPr>
        <w:tc>
          <w:tcPr>
            <w:tcW w:w="4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91,282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79,010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260,559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219,391</w:t>
            </w:r>
          </w:p>
        </w:tc>
      </w:tr>
      <w:tr>
        <w:trPr>
          <w:trHeight w:val="19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0"/>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50,004</w:t>
            </w:r>
          </w:p>
        </w:tc>
      </w:tr>
      <w:tr>
        <w:trPr>
          <w:trHeight w:val="21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70,610</w:t>
            </w:r>
          </w:p>
        </w:tc>
      </w:tr>
      <w:tr>
        <w:trPr>
          <w:trHeight w:val="210"/>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83,697</w:t>
            </w:r>
          </w:p>
        </w:tc>
      </w:tr>
      <w:tr>
        <w:trPr>
          <w:trHeight w:val="21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assets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r>
      <w:tr>
        <w:trPr>
          <w:trHeight w:val="210"/>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operating expenses</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w:t>
            </w:r>
          </w:p>
        </w:tc>
      </w:tr>
      <w:tr>
        <w:trPr>
          <w:trHeight w:val="208"/>
        </w:trPr>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68,336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239,977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207,424</w:t>
            </w:r>
          </w:p>
        </w:tc>
      </w:tr>
      <w:tr>
        <w:trPr>
          <w:trHeight w:val="204"/>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11,967</w:t>
            </w:r>
          </w:p>
        </w:tc>
      </w:tr>
      <w:tr>
        <w:trPr>
          <w:trHeight w:val="21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(loss), net</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10,334</w:t>
            </w:r>
          </w:p>
        </w:tc>
      </w:tr>
      <w:tr>
        <w:trPr>
          <w:trHeight w:val="204"/>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22,301</w:t>
            </w:r>
          </w:p>
        </w:tc>
      </w:tr>
      <w:tr>
        <w:trPr>
          <w:trHeight w:val="21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w:t>
            </w:r>
          </w:p>
        </w:tc>
      </w:tr>
      <w:tr>
        <w:trPr>
          <w:trHeight w:val="208"/>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19,137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25,204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19,025</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9"/>
        </w:trPr>
        <w:tc>
          <w:tcPr>
            <w:tcW w:w="44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Earnings per share:</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0"/>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r>
      <w:tr>
        <w:trPr>
          <w:trHeight w:val="21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used to compute earnings per common share:</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78,725,139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77,013,831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78,384,184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76,107,302</w:t>
            </w:r>
          </w:p>
        </w:tc>
      </w:tr>
      <w:tr>
        <w:trPr>
          <w:trHeight w:val="208"/>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79,691,703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78,464,654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79,946,386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77,339,897</w:t>
            </w:r>
          </w:p>
        </w:tc>
      </w:tr>
    </w:tbl>
    <w:p>
      <w:pPr>
        <w:spacing w:after="0" w:line="2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00" w:type="dxa"/>
            <w:vAlign w:val="bottom"/>
          </w:tcPr>
          <w:p>
            <w:pPr>
              <w:spacing w:after="0"/>
              <w:rPr>
                <w:sz w:val="18"/>
                <w:szCs w:val="18"/>
                <w:color w:val="auto"/>
              </w:rPr>
            </w:pPr>
          </w:p>
        </w:tc>
        <w:tc>
          <w:tcPr>
            <w:tcW w:w="342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4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45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19,025</w:t>
            </w:r>
          </w:p>
        </w:tc>
      </w:tr>
      <w:tr>
        <w:trPr>
          <w:trHeight w:val="210"/>
        </w:trPr>
        <w:tc>
          <w:tcPr>
            <w:tcW w:w="4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4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currency translation adjustments</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w:t>
            </w:r>
          </w:p>
        </w:tc>
      </w:tr>
      <w:tr>
        <w:trPr>
          <w:trHeight w:val="210"/>
        </w:trPr>
        <w:tc>
          <w:tcPr>
            <w:tcW w:w="4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Release of accumulated translation adjustment</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45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27,870</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w:t>
            </w: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102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24,483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53,074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21,761</w:t>
            </w:r>
          </w:p>
        </w:tc>
      </w:tr>
      <w:tr>
        <w:trPr>
          <w:trHeight w:val="20"/>
        </w:trPr>
        <w:tc>
          <w:tcPr>
            <w:tcW w:w="4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0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30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2"/>
                <w:szCs w:val="12"/>
                <w:color w:val="auto"/>
              </w:rPr>
            </w:pPr>
          </w:p>
        </w:tc>
        <w:tc>
          <w:tcPr>
            <w:tcW w:w="1220" w:type="dxa"/>
            <w:vAlign w:val="bottom"/>
          </w:tcPr>
          <w:p>
            <w:pPr>
              <w:jc w:val="center"/>
              <w:ind w:right="100"/>
              <w:spacing w:after="0" w:line="140" w:lineRule="exact"/>
              <w:rPr>
                <w:sz w:val="20"/>
                <w:szCs w:val="20"/>
                <w:color w:val="auto"/>
              </w:rPr>
            </w:pPr>
            <w:r>
              <w:rPr>
                <w:rFonts w:ascii="Times New Roman" w:cs="Times New Roman" w:eastAsia="Times New Roman" w:hAnsi="Times New Roman"/>
                <w:sz w:val="16"/>
                <w:szCs w:val="16"/>
                <w:b w:val="1"/>
                <w:bCs w:val="1"/>
                <w:color w:val="auto"/>
                <w:w w:val="98"/>
              </w:rPr>
              <w:t>Stockholders'</w:t>
            </w:r>
          </w:p>
        </w:tc>
        <w:tc>
          <w:tcPr>
            <w:tcW w:w="0" w:type="dxa"/>
            <w:vAlign w:val="bottom"/>
          </w:tcPr>
          <w:p>
            <w:pPr>
              <w:spacing w:after="0"/>
              <w:rPr>
                <w:sz w:val="1"/>
                <w:szCs w:val="1"/>
                <w:color w:val="auto"/>
              </w:rPr>
            </w:pPr>
          </w:p>
        </w:tc>
      </w:tr>
      <w:tr>
        <w:trPr>
          <w:trHeight w:val="205"/>
        </w:trPr>
        <w:tc>
          <w:tcPr>
            <w:tcW w:w="3240" w:type="dxa"/>
            <w:vAlign w:val="bottom"/>
          </w:tcPr>
          <w:p>
            <w:pPr>
              <w:spacing w:after="0"/>
              <w:rPr>
                <w:sz w:val="17"/>
                <w:szCs w:val="17"/>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7"/>
                <w:szCs w:val="17"/>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7"/>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2025</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78,599</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1,670,853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(437,916)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1,221,057</w:t>
            </w:r>
          </w:p>
        </w:tc>
        <w:tc>
          <w:tcPr>
            <w:tcW w:w="0" w:type="dxa"/>
            <w:vAlign w:val="bottom"/>
          </w:tcPr>
          <w:p>
            <w:pPr>
              <w:spacing w:after="0"/>
              <w:rPr>
                <w:sz w:val="1"/>
                <w:szCs w:val="1"/>
                <w:color w:val="auto"/>
              </w:rPr>
            </w:pPr>
          </w:p>
        </w:tc>
      </w:tr>
      <w:tr>
        <w:trPr>
          <w:trHeight w:val="160"/>
        </w:trPr>
        <w:tc>
          <w:tcPr>
            <w:tcW w:w="32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on exercise of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0" w:type="dxa"/>
            <w:vAlign w:val="bottom"/>
          </w:tcPr>
          <w:p>
            <w:pPr>
              <w:spacing w:after="0"/>
              <w:rPr>
                <w:sz w:val="1"/>
                <w:szCs w:val="1"/>
                <w:color w:val="auto"/>
              </w:rPr>
            </w:pPr>
          </w:p>
        </w:tc>
      </w:tr>
      <w:tr>
        <w:trPr>
          <w:trHeight w:val="210"/>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plan (ESPP)</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10,398</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19,137</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(4,556)</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Release of accumulated translation adjustment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8,295</w:t>
            </w:r>
          </w:p>
        </w:tc>
        <w:tc>
          <w:tcPr>
            <w:tcW w:w="0" w:type="dxa"/>
            <w:vAlign w:val="bottom"/>
          </w:tcPr>
          <w:p>
            <w:pPr>
              <w:spacing w:after="0"/>
              <w:rPr>
                <w:sz w:val="1"/>
                <w:szCs w:val="1"/>
                <w:color w:val="auto"/>
              </w:rPr>
            </w:pPr>
          </w:p>
        </w:tc>
      </w:tr>
      <w:tr>
        <w:trPr>
          <w:trHeight w:val="208"/>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79,034</w:t>
            </w: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79</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1,684,587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(418,779)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1,257,667</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77,773</w:t>
            </w:r>
          </w:p>
        </w:tc>
        <w:tc>
          <w:tcPr>
            <w:tcW w:w="120" w:type="dxa"/>
            <w:vAlign w:val="bottom"/>
          </w:tcPr>
          <w:p>
            <w:pPr>
              <w:spacing w:after="0"/>
              <w:rPr>
                <w:sz w:val="18"/>
                <w:szCs w:val="18"/>
                <w:color w:val="auto"/>
              </w:rPr>
            </w:pPr>
          </w:p>
        </w:tc>
        <w:tc>
          <w:tcPr>
            <w:tcW w:w="840" w:type="dxa"/>
            <w:vAlign w:val="bottom"/>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1,655,961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(443,983)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1,175,966</w:t>
            </w: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7,520</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(14,645)</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31,866</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25,204</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19,575</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Release of accumulated translation adjustment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8,295</w:t>
            </w:r>
          </w:p>
        </w:tc>
        <w:tc>
          <w:tcPr>
            <w:tcW w:w="0" w:type="dxa"/>
            <w:vAlign w:val="bottom"/>
          </w:tcPr>
          <w:p>
            <w:pPr>
              <w:spacing w:after="0"/>
              <w:rPr>
                <w:sz w:val="1"/>
                <w:szCs w:val="1"/>
                <w:color w:val="auto"/>
              </w:rPr>
            </w:pPr>
          </w:p>
        </w:tc>
      </w:tr>
      <w:tr>
        <w:trPr>
          <w:trHeight w:val="233"/>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1,684,587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1,257,667</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20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46"/>
        </w:trPr>
        <w:tc>
          <w:tcPr>
            <w:tcW w:w="322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28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2"/>
                <w:szCs w:val="12"/>
                <w:color w:val="auto"/>
              </w:rPr>
            </w:pPr>
          </w:p>
        </w:tc>
        <w:tc>
          <w:tcPr>
            <w:tcW w:w="1220" w:type="dxa"/>
            <w:vAlign w:val="bottom"/>
          </w:tcPr>
          <w:p>
            <w:pPr>
              <w:jc w:val="center"/>
              <w:ind w:right="100"/>
              <w:spacing w:after="0" w:line="140" w:lineRule="exact"/>
              <w:rPr>
                <w:sz w:val="20"/>
                <w:szCs w:val="20"/>
                <w:color w:val="auto"/>
              </w:rPr>
            </w:pPr>
            <w:r>
              <w:rPr>
                <w:rFonts w:ascii="Times New Roman" w:cs="Times New Roman" w:eastAsia="Times New Roman" w:hAnsi="Times New Roman"/>
                <w:sz w:val="16"/>
                <w:szCs w:val="16"/>
                <w:b w:val="1"/>
                <w:bCs w:val="1"/>
                <w:color w:val="auto"/>
                <w:w w:val="98"/>
              </w:rPr>
              <w:t>Stockholders'</w:t>
            </w:r>
          </w:p>
        </w:tc>
        <w:tc>
          <w:tcPr>
            <w:tcW w:w="0" w:type="dxa"/>
            <w:vAlign w:val="bottom"/>
          </w:tcPr>
          <w:p>
            <w:pPr>
              <w:spacing w:after="0"/>
              <w:rPr>
                <w:sz w:val="1"/>
                <w:szCs w:val="1"/>
                <w:color w:val="auto"/>
              </w:rPr>
            </w:pPr>
          </w:p>
        </w:tc>
      </w:tr>
      <w:tr>
        <w:trPr>
          <w:trHeight w:val="205"/>
        </w:trPr>
        <w:tc>
          <w:tcPr>
            <w:tcW w:w="3220" w:type="dxa"/>
            <w:vAlign w:val="bottom"/>
          </w:tcPr>
          <w:p>
            <w:pPr>
              <w:spacing w:after="0"/>
              <w:rPr>
                <w:sz w:val="17"/>
                <w:szCs w:val="17"/>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7"/>
                <w:szCs w:val="17"/>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7"/>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76,744</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1,627,307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(464,251)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(30,610)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1,132,523</w:t>
            </w:r>
          </w:p>
        </w:tc>
        <w:tc>
          <w:tcPr>
            <w:tcW w:w="0" w:type="dxa"/>
            <w:vAlign w:val="bottom"/>
          </w:tcPr>
          <w:p>
            <w:pPr>
              <w:spacing w:after="0"/>
              <w:rPr>
                <w:sz w:val="1"/>
                <w:szCs w:val="1"/>
                <w:color w:val="auto"/>
              </w:rPr>
            </w:pPr>
          </w:p>
        </w:tc>
      </w:tr>
      <w:tr>
        <w:trPr>
          <w:trHeight w:val="160"/>
        </w:trPr>
        <w:tc>
          <w:tcPr>
            <w:tcW w:w="322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on exercise of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11,281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11,281</w:t>
            </w:r>
          </w:p>
        </w:tc>
        <w:tc>
          <w:tcPr>
            <w:tcW w:w="0" w:type="dxa"/>
            <w:vAlign w:val="bottom"/>
          </w:tcPr>
          <w:p>
            <w:pPr>
              <w:spacing w:after="0"/>
              <w:rPr>
                <w:sz w:val="1"/>
                <w:szCs w:val="1"/>
                <w:color w:val="auto"/>
              </w:rPr>
            </w:pPr>
          </w:p>
        </w:tc>
      </w:tr>
      <w:tr>
        <w:trPr>
          <w:trHeight w:val="210"/>
        </w:trPr>
        <w:tc>
          <w:tcPr>
            <w:tcW w:w="3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8,335</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15,155</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9,328</w:t>
            </w:r>
          </w:p>
        </w:tc>
        <w:tc>
          <w:tcPr>
            <w:tcW w:w="0" w:type="dxa"/>
            <w:vAlign w:val="bottom"/>
          </w:tcPr>
          <w:p>
            <w:pPr>
              <w:spacing w:after="0"/>
              <w:rPr>
                <w:sz w:val="1"/>
                <w:szCs w:val="1"/>
                <w:color w:val="auto"/>
              </w:rPr>
            </w:pPr>
          </w:p>
        </w:tc>
      </w:tr>
      <w:tr>
        <w:trPr>
          <w:trHeight w:val="233"/>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1,646,343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1,176,042</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73,265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1,536,168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(468,121)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1,044,102</w:t>
            </w:r>
          </w:p>
        </w:tc>
        <w:tc>
          <w:tcPr>
            <w:tcW w:w="0" w:type="dxa"/>
            <w:vAlign w:val="bottom"/>
          </w:tcPr>
          <w:p>
            <w:pPr>
              <w:spacing w:after="0"/>
              <w:rPr>
                <w:sz w:val="1"/>
                <w:szCs w:val="1"/>
                <w:color w:val="auto"/>
              </w:rPr>
            </w:pPr>
          </w:p>
        </w:tc>
      </w:tr>
      <w:tr>
        <w:trPr>
          <w:trHeight w:val="160"/>
        </w:trPr>
        <w:tc>
          <w:tcPr>
            <w:tcW w:w="322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and options for</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74,142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74,145</w:t>
            </w:r>
          </w:p>
        </w:tc>
        <w:tc>
          <w:tcPr>
            <w:tcW w:w="0" w:type="dxa"/>
            <w:vAlign w:val="bottom"/>
          </w:tcPr>
          <w:p>
            <w:pPr>
              <w:spacing w:after="0"/>
              <w:rPr>
                <w:sz w:val="1"/>
                <w:szCs w:val="1"/>
                <w:color w:val="auto"/>
              </w:rPr>
            </w:pPr>
          </w:p>
        </w:tc>
      </w:tr>
      <w:tr>
        <w:trPr>
          <w:trHeight w:val="210"/>
        </w:trPr>
        <w:tc>
          <w:tcPr>
            <w:tcW w:w="3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13,843</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(7,315)</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25,636</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19,025</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0" w:type="dxa"/>
            <w:vAlign w:val="bottom"/>
          </w:tcPr>
          <w:p>
            <w:pPr>
              <w:spacing w:after="0"/>
              <w:rPr>
                <w:sz w:val="1"/>
                <w:szCs w:val="1"/>
                <w:color w:val="auto"/>
              </w:rPr>
            </w:pPr>
          </w:p>
        </w:tc>
      </w:tr>
      <w:tr>
        <w:trPr>
          <w:trHeight w:val="208"/>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77,491</w:t>
            </w: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1,646,343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(449,096)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(21,282)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1,176,042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20" w:type="dxa"/>
            <w:vAlign w:val="bottom"/>
            <w:gridSpan w:val="4"/>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25,204</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19,025</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17,206</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26,620</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Noncash lease expense</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Revaluation of acquisition-related contingent consideration</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Effect of foreign currency on operations</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Amortization of discount on short-term investments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Impairment loss</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Non-cash loss on deconsolidation of subsidiary</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(8,396)</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Supplies and inventory</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(4,175)</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(3,929)</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liabilities and deferred revenue</w:t>
            </w: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3,892</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50,572</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C2i, net of cash acquired</w:t>
            </w:r>
          </w:p>
        </w:tc>
        <w:tc>
          <w:tcPr>
            <w:tcW w:w="200" w:type="dxa"/>
            <w:vAlign w:val="bottom"/>
          </w:tcPr>
          <w:p>
            <w:pPr>
              <w:spacing w:after="0"/>
              <w:rPr>
                <w:sz w:val="16"/>
                <w:szCs w:val="16"/>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5,012</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short-term investments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maturity of short-term investments</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(7,146)</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taxes on vested restricted stock units</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(7,315)</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common stock options and employee stock purchases</w:t>
            </w: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16,729</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9,414</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in cash, cash equivalents and restricted cash</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57,852</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foreign currency on cash, cash equivalents and restricted cash</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cash, cash equivalents and restricted cash</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57,829</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240,631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217,330</w:t>
            </w: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317,210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275,159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Supplementary cash flow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20" w:type="dxa"/>
            <w:vAlign w:val="bottom"/>
          </w:tcPr>
          <w:p>
            <w:pPr>
              <w:spacing w:after="0"/>
              <w:rPr>
                <w:sz w:val="12"/>
                <w:szCs w:val="12"/>
                <w:color w:val="auto"/>
              </w:rPr>
            </w:pPr>
          </w:p>
        </w:tc>
        <w:tc>
          <w:tcPr>
            <w:tcW w:w="73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 included in accounts payable and accrued liability</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tax</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0" w:type="dxa"/>
            <w:vAlign w:val="bottom"/>
          </w:tcPr>
          <w:p>
            <w:pPr>
              <w:spacing w:after="0"/>
              <w:rPr>
                <w:sz w:val="1"/>
                <w:szCs w:val="1"/>
                <w:color w:val="auto"/>
              </w:rPr>
            </w:pPr>
          </w:p>
        </w:tc>
      </w:tr>
      <w:tr>
        <w:trPr>
          <w:trHeight w:val="310"/>
        </w:trPr>
        <w:tc>
          <w:tcPr>
            <w:tcW w:w="7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8"/>
                <w:szCs w:val="18"/>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120" w:type="dxa"/>
            <w:vAlign w:val="bottom"/>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315,573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239,087</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317,210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240,631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Description of Business and Summary of Significant Accounting Policies</w:t>
      </w:r>
    </w:p>
    <w:p>
      <w:pPr>
        <w:spacing w:after="0" w:line="22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Veracyte, Inc., or Veracyte, or the Company, is a global diagnostics company that provides clinicians with tests for patients with, or potentially facing, a cancer diagnosis. Veracyte's tests are used by clinicians for diagnostic, prognostic and treatment decisions.</w:t>
      </w:r>
    </w:p>
    <w:p>
      <w:pPr>
        <w:spacing w:after="0" w:line="19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Veracyte was incorporated in the state of Delaware on August 15, 2006, as Calderome, Inc. Calderome, Inc. operated as an incubator until early 2008. On March 4, 2008, the Company changed its name to Veracyte, Inc. The Company’s headquarters are in South San Francisco, California, and it also has operations in San Diego, California, Austin, Texas, and Haifa, Israel.</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 currently offers tests in prostate cancer (Decipher Prostate); thyroid cancer (Afirma); breast cancer (Prosigna); and bladder cancer (Decipher Bladder). In addition, the Company’s Percepta Nasal Swab test is being run in its Clinical Laboratory Improvement Amendments of 1988, or CLIA, certified lab in support of clinical studies.</w:t>
      </w:r>
    </w:p>
    <w:p>
      <w:pPr>
        <w:spacing w:after="0" w:line="20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serves global markets with two complementary models. In the United States, it offers laboratory developed tests, or LDTs, through its centralized, CLIA certified laboratories in South San Francisco and San Diego, California, supported by its cytopathology expertise in Austin, Texas. Additionally, primarily outside of the United States, the Company provides its Prosigna test to patients through distribution to laboratories and hospitals that can perform the tests locally as an in vitro diagnostics, or IVD, test.</w:t>
      </w:r>
    </w:p>
    <w:p>
      <w:pPr>
        <w:spacing w:after="0" w:line="20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In February 2024, the Company acquired C2i Genomics, Inc., or C2i, a minimal residual disease, or MRD, detection company. Refer to Note 4, Business Combination, for additional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2"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consolidated balance sheet as of September 30, 2025, the condensed consolidated statements of operations for the three and nine months ended September 30, 2025 and 2024, the condensed consolidated statements of comprehensive income (loss) for the three and nine months ended September 30, 2025 and 2024, the condensed consolidated statements of stockholders' equity for the three and nine months ended September 30, 2025 and 2024, and the condensed consolidated statements of cash flows for the nine months ended September 30, 2025 and 2024 are unaudited, but include all adjustments, consisting only of normal recurring adjustments, which the Company considers necessary for a fair presentation of its financial position, operating results, stockholders' equity and cash flows for the periods presented. The condensed consolidated balance sheet as of December 31, 2024 has been derived from audited financial statements. The results for the three and nine months ended September 30, 2025 are not indicative of the results expected for the full year or any other period. The condensed consolidated financial statements include the accounts of the Company and its wholly-owned subsidiaries. All intercompany accounts and transactions have been eliminated in consolidation. The Company operates in one segment.</w:t>
      </w:r>
    </w:p>
    <w:p>
      <w:pPr>
        <w:spacing w:after="0" w:line="215"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Effective August 1, 2025, the Company ceased to have a controlling financial interest in its wholly-owned French subsidiary, Veracyte SAS. Accordingly, the Company derecognized the related assets and liabilities from its condensed consolidated financial statements. Prior to deconsolidation, the operating results and cash flows of Veracyte SAS were included in the Company’s condensed consolidated financial statements. Refer to Note 3, Balance Sheet Components, for additional information.</w:t>
      </w:r>
    </w:p>
    <w:p>
      <w:pPr>
        <w:spacing w:after="0" w:line="181"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preparation of unaudited interim financial statements in conformity with U.S. GAAP requires management to make estimates and assumptions that affect the reported amounts of assets and liabilities and disclosure of contingent liabilities as of</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date of the financial statements and the reported amounts of revenue and expenses during the reporting period. Significant items subject to such estimates include: revenue recognition; the useful lives of property, plant and equipment; the recoverability of long-lived assets; the incremental borrowing rates for leases; the estimation of the fair value of intangible assets and contingent consideration; stock-based compensation; income tax uncertainties, including a valuation allowance for deferred tax assets; credit related losses on investments; and allowance for credit losses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2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deposited with three major financial institutions in the United States. Deposits in these institutions may exceed the amount of insurance provided on such deposits. The Company has not realized any losses on its deposits of cash and cash equivalents other than exchange rate losses related to foreign currency denominated accounts.</w:t>
      </w:r>
    </w:p>
    <w:p>
      <w:pPr>
        <w:spacing w:after="0" w:line="176"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Several of the components of the Company’s sample collection kits and CLIA test reagents, IVD products and associated systems, as well as the systems service and service kits, are obtained from single-source suppliers. If these single-source suppliers fail to satisfy the Company’s requirements on a timely basis, or are unable to provide the Company with reagents that perform to specifications, the Company could suffer delays in being able to deliver its diagnostic solutions, suffer a possible loss of revenue, or incur higher costs, any of which could adversely affect its operating results.</w:t>
      </w:r>
    </w:p>
    <w:p>
      <w:pPr>
        <w:spacing w:after="0" w:line="18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Through September 30, 2025, the Company has derived most of its revenue from the sale of Decipher Prostate and Afirma testing. To date, Decipher Prostate and Afirma testing have been delivered primarily to physicians in the United States.</w:t>
      </w:r>
    </w:p>
    <w:p>
      <w:pPr>
        <w:spacing w:after="0" w:line="190"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other revenue based on collection history, current developments and credit worthiness of the customer. The estimate of credit losses is not material as of September 30, 2025.</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Company’s total third-party payers and other customers in excess of 10% of total revenue and their related revenue as a percentage of total revenue were as follows:</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30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60" w:type="dxa"/>
            <w:vAlign w:val="bottom"/>
            <w:tcBorders>
              <w:bottom w:val="single" w:sz="8" w:color="auto"/>
            </w:tcBorders>
          </w:tcPr>
          <w:p>
            <w:pPr>
              <w:spacing w:after="0"/>
              <w:rPr>
                <w:sz w:val="18"/>
                <w:szCs w:val="18"/>
                <w:color w:val="auto"/>
              </w:rPr>
            </w:pPr>
          </w:p>
        </w:tc>
      </w:tr>
      <w:tr>
        <w:trPr>
          <w:trHeight w:val="207"/>
        </w:trPr>
        <w:tc>
          <w:tcPr>
            <w:tcW w:w="402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9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Pr>
          <w:p>
            <w:pPr>
              <w:spacing w:after="0"/>
              <w:rPr>
                <w:sz w:val="18"/>
                <w:szCs w:val="18"/>
                <w:color w:val="auto"/>
              </w:rPr>
            </w:pPr>
          </w:p>
        </w:tc>
      </w:tr>
      <w:tr>
        <w:trPr>
          <w:trHeight w:val="207"/>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UnitedHealthcare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31"/>
        </w:trPr>
        <w:tc>
          <w:tcPr>
            <w:tcW w:w="40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The Company's significant third-party payers in excess of 10% of total accounts receivable and their related accounts receivable balance as a percentage of total accounts receivable were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0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96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9"/>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08"/>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UnitedHealthcare</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considers demand deposits in a bank, money market funds and highly liquid investments with maturities at the time of purchase of three months or less to be cash equivalents.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2" w:lineRule="exact"/>
        <w:rPr>
          <w:sz w:val="20"/>
          <w:szCs w:val="20"/>
          <w:color w:val="auto"/>
        </w:rPr>
      </w:pPr>
    </w:p>
    <w:p>
      <w:pPr>
        <w:jc w:val="both"/>
        <w:ind w:firstLine="319"/>
        <w:spacing w:after="0" w:line="270" w:lineRule="auto"/>
        <w:rPr>
          <w:sz w:val="20"/>
          <w:szCs w:val="20"/>
          <w:color w:val="auto"/>
        </w:rPr>
      </w:pPr>
      <w:r>
        <w:rPr>
          <w:rFonts w:ascii="Times New Roman" w:cs="Times New Roman" w:eastAsia="Times New Roman" w:hAnsi="Times New Roman"/>
          <w:sz w:val="17"/>
          <w:szCs w:val="17"/>
          <w:color w:val="auto"/>
        </w:rPr>
        <w:t>The Company's short-term investments consist of United States treasury securities and time deposits with a bank with maturities at the time of purchase that were between three months and one year. The Company classifies these investments as held-to-maturity debt securities, which are reported at amortized cost. Discounts or premiums from the purchase of the securities are recognized as a component of interest income in other income, net in the consolidated statements of operations. Investments are initially recorded net of an allowance for expected credit losses, if any, which are remeasured each period and any impairments are recognized as an expense. Unrealized gains and losses are not recognized in income. As of both September 30, 2025 and December 31, 2024, no allowances for expected credit losses had been recorded and there have been no impairment or credit losses on the Company's short-term investments.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2" w:lineRule="exact"/>
        <w:rPr>
          <w:sz w:val="20"/>
          <w:szCs w:val="20"/>
          <w:color w:val="auto"/>
        </w:rPr>
      </w:pPr>
    </w:p>
    <w:p>
      <w:pPr>
        <w:jc w:val="both"/>
        <w:ind w:right="20" w:firstLine="319"/>
        <w:spacing w:after="0" w:line="305" w:lineRule="auto"/>
        <w:rPr>
          <w:sz w:val="20"/>
          <w:szCs w:val="20"/>
          <w:color w:val="auto"/>
        </w:rPr>
      </w:pPr>
      <w:r>
        <w:rPr>
          <w:rFonts w:ascii="Times New Roman" w:cs="Times New Roman" w:eastAsia="Times New Roman" w:hAnsi="Times New Roman"/>
          <w:sz w:val="17"/>
          <w:szCs w:val="17"/>
          <w:color w:val="auto"/>
        </w:rPr>
        <w:t>The Company had deposits of $1.6 million and $1.5 million included in long-term assets as of September 30, 2025 and December 31, 2024, respectively, restricted from withdrawal and held by banks in the form of collateral for irrevocable standby letters of credit held as security for the Company's leases.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2"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the provisions of the Financial Accounting Standards Board, or FASB, Accounting Standards Codification, or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completed a service or transferred control of a product to the customer.</w:t>
      </w:r>
    </w:p>
    <w:p>
      <w:pPr>
        <w:spacing w:after="0" w:line="213"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In arrangements involving more than one service or good, each required service or good is evaluated to determine whether it qualifies as a distinct performance obligation based on whether (i) the customer can benefit from the service or good either on its own or together with other resources that are readily available and (ii) the service or good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 The consideration allocated to each distinct performance obligation is recognized as revenue when control is transferred which may be at a point in time or over time.</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34"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Company recognizes testing revenue from the sale of tests performed for customers, including patients and institutions, at the time test results are reported to physicians. Most tests requested by customers are sold without a written agreement; however, the Company determines that an implied contract exists with its customers for whom a physician will order the test. The Company identifies each sale of its test to a customer as a single performance obligation. A stated contract price does not exist and the transaction price for each implied contract with a customer represents variable consideration. The Company estimates the variable consideration under the portfolio approach and considers the historical reimbursement data from third-party commercial and governmental payers and patients, as well as known or anticipated reimbursement trends not reflected in the historical data. The Company monitors the estimated amount to be collected in the portfolio at each reporting period based on actual cash collections in order to assess whether a revision to the estimate is required. Both the estimate and any subsequent revision contain uncertainty and require the use of significant judgment in the estimation of the variable consideration and application of the constraint for such variable consideration. The Company analyzes its actual cash</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collections over the expected reimbursement period and compares it with the estimated variable consideration for each payer group and any difference is recognized as an adjustment to estimated revenue after the expected reimbursement period, subject to assessment of the risk of future revenue reversal. For the three and nine months ended September 30, 2025, the Company recorded $1.5 million and $3.7 million as revenue, respectively, and for the three and nine months ended September 30, 2024, the Company recorded $3.1 million and $10.0 million, respectively, resulting from cash collections exceeding the estimated variable consideration related to tests reported in previous years, including revenue received from successful appeals of reimbursement denials, net of recoupments.</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3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Company's product revenue primarily consists of the Prosigna IVD breast cancer assay, related diagnostic kits and services. Product revenue from diagnostic kits is generally recognized upon shipment from the contract manufacturer. Shipping and handling costs incurred for product shipments are included in product revenue. Revenue is presented net of the taxes that are collected from customers and remitted to governmental authorities.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Biopharmaceutical and Other Revenue</w:t>
      </w:r>
    </w:p>
    <w:p>
      <w:pPr>
        <w:spacing w:after="0" w:line="24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From time to time, the Company enters into arrangements to license or provide access to its assets or services, including clinical and testing services, research and development, as well as other services, which are classified under biopharmaceutical and other revenue. Such arrangements may require the Company to deliver various rights, data, test results, services and/or samples, including intellectual property rights/licenses and biopharmaceutical research and development services. The Company receives consideration in the form of upfront license fees; payments on delivery of data or test results; costs of service plus margin; and development and commercial performance milestone payments.</w:t>
      </w:r>
    </w:p>
    <w:p>
      <w:pPr>
        <w:spacing w:after="0" w:line="21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 may include independent evidence of market price, forecasted revenue or costs, development timelines, discount rates, and probabilities of technical and regulatory success. The Company evaluates each performance obligation to determine if the obligation can be satisfied at a point in time or over time, and it measures the services delivered to the collaborative partner which are periodically reviewed based on the progress of the related program. For licenses that are bundled with other promises, the Company utilizes judgment to assess the nature of the combined performance obligation to determine whether the combined performance obligation is satisfied over time or at a point in time.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w:t>
      </w:r>
    </w:p>
    <w:p>
      <w:pPr>
        <w:spacing w:after="0" w:line="214"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 xml:space="preserve">At the inception of each arrangement that includes milestone payments (variable consideration), the Company evaluates whether the milestones are considered probable of being reached and estimates the amount to be included in the transaction price. Milestone payments that are not within either party’s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either party’s control, such as operational developmental milestones and any related constraint, and if necessary, adjusts its estimate of the overall transaction price. Any such adjustments are recorded on a cumulative catch-up basis, which would affect revenue and earnings in the period of adjustment. Revisions to the Company’s estimate of the transaction price may also result in negative revenue and earnings in the period of adjustment. One collaboration arrangement with milestone payments falls under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or ASC 808. These milestone payments are recognized in the same manner as milestone payments from customers and are classified under biopharmaceutical and other revenue.</w:t>
      </w:r>
    </w:p>
    <w:p>
      <w:pPr>
        <w:spacing w:after="0" w:line="214"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Accounts receivable from biopharmaceutical and other revenue was $2.5 million at September 30, 2025 and $3.8 million at December 31, 2024. Deferred revenue related to these agreements was $0.4 million at September 30, 2025 and $1.7 million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December 31, 2024. Revenue included in biopharmaceutical and other revenue for the three and nine months ended September 30, 2025 and 2024 was as follows (in thousands of dollars):</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42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Biopharmaceutical revenue</w:t>
            </w:r>
          </w:p>
        </w:tc>
        <w:tc>
          <w:tcPr>
            <w:tcW w:w="114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2,041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5,962</w:t>
            </w:r>
          </w:p>
        </w:tc>
      </w:tr>
      <w:tr>
        <w:trPr>
          <w:trHeight w:val="21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Contract manufacturing and testing</w:t>
            </w:r>
          </w:p>
        </w:tc>
        <w:tc>
          <w:tcPr>
            <w:tcW w:w="1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1,095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3,730</w:t>
            </w:r>
          </w:p>
        </w:tc>
      </w:tr>
      <w:tr>
        <w:trPr>
          <w:trHeight w:val="233"/>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tcBorders>
              <w:bottom w:val="single" w:sz="8" w:color="auto"/>
            </w:tcBorders>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3,136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9,692</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components of the Company's cost of testing revenue are laboratory expenses, sample collection expenses, compensation expense, license fees and royalties, depreciation,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Cost of product revenue consists primarily of costs of diagnostic kit components and reagents, labor, delivery costs and royalties for licensed technologies included in our products. Subsequent to the restructuring proceedings affecting Veracyte SAS in August 2025, these costs are paid to a third-party contract manufacturer. The cost of the finished product is recognized in the period the related revenue is recognized.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Biopharmaceutical and Other Revenue</w:t>
      </w:r>
    </w:p>
    <w:p>
      <w:pPr>
        <w:spacing w:after="0" w:line="22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Cost of biopharmaceutical and other revenue consists of costs of performing activities under arrangements that require the Company to license or provide access to its assets or laboratory testing services, as well as cost incurred in providing contracted research and development and manufacturing activities. These costs are mainly composed of compensation, manufacturing and laboratory supplies, and pass-through costs. Subsequent to the restructuring proceedings affecting Veracyte SAS beginning in August 2025 Veracyte SAS no longer performs biopharmaceutical services, contract manufacturing or contract development services.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0"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or ASU, No. 2023-09,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This update requires disaggregated information about a reporting entity’s effective tax rate reconciliation as well as additional information on income taxes paid. This ASU is effective on a prospective basis for annual periods beginning after December 15, 2024. Early adoption is also permitted for annual financial statements that have not yet been issued or made available for issuance. This ASU will result in the required additional disclosures being included in the Company's annual disclosures.</w:t>
      </w:r>
    </w:p>
    <w:p>
      <w:pPr>
        <w:spacing w:after="0" w:line="208"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will require public business entities to disclose in the notes to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ASU 2024-03 is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Income (Loss) Per Common Share</w:t>
      </w:r>
    </w:p>
    <w:p>
      <w:pPr>
        <w:spacing w:after="0" w:line="220"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Basic earnings (loss) per share, or EPS, is computed based on the weighted average number of common shares outstanding during the period. Diluted EPS is computed based on the sum of the weighted average number of common shares and potentially dilutive common shares outstanding during the period. In loss periods, basic and diluted loss per share are identical since the effect of potentially dilutive common shares is antidilutive and therefore excluded. Potentially dilutive common shares from equity awards are determined using the average share price for each period under the treasury stock method. In addition, proceeds from exercises of equity awards and the average amount of unrecognized compensation expense for equity awards are assumed to be used to repurchase shares. The following table sets forth the computation of basic and diluted EPS (in thousands, except per-share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tcPr>
          <w:p>
            <w:pPr>
              <w:spacing w:after="0"/>
              <w:rPr>
                <w:sz w:val="18"/>
                <w:szCs w:val="18"/>
                <w:color w:val="auto"/>
              </w:rPr>
            </w:pPr>
          </w:p>
        </w:tc>
        <w:tc>
          <w:tcPr>
            <w:tcW w:w="294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280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07"/>
        </w:trPr>
        <w:tc>
          <w:tcPr>
            <w:tcW w:w="52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 for basic and diluted EPS — net income (A)</w:t>
            </w: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19,137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19,025</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 for basic EPS — weighted average shares (B)</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78,725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76,107</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potentially dilutive common stock from:</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of common stock subject to outstanding options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8"/>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0" w:type="dxa"/>
            <w:vAlign w:val="bottom"/>
          </w:tcPr>
          <w:p>
            <w:pPr>
              <w:spacing w:after="0"/>
              <w:rPr>
                <w:sz w:val="1"/>
                <w:szCs w:val="1"/>
                <w:color w:val="auto"/>
              </w:rPr>
            </w:pPr>
          </w:p>
        </w:tc>
      </w:tr>
      <w:tr>
        <w:trPr>
          <w:trHeight w:val="140"/>
        </w:trPr>
        <w:tc>
          <w:tcPr>
            <w:tcW w:w="5280" w:type="dxa"/>
            <w:vAlign w:val="bottom"/>
          </w:tcPr>
          <w:p>
            <w:pPr>
              <w:ind w:left="20"/>
              <w:spacing w:after="0" w:line="140" w:lineRule="exact"/>
              <w:rPr>
                <w:sz w:val="20"/>
                <w:szCs w:val="20"/>
                <w:color w:val="auto"/>
              </w:rPr>
            </w:pPr>
            <w:r>
              <w:rPr>
                <w:rFonts w:ascii="Times New Roman" w:cs="Times New Roman" w:eastAsia="Times New Roman" w:hAnsi="Times New Roman"/>
                <w:sz w:val="16"/>
                <w:szCs w:val="16"/>
                <w:color w:val="auto"/>
              </w:rPr>
              <w:t>Denominator for diluted EPS — adjusted weighted average shares and assumed</w:t>
            </w:r>
          </w:p>
        </w:tc>
        <w:tc>
          <w:tcPr>
            <w:tcW w:w="8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5"/>
              </w:rPr>
              <w:t>79,692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78,465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79,946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77,340</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conversions (C)</w:t>
            </w:r>
          </w:p>
        </w:tc>
        <w:tc>
          <w:tcPr>
            <w:tcW w:w="8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EPS (A / B)</w:t>
            </w: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EPS (A / C)</w:t>
            </w:r>
          </w:p>
        </w:tc>
        <w:tc>
          <w:tcPr>
            <w:tcW w:w="860" w:type="dxa"/>
            <w:vAlign w:val="bottom"/>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8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162"/>
        </w:trPr>
        <w:tc>
          <w:tcPr>
            <w:tcW w:w="52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equivalent shares excluded from the dilutive calculation due to</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effect: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of common stock subject to outstanding options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w:t>
            </w: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6"/>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Anti-dilutive potential common shares</w:t>
            </w:r>
          </w:p>
        </w:tc>
        <w:tc>
          <w:tcPr>
            <w:tcW w:w="8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Goodwill was $767.2 million and $745.8 million as of September 30, 2025 and December 31, 2024, respectively. The changes in the carrying amounts of goodwill during the three and nine months ended September 30, 2025 were due to foreign currency translation. The Company has not recorded any impairment related to goodwill.</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49" w:lineRule="exact"/>
        <w:rPr>
          <w:sz w:val="20"/>
          <w:szCs w:val="20"/>
          <w:color w:val="auto"/>
        </w:rPr>
      </w:pPr>
    </w:p>
    <w:p>
      <w:pPr>
        <w:jc w:val="both"/>
        <w:ind w:right="100" w:firstLine="399"/>
        <w:spacing w:after="0" w:line="275" w:lineRule="auto"/>
        <w:rPr>
          <w:sz w:val="20"/>
          <w:szCs w:val="20"/>
          <w:color w:val="auto"/>
        </w:rPr>
      </w:pPr>
      <w:r>
        <w:rPr>
          <w:rFonts w:ascii="Times New Roman" w:cs="Times New Roman" w:eastAsia="Times New Roman" w:hAnsi="Times New Roman"/>
          <w:sz w:val="18"/>
          <w:szCs w:val="18"/>
          <w:color w:val="auto"/>
        </w:rPr>
        <w:t>Intangible assets include finite-lived product technology, customer relationships, licenses and trade names and indefinite-lived in-process research and development. Intangible assets consisted of the following (in thousands of dollars):</w:t>
      </w:r>
    </w:p>
    <w:p>
      <w:pPr>
        <w:spacing w:after="0" w:line="200" w:lineRule="exact"/>
        <w:rPr>
          <w:sz w:val="20"/>
          <w:szCs w:val="20"/>
          <w:color w:val="auto"/>
        </w:rPr>
      </w:pPr>
    </w:p>
    <w:p>
      <w:pPr>
        <w:spacing w:after="0" w:line="343"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3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Weighted Avera</w:t>
            </w:r>
          </w:p>
        </w:tc>
        <w:tc>
          <w:tcPr>
            <w:tcW w:w="0" w:type="dxa"/>
            <w:vAlign w:val="bottom"/>
          </w:tcPr>
          <w:p>
            <w:pPr>
              <w:spacing w:after="0"/>
              <w:rPr>
                <w:sz w:val="1"/>
                <w:szCs w:val="1"/>
                <w:color w:val="auto"/>
              </w:rPr>
            </w:pPr>
          </w:p>
        </w:tc>
      </w:tr>
      <w:tr>
        <w:trPr>
          <w:trHeight w:val="126"/>
        </w:trPr>
        <w:tc>
          <w:tcPr>
            <w:tcW w:w="3220" w:type="dxa"/>
            <w:vAlign w:val="bottom"/>
          </w:tcPr>
          <w:p>
            <w:pPr>
              <w:spacing w:after="0"/>
              <w:rPr>
                <w:sz w:val="10"/>
                <w:szCs w:val="10"/>
                <w:color w:val="auto"/>
              </w:rPr>
            </w:pPr>
          </w:p>
        </w:tc>
        <w:tc>
          <w:tcPr>
            <w:tcW w:w="110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0"/>
                <w:szCs w:val="10"/>
                <w:color w:val="auto"/>
              </w:rPr>
            </w:pPr>
          </w:p>
        </w:tc>
        <w:tc>
          <w:tcPr>
            <w:tcW w:w="86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0"/>
                <w:szCs w:val="10"/>
                <w:color w:val="auto"/>
              </w:rPr>
            </w:pPr>
          </w:p>
        </w:tc>
        <w:tc>
          <w:tcPr>
            <w:tcW w:w="96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6"/>
        </w:trPr>
        <w:tc>
          <w:tcPr>
            <w:tcW w:w="3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3"/>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7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Percepta product technology</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5,600</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left="87"/>
              <w:spacing w:after="0"/>
              <w:rPr>
                <w:sz w:val="20"/>
                <w:szCs w:val="20"/>
                <w:color w:val="auto"/>
              </w:rPr>
            </w:pPr>
            <w:r>
              <w:rPr>
                <w:rFonts w:ascii="Times New Roman" w:cs="Times New Roman" w:eastAsia="Times New Roman" w:hAnsi="Times New Roman"/>
                <w:sz w:val="16"/>
                <w:szCs w:val="16"/>
                <w:color w:val="auto"/>
                <w:w w:val="99"/>
              </w:rPr>
              <w:t>4.5</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Prosigna product technology</w:t>
            </w:r>
          </w:p>
        </w:tc>
        <w:tc>
          <w:tcPr>
            <w:tcW w:w="2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2,724</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9.2</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Decipher product technology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97,300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55,766</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6.6</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Decipher trade names</w:t>
            </w:r>
          </w:p>
        </w:tc>
        <w:tc>
          <w:tcPr>
            <w:tcW w:w="2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957</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0.5</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C2i developed technology</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25,300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23,754</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13.3</w:t>
            </w:r>
          </w:p>
        </w:tc>
        <w:tc>
          <w:tcPr>
            <w:tcW w:w="0" w:type="dxa"/>
            <w:vAlign w:val="bottom"/>
          </w:tcPr>
          <w:p>
            <w:pPr>
              <w:spacing w:after="0"/>
              <w:rPr>
                <w:sz w:val="1"/>
                <w:szCs w:val="1"/>
                <w:color w:val="auto"/>
              </w:rPr>
            </w:pPr>
          </w:p>
        </w:tc>
      </w:tr>
      <w:tr>
        <w:trPr>
          <w:trHeight w:val="204"/>
        </w:trPr>
        <w:tc>
          <w:tcPr>
            <w:tcW w:w="3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finite-lived intangibles</w:t>
            </w:r>
          </w:p>
        </w:tc>
        <w:tc>
          <w:tcPr>
            <w:tcW w:w="20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146,720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88,801</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8.3</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In-process research and development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intangible assets</w:t>
            </w: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152,920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(60,443)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92,477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152,920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(50,619)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102,301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right="100" w:firstLine="399"/>
        <w:spacing w:after="0" w:line="261" w:lineRule="auto"/>
        <w:rPr>
          <w:sz w:val="20"/>
          <w:szCs w:val="20"/>
          <w:color w:val="auto"/>
        </w:rPr>
      </w:pPr>
      <w:r>
        <w:rPr>
          <w:rFonts w:ascii="Times New Roman" w:cs="Times New Roman" w:eastAsia="Times New Roman" w:hAnsi="Times New Roman"/>
          <w:sz w:val="18"/>
          <w:szCs w:val="18"/>
          <w:color w:val="auto"/>
        </w:rPr>
        <w:t>Acquisition-related intangibles are generally finite-lived and are carried at cost less accumulated amortization. Amortization of the finite-lived intangible assets is recognized on a straight-line basis over their estimated lives, which approximates the pattern in which the economic benefits of the intangible assets are expected to be realized.</w:t>
      </w:r>
    </w:p>
    <w:p>
      <w:pPr>
        <w:spacing w:after="0" w:line="202" w:lineRule="exact"/>
        <w:rPr>
          <w:sz w:val="20"/>
          <w:szCs w:val="20"/>
          <w:color w:val="auto"/>
        </w:rPr>
      </w:pPr>
    </w:p>
    <w:p>
      <w:pPr>
        <w:jc w:val="both"/>
        <w:ind w:right="100" w:firstLine="399"/>
        <w:spacing w:after="0" w:line="275" w:lineRule="auto"/>
        <w:rPr>
          <w:sz w:val="20"/>
          <w:szCs w:val="20"/>
          <w:color w:val="auto"/>
        </w:rPr>
      </w:pPr>
      <w:r>
        <w:rPr>
          <w:rFonts w:ascii="Times New Roman" w:cs="Times New Roman" w:eastAsia="Times New Roman" w:hAnsi="Times New Roman"/>
          <w:sz w:val="18"/>
          <w:szCs w:val="18"/>
          <w:color w:val="auto"/>
        </w:rPr>
        <w:t>Amortization expense of $3.3 million and $3.8 million was recognized for the three months ended September 30, 2025 and 2024, respectively, and an expense of $9.8 million and $11.2 million was recognized for the nine months ended September 30, 2025 and 2024, respectively.</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estimated future aggregate amortization expense as of September 30, 2025 is as follows (in thousands of dollars):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0" w:type="dxa"/>
            <w:vAlign w:val="bottom"/>
          </w:tcPr>
          <w:p>
            <w:pPr>
              <w:spacing w:after="0"/>
              <w:rPr>
                <w:sz w:val="16"/>
                <w:szCs w:val="16"/>
                <w:color w:val="auto"/>
              </w:rPr>
            </w:pPr>
          </w:p>
        </w:tc>
        <w:tc>
          <w:tcPr>
            <w:tcW w:w="11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
        </w:trPr>
        <w:tc>
          <w:tcPr>
            <w:tcW w:w="9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6"/>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remainder of year</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3,329</w:t>
            </w:r>
          </w:p>
        </w:tc>
      </w:tr>
      <w:tr>
        <w:trPr>
          <w:trHeight w:val="210"/>
        </w:trPr>
        <w:tc>
          <w:tcPr>
            <w:tcW w:w="9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12,672</w:t>
            </w:r>
          </w:p>
        </w:tc>
      </w:tr>
      <w:tr>
        <w:trPr>
          <w:trHeight w:val="21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12,515</w:t>
            </w:r>
          </w:p>
        </w:tc>
      </w:tr>
      <w:tr>
        <w:trPr>
          <w:trHeight w:val="210"/>
        </w:trPr>
        <w:tc>
          <w:tcPr>
            <w:tcW w:w="9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12,515</w:t>
            </w:r>
          </w:p>
        </w:tc>
      </w:tr>
      <w:tr>
        <w:trPr>
          <w:trHeight w:val="21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12,515</w:t>
            </w:r>
          </w:p>
        </w:tc>
      </w:tr>
      <w:tr>
        <w:trPr>
          <w:trHeight w:val="210"/>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32,731</w:t>
            </w:r>
          </w:p>
        </w:tc>
      </w:tr>
      <w:tr>
        <w:trPr>
          <w:trHeight w:val="233"/>
        </w:trPr>
        <w:tc>
          <w:tcPr>
            <w:tcW w:w="9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86,277</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Supplies and Inventory</w:t>
      </w:r>
    </w:p>
    <w:p>
      <w:pPr>
        <w:spacing w:after="0" w:line="249" w:lineRule="exact"/>
        <w:rPr>
          <w:sz w:val="20"/>
          <w:szCs w:val="20"/>
          <w:color w:val="auto"/>
        </w:rPr>
      </w:pPr>
    </w:p>
    <w:p>
      <w:pPr>
        <w:jc w:val="both"/>
        <w:ind w:right="100" w:firstLine="399"/>
        <w:spacing w:after="0" w:line="256" w:lineRule="auto"/>
        <w:rPr>
          <w:sz w:val="20"/>
          <w:szCs w:val="20"/>
          <w:color w:val="auto"/>
        </w:rPr>
      </w:pPr>
      <w:r>
        <w:rPr>
          <w:rFonts w:ascii="Times New Roman" w:cs="Times New Roman" w:eastAsia="Times New Roman" w:hAnsi="Times New Roman"/>
          <w:sz w:val="18"/>
          <w:szCs w:val="18"/>
          <w:color w:val="auto"/>
        </w:rPr>
        <w:t>Supplies consisted of lab supplies and reagents to be used in the performance of testing services. Inventory related to finished and semi-finished goods used in the assembly of diagnostic kits related to product sales as well as raw materials consumed in the contract manufacturing process. Subsequent to the restructuring proceedings affecting Veracyte SAS in August 2025, the Company no longer maintains inventory associated with product sales or contract manufacturing.</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September 30, 2025 and December 31, 2024, supplies and inventory consisted of the following (in thousands of dollars):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Supplies</w:t>
            </w: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17,876</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18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3,874</w:t>
            </w:r>
          </w:p>
        </w:tc>
      </w:tr>
      <w:tr>
        <w:trPr>
          <w:trHeight w:val="233"/>
        </w:trPr>
        <w:tc>
          <w:tcPr>
            <w:tcW w:w="73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supplies and inventory</w:t>
            </w: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Assets</w:t>
      </w:r>
    </w:p>
    <w:p>
      <w:pPr>
        <w:spacing w:after="0" w:line="249"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On July 16, 2025, the Marseille Commercial Court published a decision approving the divestiture of the contract manufacturing portion of the Company's French subsidiary, Veracyte SAS, to Helio Diagnostics SAS, effective August 1, 2025. The remaining assets of Veracyte SAS will be managed by the judicial administrator until such time that the Marseille Commercial Court appoints a judicial liquidator to solely initiate and manage liquidation proceedings. Effective August 1, 2025, the Company ceased to have a controlling interest in Veracyte SAS. As the Company began judicial restructuring proceedings affecting Veracyte SAS with the Marseille Commercial Court in the second quarter of 2025, the Company evaluated whether the associated assets of Veracyte SAS were impaired. The Company concluded, during the second quarter of 2025, that the long-lived assets of the Veracyte SAS asset group were not recoverable. As a result, the Company recorded a $20.5 million non-cash impairment charge during the three months ended June 30, 2025. The impairment related primarily to the Company's right-of-use assets; property, plant, and equipment; and certain tax credits. The impairment is included within the impairment of assets in the condensed consolidated statement of operations. The divestiture did not meet the criteria for discontinued operations under ASC 205-20 as the Company concluded it does not represent a strategic shift in the Company’s operations.</w:t>
      </w: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Deconsolidation of Wholly-Owned Subsidiary</w:t>
      </w:r>
    </w:p>
    <w:p>
      <w:pPr>
        <w:spacing w:after="0" w:line="24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Effective August 1, 2025, the Company ceased to have a controlling interest in its wholly-owned French subsidiary, Veracyte SAS. Accordingly, the Company derecognized the related assets and liabilities from its condensed consolidated financial statements. Prior to deconsolidation, the operating results and cash flows of Veracyte SAS were included in the Company’s condensed consolidated financial statements. The Company has no continuing involvement with Veracyte SAS and has entered into a contract manufacturing agreement with Helio Diagnostics SAS, an unrelated party, for the manufacture of certain IVD products.</w:t>
      </w:r>
    </w:p>
    <w:p>
      <w:pPr>
        <w:spacing w:after="0" w:line="21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In accordance with ASC 810, Consolidation, the Company recognized a loss on deconsolidation of approximately $6.7 million, which is included in other income, net in the condensed consolidated statements of operations for the three months ended September 30, 2025. The Company recognized outstanding accounts payable to the subsidiary at the time of deconsolidation for intercompany purchases from the subsidiary. The functional currency of Veracyte SAS is the Euro. With the deconsolidation of Veracyte SAS, the Company released the related accumulated foreign currency translation adjustment from accumulated other comprehensive income into earnings. The loss on deconsolidation was calculated as the carrying amount of the former subsidiary’s net liabilities as of the deconsolidation date less the release of the accumulated foreign currency translation, recording of accounts payable and other expenses. The deconsolidation did not have a material effect on the Company’s ongoing operations or liquidity. The fair market value of Veracyte SAS was deemed to be zero consequently no goodwill was allocated.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major classes of assets and liabilities of Veracyte SAS that were deconsolidated as of August 1, 2025 (in thousands of dollars):</w:t>
      </w:r>
    </w:p>
    <w:p>
      <w:pPr>
        <w:spacing w:after="0" w:line="233" w:lineRule="exact"/>
        <w:rPr>
          <w:sz w:val="20"/>
          <w:szCs w:val="20"/>
          <w:color w:val="auto"/>
        </w:rPr>
      </w:pPr>
    </w:p>
    <w:tbl>
      <w:tblPr>
        <w:tblLayout w:type="fixed"/>
        <w:tblInd w:w="400" w:type="dxa"/>
        <w:tblCellMar>
          <w:top w:w="0" w:type="dxa"/>
          <w:left w:w="0" w:type="dxa"/>
          <w:bottom w:w="0" w:type="dxa"/>
          <w:right w:w="0" w:type="dxa"/>
        </w:tblCellMar>
      </w:tblPr>
      <w:tr>
        <w:trPr>
          <w:trHeight w:val="222"/>
        </w:trPr>
        <w:tc>
          <w:tcPr>
            <w:tcW w:w="8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21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7"/>
        </w:trPr>
        <w:tc>
          <w:tcPr>
            <w:tcW w:w="8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w:t>
            </w:r>
          </w:p>
        </w:tc>
      </w:tr>
      <w:tr>
        <w:trPr>
          <w:trHeight w:val="235"/>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w:t>
            </w:r>
          </w:p>
        </w:tc>
      </w:tr>
      <w:tr>
        <w:trPr>
          <w:trHeight w:val="217"/>
        </w:trPr>
        <w:tc>
          <w:tcPr>
            <w:tcW w:w="8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Supplies and inventory</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4,318</w:t>
            </w:r>
          </w:p>
        </w:tc>
      </w:tr>
      <w:tr>
        <w:trPr>
          <w:trHeight w:val="235"/>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w:t>
            </w:r>
          </w:p>
        </w:tc>
      </w:tr>
      <w:tr>
        <w:trPr>
          <w:trHeight w:val="213"/>
        </w:trPr>
        <w:tc>
          <w:tcPr>
            <w:tcW w:w="8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13,001</w:t>
            </w:r>
          </w:p>
        </w:tc>
      </w:tr>
      <w:tr>
        <w:trPr>
          <w:trHeight w:val="226"/>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r>
      <w:tr>
        <w:trPr>
          <w:trHeight w:val="219"/>
        </w:trPr>
        <w:tc>
          <w:tcPr>
            <w:tcW w:w="8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Right-of-use assets, operating leases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w:t>
            </w:r>
          </w:p>
        </w:tc>
      </w:tr>
      <w:tr>
        <w:trPr>
          <w:trHeight w:val="226"/>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assets deconsolidated</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14,478</w:t>
            </w:r>
          </w:p>
        </w:tc>
      </w:tr>
      <w:tr>
        <w:trPr>
          <w:trHeight w:val="197"/>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5"/>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w:t>
            </w:r>
          </w:p>
        </w:tc>
      </w:tr>
      <w:tr>
        <w:trPr>
          <w:trHeight w:val="219"/>
        </w:trPr>
        <w:tc>
          <w:tcPr>
            <w:tcW w:w="8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Accrued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(6,004)</w:t>
            </w:r>
          </w:p>
        </w:tc>
      </w:tr>
      <w:tr>
        <w:trPr>
          <w:trHeight w:val="226"/>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(9,175)</w:t>
            </w:r>
          </w:p>
        </w:tc>
      </w:tr>
      <w:tr>
        <w:trPr>
          <w:trHeight w:val="213"/>
        </w:trPr>
        <w:tc>
          <w:tcPr>
            <w:tcW w:w="8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(9,459)</w:t>
            </w:r>
          </w:p>
        </w:tc>
      </w:tr>
      <w:tr>
        <w:trPr>
          <w:trHeight w:val="226"/>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liabilities deconsolidated</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(18,634)</w:t>
            </w: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liabilities deconsolidated</w:t>
            </w: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(4,156)</w:t>
            </w:r>
          </w:p>
        </w:tc>
      </w:tr>
      <w:tr>
        <w:trPr>
          <w:trHeight w:val="27"/>
        </w:trPr>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loss on deconsolidation was calculated as follows (in thousands of dollars):</w:t>
      </w:r>
    </w:p>
    <w:p>
      <w:pPr>
        <w:spacing w:after="0" w:line="130"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Nine Months Ended September</w:t>
            </w:r>
          </w:p>
        </w:tc>
      </w:tr>
      <w:tr>
        <w:trPr>
          <w:trHeight w:val="210"/>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30,</w:t>
            </w:r>
          </w:p>
        </w:tc>
      </w:tr>
      <w:tr>
        <w:trPr>
          <w:trHeight w:val="32"/>
        </w:trPr>
        <w:tc>
          <w:tcPr>
            <w:tcW w:w="78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liabilities deconsolidated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(4,156)</w:t>
            </w:r>
          </w:p>
        </w:tc>
      </w:tr>
      <w:tr>
        <w:trPr>
          <w:trHeight w:val="217"/>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Release of accumulated translation adjustment</w:t>
            </w:r>
          </w:p>
        </w:tc>
        <w:tc>
          <w:tcPr>
            <w:tcW w:w="1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8,295</w:t>
            </w:r>
          </w:p>
        </w:tc>
      </w:tr>
      <w:tr>
        <w:trPr>
          <w:trHeight w:val="23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Recording of accounts payable to subsidiary</w:t>
            </w:r>
          </w:p>
        </w:tc>
        <w:tc>
          <w:tcPr>
            <w:tcW w:w="100" w:type="dxa"/>
            <w:vAlign w:val="bottom"/>
            <w:shd w:val="clear" w:color="auto" w:fill="CCEEFF"/>
          </w:tcPr>
          <w:p>
            <w:pPr>
              <w:spacing w:after="0"/>
              <w:rPr>
                <w:sz w:val="20"/>
                <w:szCs w:val="20"/>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w:t>
            </w:r>
          </w:p>
        </w:tc>
      </w:tr>
      <w:tr>
        <w:trPr>
          <w:trHeight w:val="244"/>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loss on deconsolidation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Net cash outflows arising from the deconsolidation of the subsidiary was $2.9 million during the nine months ended September 30, 2025 related to the balance of cash and cash equivalents deconsolidated.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 of dollars):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 expenses</w:t>
            </w: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30,595</w:t>
            </w: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other</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13,231</w:t>
            </w:r>
          </w:p>
        </w:tc>
      </w:tr>
      <w:tr>
        <w:trPr>
          <w:trHeight w:val="233"/>
        </w:trPr>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Business Combination</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On February 5, 2024, or the Closing Date, the Company acquired 100% of the outstanding equity interests of C2i, or the C2i Acquisition. C2i was a privately-held company that developed a novel method for estimating tumor burden in cancer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patients by analyzing a patient’s cell free DNA sequence and offered post-treatment monitoring of cancer recurrence and progression by analyzing subtle changes in the pattern of the tumor’s DNA. The consideration to acquire C2i was $100.2 million, comprised of $73.3 million in the form of approximately 2.7 million shares of the Company’s common stock based on the Company's share price on the Closing Date, $0.8 million of pre-combination portion of replacement stock options issued to C2i’s continuing employees, $17.2 million of contingent consideration that was agreed to be paid on achievement of certain milestones and the remainder in cash.</w:t>
      </w:r>
    </w:p>
    <w:p>
      <w:pPr>
        <w:spacing w:after="0" w:line="212"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Assets acquired and liabilities assumed were recorded based on valuations derived from estimated fair value assessments and assumptions used by the Company. The measurement period concluded in February 2025, and no adjustments were recorded during the measurement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records certain of its financial assets and liabilities at fair value. The accounting guidance for fair value provides a framework for measuring fair value and clarifies the definition of fair value.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1" w:lineRule="exact"/>
        <w:rPr>
          <w:sz w:val="20"/>
          <w:szCs w:val="20"/>
          <w:color w:val="auto"/>
        </w:rPr>
      </w:pPr>
    </w:p>
    <w:p>
      <w:pPr>
        <w:ind w:left="800" w:hanging="315"/>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112" w:lineRule="exact"/>
        <w:rPr>
          <w:rFonts w:ascii="Times New Roman" w:cs="Times New Roman" w:eastAsia="Times New Roman" w:hAnsi="Times New Roman"/>
          <w:sz w:val="18"/>
          <w:szCs w:val="18"/>
          <w:color w:val="auto"/>
        </w:rPr>
      </w:pPr>
    </w:p>
    <w:p>
      <w:pPr>
        <w:jc w:val="both"/>
        <w:ind w:left="800" w:hanging="315"/>
        <w:spacing w:after="0" w:line="261"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69"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III: Unobservable inputs that are supported by little or no market activity and that are significant to the fair value of the assets or liabilities.</w:t>
      </w:r>
    </w:p>
    <w:p>
      <w:pPr>
        <w:spacing w:after="0" w:line="257"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carrying amounts of certain financial instruments of the Company, including cash and cash equivalents, prepaid expenses and other current assets, accounts payable and accrued liabilities, approximate fair value due to their relatively short maturities. The fair value of the Company’s financial assets include treasury bills, money market funds and deposits for leases of the Company's facilities. Included in cash and cash equivalents as of December 31, 2024 were $50.4 million of treasury bills with maturities at the time of purchase of three months or less, which are Level I assets as described above. Money market funds, included in cash and cash equivalents, were $2.8 million and $1.6 million as of September 30, 2025 and December 31, 2024, respectively, and are Level I assets as described above. The deposits for the leases, included in restricted cash, were $1.6 million and $1.5 million as of September 30, 2025 and December 31, 2024, respectively, and are Level I assets as described above. There were no transfers between Levels 1, 2 or 3 for the nine months ended September 30, 2025 and 2024.</w:t>
      </w:r>
    </w:p>
    <w:p>
      <w:pPr>
        <w:spacing w:after="0" w:line="190"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As part of the Company’s agreement to acquire the exclusive global diagnostic license to the nCounter Analysis System, the Company may pay up to an additional $10.0 million in cash, contingent upon first achievement or occurrence, by or on behalf of the Company, of the commercial launch of the first, second and third diagnostic tests for use on the nCounter multiplex analysis system. This contingency was valued at $6.1 million as of the acquisition date and is remeasured to fair value at each reporting date until the contingent consideration is settled, with the corresponding changes included in general and administrative expense in the Company's condensed consolidated statements of operations. As of September 30, 2025 and December 31, 2024, this contingency was remeasured to $2.3 million and $3.3 million, respectively. For the three and nine months ended September 30, 2025, reversal of expense of zero and $1.0 million, respectively, was recorded, and for the three and nine months ended September 30, 2024, expense of zero and $0.1 million, respectively, was recorded. As of September 30, 2025, the achievement of one of the milestones is forecasted to occur within the next 12 months. As a result, $1.7 million of the contingent consideration is included in short term liabilities at September 30, 2025.</w:t>
      </w:r>
    </w:p>
    <w:p>
      <w:pPr>
        <w:spacing w:after="0" w:line="214"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 contingent consideration related to the C2i Acquisition as discussed in Note 4, is dependent on the achievement of certain milestones and is payable in cash or shares of the Company’s common stock, at the Company’s election, of up to $25 million and was valued at $17.2 million. The fair value of the contingent consideration related to the C2i Acquisition will be remeasured to fair value at each reporting date until the contingent consideration is settled, with the corresponding changes included in general and administrative expense. As of September 30, 2025 and December 31, 2024, this contingency was remeasured to $11.9 million and $14.3 million, respectively. For the three and nine months ended September 30, 2025, an expense of $0.1 million and a reversal of expense of $1.7 million, respectively, were recorded. For the three and nine months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ended September 30, 2024, an expense of $0.4 million and $1.2 million, respectively, was recorded. As of September 30, 2025, the achievement of all of the remaining milestones is forecasted to occur within the next 12 months. As a result, the contingent consideration is included in short term liabilities at September 30, 2025. During the year ended December 31, 2024, one of the milestones was achieved resulting in the payment of $5.0 million in cash and, during the nine months ended September 30, 2025, one of the milestones was achieved resulting in the payment of $0.7 million in cash.</w:t>
      </w:r>
    </w:p>
    <w:p>
      <w:pPr>
        <w:spacing w:after="0" w:line="20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 fair value of contingent consideration includes inputs that are not observable in the market and thus represents a Level III financial liability. The estimation of the fair value of the contingent consideration is based on the present value of the expected payments calculated by assessing the likelihood of when the related milestones would be achieved and estimating the Company's borrowing rate. These estimates form the basis for making judgments about the carrying value of the contingent consideration that are not readily apparent from other sources. Changes to the forecasts for the achievement of the milestones and the borrowing rate can significantly affect the estimated fair value of the contingent consideration. As of September 30, 2025 and December 31, 2024, the Company calculated the estimated fair value of the milestones using the following significant unobservable inputs: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Value or Range (Weighted-Average)</w:t>
            </w:r>
          </w:p>
        </w:tc>
      </w:tr>
      <w:tr>
        <w:trPr>
          <w:trHeight w:val="210"/>
        </w:trPr>
        <w:tc>
          <w:tcPr>
            <w:tcW w:w="7420" w:type="dxa"/>
            <w:vAlign w:val="bottom"/>
            <w:gridSpan w:val="2"/>
          </w:tcPr>
          <w:p>
            <w:pPr>
              <w:ind w:left="300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9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7"/>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4.4% - 5.0% (4.5%)</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5.1% - 6.2% (5.3%)</w:t>
            </w:r>
          </w:p>
        </w:tc>
      </w:tr>
      <w:tr>
        <w:trPr>
          <w:trHeight w:val="208"/>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Probability of achievement</w:t>
            </w:r>
          </w:p>
        </w:tc>
        <w:tc>
          <w:tcPr>
            <w:tcW w:w="18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10% - 90% (72%)</w:t>
            </w:r>
          </w:p>
        </w:tc>
        <w:tc>
          <w:tcPr>
            <w:tcW w:w="100" w:type="dxa"/>
            <w:vAlign w:val="bottom"/>
          </w:tcPr>
          <w:p>
            <w:pPr>
              <w:spacing w:after="0"/>
              <w:rPr>
                <w:sz w:val="18"/>
                <w:szCs w:val="18"/>
                <w:color w:val="auto"/>
              </w:rPr>
            </w:pPr>
          </w:p>
        </w:tc>
        <w:tc>
          <w:tcPr>
            <w:tcW w:w="18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10% - 90% (86%)</w:t>
            </w:r>
          </w:p>
        </w:tc>
      </w:tr>
    </w:tbl>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 Held-to-Maturity</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Company's short-term investments consist of United States treasury securities with maturities, at the time of purchase, that were between three months and one year. The Company classifies these investments as held-to-maturity debt securities, which are reported at amortized cost, and are Level I assets as described above. As of September 30, 2025 and December 31, 2024, short-term investments comprised United States treasury bills recorded at amortized cost of $50.9 million and $50.4 million, respectively, with fair values of approximately $50.9 million and $50.4 million, respectively. As of September 30, 2025, gross unrealized gains or losses on short-term investments were insignificant.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2"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The Company leases office and laboratory facilities in the U.S., including in South San Francisco and San Diego, California and Austin, Texas, and, prior to August 2025, in Marseille, France, and leases certain equipment under various non-cancelable lease agreements. Effective August 2025, in connection with the restructuring proceeding in Veracyte SAS, the Company is no longer a party to the lease in Marseille, France. The lease terms of the Company’s leases as of September 30, 2025 extend to March 2040 and contain extension of lease terms and expansion options. The leases have a weighted average remaining lease term of 11.3 years as of September 30, 2025. The Company had deposits of $1.6 million and $1.5 million included in long-term assets as of September 30, 2025 and December 31, 2024, respectively, restricted from withdrawal and held by banks in the form of collateral for irrevocable standby letters of credit held as security for the leases.</w:t>
      </w:r>
    </w:p>
    <w:p>
      <w:pPr>
        <w:spacing w:after="0" w:line="213"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 xml:space="preserve">The Company determined its operating lease liabilities using payments through their current expiration dates and a weighted average discount rate of 11.4% based on the rate that the Company would have to pay to borrow, on a collateralized basis, an amount equal to the lease payments in a similar economic environment. Operating lease liabilities along with the associated right-of-use assets are disclosed in the accompanying condensed consolidated balance sheets. After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or ASC 842, the Company classified its deferred rent for tenant improvements with its operating lease right-of-use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September 30, 2025 are as follows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20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2025</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w:t>
            </w:r>
          </w:p>
        </w:tc>
      </w:tr>
      <w:tr>
        <w:trPr>
          <w:trHeight w:val="210"/>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w:t>
            </w:r>
          </w:p>
        </w:tc>
      </w:tr>
      <w:tr>
        <w:trPr>
          <w:trHeight w:val="215"/>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6,999</w:t>
            </w:r>
          </w:p>
        </w:tc>
      </w:tr>
      <w:tr>
        <w:trPr>
          <w:trHeight w:val="210"/>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7,173</w:t>
            </w:r>
          </w:p>
        </w:tc>
      </w:tr>
      <w:tr>
        <w:trPr>
          <w:trHeight w:val="215"/>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6,858</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47,461</w:t>
            </w:r>
          </w:p>
        </w:tc>
      </w:tr>
      <w:tr>
        <w:trPr>
          <w:trHeight w:val="208"/>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74,682</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34,229</w:t>
            </w:r>
          </w:p>
        </w:tc>
      </w:tr>
      <w:tr>
        <w:trPr>
          <w:trHeight w:val="208"/>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Present value of future lease payments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40,453</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short-term lease liabilities</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4,282</w:t>
            </w:r>
          </w:p>
        </w:tc>
      </w:tr>
      <w:tr>
        <w:trPr>
          <w:trHeight w:val="233"/>
        </w:trPr>
        <w:tc>
          <w:tcPr>
            <w:tcW w:w="9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36,171</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Company recognizes operating lease expense on a straight-line basis over the non-cancelable lease period. The following table summarizes operating lease expense and cash paid for amounts included in the measurement of lease liabilities (in thousands of dollars):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8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07"/>
        </w:trPr>
        <w:tc>
          <w:tcPr>
            <w:tcW w:w="44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4,914</w:t>
            </w:r>
          </w:p>
        </w:tc>
        <w:tc>
          <w:tcPr>
            <w:tcW w:w="0" w:type="dxa"/>
            <w:vAlign w:val="bottom"/>
          </w:tcPr>
          <w:p>
            <w:pPr>
              <w:spacing w:after="0"/>
              <w:rPr>
                <w:sz w:val="1"/>
                <w:szCs w:val="1"/>
                <w:color w:val="auto"/>
              </w:rPr>
            </w:pPr>
          </w:p>
        </w:tc>
      </w:tr>
      <w:tr>
        <w:trPr>
          <w:trHeight w:val="160"/>
        </w:trPr>
        <w:tc>
          <w:tcPr>
            <w:tcW w:w="44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Cash paid for amounts included in the measurement of lease</w:t>
            </w:r>
          </w:p>
        </w:tc>
        <w:tc>
          <w:tcPr>
            <w:tcW w:w="2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00" w:type="dxa"/>
            <w:vAlign w:val="bottom"/>
          </w:tcPr>
          <w:p>
            <w:pPr>
              <w:spacing w:after="0"/>
              <w:rPr>
                <w:sz w:val="13"/>
                <w:szCs w:val="13"/>
                <w:color w:val="auto"/>
              </w:rPr>
            </w:pPr>
          </w:p>
        </w:tc>
        <w:tc>
          <w:tcPr>
            <w:tcW w:w="34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80" w:type="dxa"/>
            <w:vAlign w:val="bottom"/>
          </w:tcPr>
          <w:p>
            <w:pPr>
              <w:spacing w:after="0"/>
              <w:rPr>
                <w:sz w:val="13"/>
                <w:szCs w:val="13"/>
                <w:color w:val="auto"/>
              </w:rPr>
            </w:pPr>
          </w:p>
        </w:tc>
        <w:tc>
          <w:tcPr>
            <w:tcW w:w="26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5,620</w:t>
            </w:r>
          </w:p>
        </w:tc>
        <w:tc>
          <w:tcPr>
            <w:tcW w:w="100" w:type="dxa"/>
            <w:vAlign w:val="bottom"/>
          </w:tcPr>
          <w:p>
            <w:pPr>
              <w:spacing w:after="0"/>
              <w:rPr>
                <w:sz w:val="13"/>
                <w:szCs w:val="13"/>
                <w:color w:val="auto"/>
              </w:rPr>
            </w:pPr>
          </w:p>
        </w:tc>
        <w:tc>
          <w:tcPr>
            <w:tcW w:w="360" w:type="dxa"/>
            <w:vAlign w:val="bottom"/>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5,274</w:t>
            </w:r>
          </w:p>
        </w:tc>
        <w:tc>
          <w:tcPr>
            <w:tcW w:w="0" w:type="dxa"/>
            <w:vAlign w:val="bottom"/>
          </w:tcPr>
          <w:p>
            <w:pPr>
              <w:spacing w:after="0"/>
              <w:rPr>
                <w:sz w:val="1"/>
                <w:szCs w:val="1"/>
                <w:color w:val="auto"/>
              </w:rPr>
            </w:pPr>
          </w:p>
        </w:tc>
      </w:tr>
      <w:tr>
        <w:trPr>
          <w:trHeight w:val="208"/>
        </w:trPr>
        <w:tc>
          <w:tcPr>
            <w:tcW w:w="4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liabilities</w:t>
            </w:r>
          </w:p>
        </w:tc>
        <w:tc>
          <w:tcPr>
            <w:tcW w:w="24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49"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involved in various legal proceedings and claims arising in the ordinary course of business. Although the outcomes of such matters cannot be predicted with certainty, the Company believes there is no litigation pending that could have, either individually or in the aggregate, a material adverse impact on the Company's consolidated financial statements.</w:t>
      </w:r>
    </w:p>
    <w:p>
      <w:pPr>
        <w:spacing w:after="0" w:line="202" w:lineRule="exact"/>
        <w:rPr>
          <w:sz w:val="20"/>
          <w:szCs w:val="20"/>
          <w:color w:val="auto"/>
        </w:rPr>
      </w:pPr>
    </w:p>
    <w:p>
      <w:pPr>
        <w:jc w:val="both"/>
        <w:ind w:firstLine="439"/>
        <w:spacing w:after="0" w:line="253" w:lineRule="auto"/>
        <w:rPr>
          <w:sz w:val="20"/>
          <w:szCs w:val="20"/>
          <w:color w:val="auto"/>
        </w:rPr>
      </w:pPr>
      <w:r>
        <w:rPr>
          <w:rFonts w:ascii="Times New Roman" w:cs="Times New Roman" w:eastAsia="Times New Roman" w:hAnsi="Times New Roman"/>
          <w:sz w:val="18"/>
          <w:szCs w:val="18"/>
          <w:color w:val="auto"/>
        </w:rPr>
        <w:t>On May 1, 2025, the Company filed a complaint in federal court in the Eastern District of Texas alleging that Sonic Healthcare USA, Inc., the healthcare company that is believed to offer ThyroSeq v3, is infringing three of the Company’s patents related to molecular testing of thyroid nodules. The complaint seeks treble damages, attorneys’ fees and costs as well as injunctive relief. On June 4, 2025, the Company filed an amended complaint asserting two additional patents. On July 21, 2025, Sonic Healthcare USA, Inc. filed an answer and a motion to dismiss. The Company filed its opposition to the motion to dismiss on October 31, 2025. The jury trial is currently scheduled for January 25, 2027.</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had reserved shares of common stock for issuance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9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and restricted stock units issued and outstanding</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5,170,600</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5,773,382</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options and restricted stock units available for grant under stock option plans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10,899,141</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8,971,566</w:t>
            </w: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available for the Employee Stock Purchase Plan</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895,255</w:t>
            </w:r>
          </w:p>
        </w:tc>
        <w:tc>
          <w:tcPr>
            <w:tcW w:w="100" w:type="dxa"/>
            <w:vAlign w:val="bottom"/>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1,051,407</w:t>
            </w:r>
          </w:p>
        </w:tc>
      </w:tr>
      <w:tr>
        <w:trPr>
          <w:trHeight w:val="208"/>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16,964,996</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15,796,355</w:t>
            </w:r>
          </w:p>
        </w:tc>
      </w:tr>
      <w:tr>
        <w:trPr>
          <w:trHeight w:val="20"/>
        </w:trPr>
        <w:tc>
          <w:tcPr>
            <w:tcW w:w="73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Components of Other Income</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income, net consists of the following (in thousands of dollars):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44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04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2,898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8,293</w:t>
            </w: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deconsolidation of subsidiary</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(6,708)</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(loss) on currency revaluation</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1,487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r>
      <w:tr>
        <w:trPr>
          <w:trHeight w:val="21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w:t>
            </w:r>
          </w:p>
        </w:tc>
      </w:tr>
      <w:tr>
        <w:trPr>
          <w:trHeight w:val="208"/>
        </w:trPr>
        <w:tc>
          <w:tcPr>
            <w:tcW w:w="4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4,831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10,334</w:t>
            </w:r>
          </w:p>
        </w:tc>
      </w:tr>
      <w:tr>
        <w:trPr>
          <w:trHeight w:val="20"/>
        </w:trPr>
        <w:tc>
          <w:tcPr>
            <w:tcW w:w="4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w:t>
      </w:r>
    </w:p>
    <w:p>
      <w:pPr>
        <w:spacing w:after="0" w:line="247" w:lineRule="exact"/>
        <w:rPr>
          <w:sz w:val="20"/>
          <w:szCs w:val="20"/>
          <w:color w:val="auto"/>
        </w:rPr>
      </w:pPr>
    </w:p>
    <w:p>
      <w:pPr>
        <w:jc w:val="both"/>
        <w:ind w:firstLine="439"/>
        <w:spacing w:after="0" w:line="265" w:lineRule="auto"/>
        <w:rPr>
          <w:sz w:val="20"/>
          <w:szCs w:val="20"/>
          <w:color w:val="auto"/>
        </w:rPr>
      </w:pPr>
      <w:r>
        <w:rPr>
          <w:rFonts w:ascii="Times New Roman" w:cs="Times New Roman" w:eastAsia="Times New Roman" w:hAnsi="Times New Roman"/>
          <w:sz w:val="17"/>
          <w:szCs w:val="17"/>
          <w:color w:val="auto"/>
        </w:rPr>
        <w:t>The chief operating decision maker for the Company is the Chief Executive Officer, who reviews financial information presented on a consolidated basis for purposes of allocating resources and assessing financial performance. The Company has a single reporting unit associated with the development and commercialization of diagnostic tests and biopharmaceutical services. The accounting policies of the Company's single segment are the same as those described in the summary of significant accounting policies in Note 1, Organization, Description of Business and Summary of Significant Accounting Policies. The chief operating decision maker assesses performance of the Company's single segment and decides how to allocate resources based on consolidated net income. Under the current organizational structure, this measure is not discreetly available or required individually for any of the Company’s business activities and is only available at the consolidated level. The monitoring of budgeted versus actual results are used in assessing performance of the Company's single segment, allocating resources and in establishing management’s compensation. The Company's chief operating decision maker intends for all revenue generating activities to rely on cross-functional activities across the consolidated entity in order to operate. No individual besides the chief operating decision maker has been tasked with reviewing discreet operating results of the business activities, nor is there any intent to bifurcate the overall business review process to produce discreet operating results specific to any of the Company's business activities. The measure of segment assets is reported on the consolidated balance sheet as total consolidated assets. Consolidated revenue does not include any inter-segment sales or transfers.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439"/>
        <w:spacing w:after="0" w:line="275" w:lineRule="auto"/>
        <w:rPr>
          <w:sz w:val="20"/>
          <w:szCs w:val="20"/>
          <w:color w:val="auto"/>
        </w:rPr>
      </w:pPr>
      <w:r>
        <w:rPr>
          <w:rFonts w:ascii="Times New Roman" w:cs="Times New Roman" w:eastAsia="Times New Roman" w:hAnsi="Times New Roman"/>
          <w:sz w:val="18"/>
          <w:szCs w:val="18"/>
          <w:color w:val="auto"/>
        </w:rPr>
        <w:t>Information about reported segment revenue, measures of segment profit or loss, significant segment expenses and reconciliation to income from operations was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3600" w:type="dxa"/>
            <w:vAlign w:val="bottom"/>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6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42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Testing revenue</w:t>
            </w:r>
          </w:p>
        </w:tc>
        <w:tc>
          <w:tcPr>
            <w:tcW w:w="1020" w:type="dxa"/>
            <w:vAlign w:val="bottom"/>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127,756</w:t>
            </w:r>
          </w:p>
        </w:tc>
        <w:tc>
          <w:tcPr>
            <w:tcW w:w="16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109,536</w:t>
            </w:r>
          </w:p>
        </w:tc>
        <w:tc>
          <w:tcPr>
            <w:tcW w:w="16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357,328</w:t>
            </w:r>
          </w:p>
        </w:tc>
        <w:tc>
          <w:tcPr>
            <w:tcW w:w="8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306,809</w:t>
            </w:r>
          </w:p>
        </w:tc>
      </w:tr>
      <w:tr>
        <w:trPr>
          <w:trHeight w:val="215"/>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revenue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10,631</w:t>
            </w:r>
          </w:p>
        </w:tc>
      </w:tr>
      <w:tr>
        <w:trPr>
          <w:trHeight w:val="21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3,136</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9,692</w:t>
            </w:r>
          </w:p>
        </w:tc>
      </w:tr>
      <w:tr>
        <w:trPr>
          <w:trHeight w:val="208"/>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131,872</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115,860</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376,509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327,132</w:t>
            </w:r>
          </w:p>
        </w:tc>
      </w:tr>
      <w:tr>
        <w:trPr>
          <w:trHeight w:val="19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testing revenue: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Laboratory supplies and reagents expense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39,131</w:t>
            </w: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Sample collection expense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9,884</w:t>
            </w:r>
          </w:p>
        </w:tc>
      </w:tr>
      <w:tr>
        <w:trPr>
          <w:trHeight w:val="21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16,097</w:t>
            </w: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cost of testing revenue (1)</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9,122</w:t>
            </w:r>
          </w:p>
        </w:tc>
      </w:tr>
      <w:tr>
        <w:trPr>
          <w:trHeight w:val="210"/>
        </w:trPr>
        <w:tc>
          <w:tcPr>
            <w:tcW w:w="4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8,694</w:t>
            </w:r>
          </w:p>
        </w:tc>
      </w:tr>
      <w:tr>
        <w:trPr>
          <w:trHeight w:val="208"/>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cost of testing revenue</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33,777</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29,029</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94,444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82,928</w:t>
            </w:r>
          </w:p>
        </w:tc>
      </w:tr>
      <w:tr>
        <w:trPr>
          <w:trHeight w:val="19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Product costs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w:t>
            </w:r>
          </w:p>
        </w:tc>
      </w:tr>
      <w:tr>
        <w:trPr>
          <w:trHeight w:val="21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cost of product revenue (2)</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w:t>
            </w:r>
          </w:p>
        </w:tc>
      </w:tr>
      <w:tr>
        <w:trPr>
          <w:trHeight w:val="210"/>
        </w:trPr>
        <w:tc>
          <w:tcPr>
            <w:tcW w:w="4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r>
      <w:tr>
        <w:trPr>
          <w:trHeight w:val="208"/>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cost of product revenue</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6,310</w:t>
            </w:r>
          </w:p>
        </w:tc>
      </w:tr>
      <w:tr>
        <w:trPr>
          <w:trHeight w:val="19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4,958</w:t>
            </w:r>
          </w:p>
        </w:tc>
      </w:tr>
      <w:tr>
        <w:trPr>
          <w:trHeight w:val="21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cost of biopharmaceutical and other revenue (3)</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3,244</w:t>
            </w: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w:t>
            </w:r>
          </w:p>
        </w:tc>
      </w:tr>
      <w:tr>
        <w:trPr>
          <w:trHeight w:val="204"/>
        </w:trPr>
        <w:tc>
          <w:tcPr>
            <w:tcW w:w="4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cost of biopharmaceutical and other revenue</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9,762</w:t>
            </w:r>
          </w:p>
        </w:tc>
      </w:tr>
      <w:tr>
        <w:trPr>
          <w:trHeight w:val="208"/>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2,917</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8,741</w:t>
            </w:r>
          </w:p>
        </w:tc>
      </w:tr>
      <w:tr>
        <w:trPr>
          <w:trHeight w:val="204"/>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91,282</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79,010</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260,559</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219,391</w:t>
            </w:r>
          </w:p>
        </w:tc>
      </w:tr>
      <w:tr>
        <w:trPr>
          <w:trHeight w:val="19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26,356</w:t>
            </w:r>
          </w:p>
        </w:tc>
      </w:tr>
      <w:tr>
        <w:trPr>
          <w:trHeight w:val="21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 research and development expense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14,596</w:t>
            </w: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research and development expenses (4)</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4,195</w:t>
            </w:r>
          </w:p>
        </w:tc>
      </w:tr>
      <w:tr>
        <w:trPr>
          <w:trHeight w:val="210"/>
        </w:trPr>
        <w:tc>
          <w:tcPr>
            <w:tcW w:w="4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4,857</w:t>
            </w:r>
          </w:p>
        </w:tc>
      </w:tr>
      <w:tr>
        <w:trPr>
          <w:trHeight w:val="208"/>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research and development</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15,981</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17,574</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50,004</w:t>
            </w:r>
          </w:p>
        </w:tc>
      </w:tr>
      <w:tr>
        <w:trPr>
          <w:trHeight w:val="19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50,517</w:t>
            </w:r>
          </w:p>
        </w:tc>
      </w:tr>
      <w:tr>
        <w:trPr>
          <w:trHeight w:val="21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 marketing expense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4,613</w:t>
            </w: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selling and marketing expenses (5)</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9,897</w:t>
            </w:r>
          </w:p>
        </w:tc>
      </w:tr>
      <w:tr>
        <w:trPr>
          <w:trHeight w:val="210"/>
        </w:trPr>
        <w:tc>
          <w:tcPr>
            <w:tcW w:w="4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5,583</w:t>
            </w:r>
          </w:p>
        </w:tc>
      </w:tr>
      <w:tr>
        <w:trPr>
          <w:trHeight w:val="208"/>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selling and marketing</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24,455</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22,612</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74,225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70,610</w:t>
            </w:r>
          </w:p>
        </w:tc>
      </w:tr>
      <w:tr>
        <w:trPr>
          <w:trHeight w:val="19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62,121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59,824</w:t>
            </w:r>
          </w:p>
        </w:tc>
      </w:tr>
      <w:tr>
        <w:trPr>
          <w:trHeight w:val="21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general and administrative expenses (6)</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45,048</w:t>
            </w: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(7,918)</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(7,781)</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(21,175)</w:t>
            </w:r>
          </w:p>
        </w:tc>
      </w:tr>
      <w:tr>
        <w:trPr>
          <w:trHeight w:val="204"/>
        </w:trPr>
        <w:tc>
          <w:tcPr>
            <w:tcW w:w="4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general and administrative</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27,278</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25,742</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93,417</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83,697</w:t>
            </w:r>
          </w:p>
        </w:tc>
      </w:tr>
      <w:tr>
        <w:trPr>
          <w:trHeight w:val="208"/>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assets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r>
      <w:tr>
        <w:trPr>
          <w:trHeight w:val="21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operating expenses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w:t>
            </w:r>
          </w:p>
        </w:tc>
      </w:tr>
      <w:tr>
        <w:trPr>
          <w:trHeight w:val="215"/>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(10,334)</w:t>
            </w:r>
          </w:p>
        </w:tc>
      </w:tr>
      <w:tr>
        <w:trPr>
          <w:trHeight w:val="21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3,276</w:t>
            </w:r>
          </w:p>
        </w:tc>
      </w:tr>
      <w:tr>
        <w:trPr>
          <w:trHeight w:val="23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19,137</w:t>
            </w: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15,155</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25,204</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241" w:lineRule="exact"/>
        <w:rPr>
          <w:sz w:val="20"/>
          <w:szCs w:val="20"/>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 of testing revenue includes cytopathology services, depreciation and amortization and other expenses.</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 of product revenue includes contract manufacturing fees, license fees and royalties, depreciation and amortization and other expenses.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 of biopharmaceutical and other revenue includes license fees and royalties, depreciation and amortization and other expenses.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 expenses includes depreciation and amortization and other expenses.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and marketing expenses includes travel, entertainment, conference and other expenses.</w:t>
      </w:r>
    </w:p>
    <w:p>
      <w:pPr>
        <w:spacing w:after="0" w:line="5" w:lineRule="exact"/>
        <w:rPr>
          <w:rFonts w:ascii="Times New Roman" w:cs="Times New Roman" w:eastAsia="Times New Roman" w:hAnsi="Times New Roman"/>
          <w:sz w:val="18"/>
          <w:szCs w:val="18"/>
          <w:color w:val="auto"/>
        </w:rPr>
      </w:pPr>
    </w:p>
    <w:p>
      <w:pPr>
        <w:ind w:left="640" w:hanging="315"/>
        <w:spacing w:after="0" w:line="253" w:lineRule="auto"/>
        <w:tabs>
          <w:tab w:leader="none" w:pos="63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general and administrative expenses includes professional fees, information technology expense, occupancy costs, depreciation and amortization, contingent consideration and other expenses.</w:t>
      </w: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280" w:hanging="274"/>
        <w:spacing w:after="0"/>
        <w:tabs>
          <w:tab w:leader="none" w:pos="2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47"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provision for income taxes is based on the current estimate of the annual effective tax rate applied to the Company’s year to date income and is adjusted for discrete items recorded in the period. For the three months ended September 30, 2025 and 2024, the Company’s effective tax rate was (1.3)% and 10.0%, respectively. For the nine months ended September 30, 2025 and 2024, the Company’s effective tax rate was 8.6% and 14.7%, respectively. For the nine months ended September 30, 2025, the primary difference between the effective tax rate and the federal statutory rate is driven by unfavorable permanent differences, offset by benefits from the One Big Beautiful Bill Act, or the OBBBA, and the full valuation allowance the Company has established on its federal, state and foreign net operating losses and credits. For the nine months ended September 30, 2024, the primary difference between the effective tax rate and the federal statutory rate is driven by unfavorable permanent differences and foreign and state taxes offset by the full valuation allowance the Company has established on its federal, state and foreign net operating losses and credits.</w:t>
      </w:r>
    </w:p>
    <w:p>
      <w:pPr>
        <w:spacing w:after="0" w:line="216"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recorded income tax benefit of $0.2 million and expense of $1.7 million for the three months ended September 30, 2025 and 2024, respectively, and recorded income tax expense of $2.4 million and $3.3 million for the nine months ended September 30, 2025 and 2024, respectively. The benefit and provision for income taxes recorded in the three and nine months ended September 30, 2025 and 2024 consists primarily of state income taxes incurred by a subsidiary associated with the Company's Decipher product line.</w:t>
      </w:r>
    </w:p>
    <w:p>
      <w:pPr>
        <w:spacing w:after="0" w:line="20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On July 4, 2025, the U.S. government enacted the OBBBA, which includes numerous changes to existing tax law including extending or making permanent certain business and international tax measures initially established under the 2017 Tax Cuts and Jobs Act, which were set to expire. The OBBBA permanently eliminates the requirement to capitalize and amortize U.S.-based research and experimental expenditures over five years, making these expenditures fully deductible in the period incurred. The OBBBA also permanently extends the full expensing of qualifying assets through accelerated bonus depreciation in the period acquired. The OBBBA has multiple effective dates, with certain provisions effective in 2025 and others to be implemented through 2027. The enactment of certain provisions in the period ending September 30, 2025 resulted in a reduction of current income tax liabilities and a corresponding reduction to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8"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the related notes and other financial information included elsewhere in this Quarterly Report on Form 10-Q and with our audited consolidated financial statements and the notes thereto included in our Annual Report on Form 10-K for the year ended December 31, 2024, or our Annual Report.</w:t>
      </w:r>
    </w:p>
    <w:p>
      <w:pPr>
        <w:spacing w:after="0" w:line="204"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18"/>
          <w:szCs w:val="18"/>
          <w:i w:val="1"/>
          <w:iCs w:val="1"/>
          <w:color w:val="auto"/>
        </w:rPr>
        <w:t>As discussed in the section titled “Special Note Regarding Forward-Looking Statements,” the following discussion and analysis contains forward-looking statements that involve risks and uncertainties. Our actual results and the timing of selected events could differ materially from those discussed below. Factors that could cause or contribute to such differences include, but are not limited to, those identified below and those set forth herein under the heading “Special Note Regarding Forward-Looking Statements” and in the section titled “Risk Factors” under Part II, Item 1A of this report and under Part I, Item 1A of our Annual Report. Historical results are not necessarily indicative of future results.</w:t>
      </w:r>
    </w:p>
    <w:p>
      <w:pPr>
        <w:spacing w:after="0" w:line="21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When used in this report, all references to "Veracyte," the "company," "we," "our" and "us" refer to Veracyte, Inc., together with its consolidated subsidiaries, unless otherwise noted.</w:t>
      </w:r>
    </w:p>
    <w:p>
      <w:pPr>
        <w:spacing w:after="0" w:line="151" w:lineRule="exact"/>
        <w:rPr>
          <w:sz w:val="20"/>
          <w:szCs w:val="20"/>
          <w:color w:val="auto"/>
        </w:rPr>
      </w:pPr>
    </w:p>
    <w:p>
      <w:pPr>
        <w:ind w:right="480" w:firstLine="399"/>
        <w:spacing w:after="0" w:line="245" w:lineRule="auto"/>
        <w:rPr>
          <w:sz w:val="20"/>
          <w:szCs w:val="20"/>
          <w:color w:val="auto"/>
        </w:rPr>
      </w:pPr>
      <w:r>
        <w:rPr>
          <w:rFonts w:ascii="Times New Roman" w:cs="Times New Roman" w:eastAsia="Times New Roman" w:hAnsi="Times New Roman"/>
          <w:sz w:val="18"/>
          <w:szCs w:val="18"/>
          <w:color w:val="auto"/>
        </w:rPr>
        <w:t>The following is a non-exhaustive list of Veracyte and its affiliates’ trademarks and/or registered trademarks in the United States and certain other countries: Afirma, Decipher, Envisia, GenomeDx, GRID, Percepta, Prosigna, TrueMRD, Veracyte, and the Veracyte logo. nCounter is the registered trademark of Bruker Spatial Biology, Inc. and used by Veracyte under license.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treatment decisions. Insights from these tests help patients avoid unnecessary procedures and interventions and accelerate time to appropriate treatment, thereby improving outcomes for patients in our global markets.</w:t>
      </w:r>
    </w:p>
    <w:p>
      <w:pPr>
        <w:spacing w:after="0" w:line="7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In the United States, we currently offer tests in prostate cancer (Decipher Prostate), thyroid cancer (Afirma), breast cancer (Prosigna), and bladder cancer (Decipher Bladder). In addition, our Percepta Nasal Swab test is being run in our Clinical Laboratory Improvement Amendments of 1988, or CLIA, certified labs in support of clinical studies.</w:t>
      </w:r>
    </w:p>
    <w:p>
      <w:pPr>
        <w:spacing w:after="0" w:line="69"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serve global markets with two complementary models. In the United States, we offer laboratory developed tests through our centralized CLIA certified laboratories in South San Francisco and San Diego, California, supported by our cytopathology expertise in Austin, Texas. Additionally, primarily outside of the United States, we provide in vitro diagnostics, or IVD, tests to patients through distribution to laboratories and hospitals that can perform the tests locally. Our international distribution of IVDs is currently limited to our Prosigna test, however, in the future, we intend to offer Decipher Prostate and Percepta Nasal Swab as IVD tests. We believe our broad menu of advanced diagnostic tests, combined with our ability to deliver them globally, differentiates us in the diagnostics industry.</w:t>
      </w:r>
    </w:p>
    <w:p>
      <w:pPr>
        <w:spacing w:after="0" w:line="7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are aiming to expand our role across the cancer continuum with the addition of minimal residual disease, or MRD assays. This will broaden our portfolio of tests to help monitor the success of a therapeutic or surgical intervention, and support the determination of the best course of action for each patient.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Factors</w:t>
      </w:r>
    </w:p>
    <w:p>
      <w:pPr>
        <w:spacing w:after="0" w:line="247"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Recent macroeconomic factors, such as interest rate fluctuations and inflation in the United States and other markets, evolving international trade policies and government actions relating to tariffs, as well as volatility in the global banking and finance systems, have resulted in volatility in the capital and credit markets globally. Moreover, the continued fluctuation and reduced valuation of the U.S. dollar compared to other currencies has impacted and may continue to impact our results of operations. Further, the U.S. federal government has been shut down since October 1, 2025, and the impact of a prolonged government shutdown on business and economic conditions generally, and our results of operations, is uncertain. We intend to continue to monitor macroeconomic conditions closely and may determine to take certain financial or operational actions in response to such conditions as appropriate. In addition, regional conflicts like those between Russia and Ukraine and in Israel may adversely impact our business and operating results. Finally, the ongoing conflict in the Middle East and related political, military and security conditions in and around Israel may disrupt our Israel business operations and employees that we acquired through the Company’s acquisition of 100% of the outstanding equity interests of C2i, or the C2i Acquisition.</w:t>
      </w:r>
    </w:p>
    <w:p>
      <w:pPr>
        <w:spacing w:after="0" w:line="214" w:lineRule="exact"/>
        <w:rPr>
          <w:sz w:val="20"/>
          <w:szCs w:val="20"/>
          <w:color w:val="auto"/>
        </w:rPr>
      </w:pPr>
    </w:p>
    <w:p>
      <w:pPr>
        <w:jc w:val="both"/>
        <w:ind w:right="20" w:firstLine="399"/>
        <w:spacing w:after="0" w:line="275" w:lineRule="auto"/>
        <w:rPr>
          <w:sz w:val="20"/>
          <w:szCs w:val="20"/>
          <w:color w:val="auto"/>
        </w:rPr>
      </w:pPr>
      <w:r>
        <w:rPr>
          <w:rFonts w:ascii="Times New Roman" w:cs="Times New Roman" w:eastAsia="Times New Roman" w:hAnsi="Times New Roman"/>
          <w:sz w:val="18"/>
          <w:szCs w:val="18"/>
          <w:color w:val="auto"/>
        </w:rPr>
        <w:t>The extent of the impact of macroeconomic factors on our future liquidity and operational performance will depend on future developments and their impact on our customers' operations and our sales and renewal cycles. We may also be adversely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affected by further changes in central bank policies and fluctuations in interest rates, rates of inflation, and changes in foreign currency exchange rates. See "Risk Factors" for further discussion.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Total Test Volume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performance currently depends on the number of tests that we perform and report as completed in our CLIA-certified laboratories and the number of tests purchased by our customers, which we refer to as our reported total test volume. Factors impacting our reported total test volume include, but are not limited to:</w:t>
      </w:r>
    </w:p>
    <w:p>
      <w:pPr>
        <w:spacing w:after="0" w:line="176" w:lineRule="exact"/>
        <w:rPr>
          <w:sz w:val="20"/>
          <w:szCs w:val="20"/>
          <w:color w:val="auto"/>
        </w:rPr>
      </w:pPr>
    </w:p>
    <w:p>
      <w:pPr>
        <w:ind w:left="960" w:hanging="315"/>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samples that we receive that meet the medical indication for each test performed;</w:t>
      </w:r>
    </w:p>
    <w:p>
      <w:pPr>
        <w:spacing w:after="0" w:line="2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and quality of the sample received;</w:t>
      </w:r>
    </w:p>
    <w:p>
      <w:pPr>
        <w:spacing w:after="0" w:line="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necessary documentation, such as physician order and patient consent, required to perform, bill and collect for our tests;</w:t>
      </w:r>
    </w:p>
    <w:p>
      <w:pPr>
        <w:spacing w:after="0" w:line="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patient's ability to pay or provide necessary insurance coverage for the tests performed;</w:t>
      </w:r>
    </w:p>
    <w:p>
      <w:pPr>
        <w:spacing w:after="0" w:line="5" w:lineRule="exact"/>
        <w:rPr>
          <w:rFonts w:ascii="Times New Roman" w:cs="Times New Roman" w:eastAsia="Times New Roman" w:hAnsi="Times New Roman"/>
          <w:sz w:val="18"/>
          <w:szCs w:val="18"/>
          <w:color w:val="auto"/>
        </w:rPr>
      </w:pPr>
    </w:p>
    <w:p>
      <w:pPr>
        <w:ind w:left="960" w:hanging="315"/>
        <w:spacing w:after="0" w:line="246"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us or our customers to perform our tests and report the results, including as a result of supply chain challenges (including quality of single-source reagents);</w:t>
      </w:r>
    </w:p>
    <w:p>
      <w:pPr>
        <w:spacing w:after="0" w:line="1" w:lineRule="exact"/>
        <w:rPr>
          <w:rFonts w:ascii="Times New Roman" w:cs="Times New Roman" w:eastAsia="Times New Roman" w:hAnsi="Times New Roman"/>
          <w:sz w:val="18"/>
          <w:szCs w:val="18"/>
          <w:color w:val="auto"/>
        </w:rPr>
      </w:pPr>
    </w:p>
    <w:p>
      <w:pPr>
        <w:ind w:left="960" w:hanging="315"/>
        <w:spacing w:after="0" w:line="246"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inherent in our business, such as the impact of workdays per period, timing of industry conferences and timing of when patient deductibles are exceeded, which also impacts the reimbursement we receive from insurers;</w:t>
      </w:r>
    </w:p>
    <w:p>
      <w:pPr>
        <w:spacing w:after="0" w:line="1" w:lineRule="exact"/>
        <w:rPr>
          <w:rFonts w:ascii="Times New Roman" w:cs="Times New Roman" w:eastAsia="Times New Roman" w:hAnsi="Times New Roman"/>
          <w:sz w:val="18"/>
          <w:szCs w:val="18"/>
          <w:color w:val="auto"/>
        </w:rPr>
      </w:pPr>
    </w:p>
    <w:p>
      <w:pPr>
        <w:ind w:left="960" w:hanging="315"/>
        <w:spacing w:after="0" w:line="246"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product test kits, including as a result of higher average selling prices and overall spending constraints across our industry; and</w:t>
      </w:r>
    </w:p>
    <w:p>
      <w:pPr>
        <w:spacing w:after="0" w:line="1" w:lineRule="exact"/>
        <w:rPr>
          <w:rFonts w:ascii="Times New Roman" w:cs="Times New Roman" w:eastAsia="Times New Roman" w:hAnsi="Times New Roman"/>
          <w:sz w:val="18"/>
          <w:szCs w:val="18"/>
          <w:color w:val="auto"/>
        </w:rPr>
      </w:pPr>
    </w:p>
    <w:p>
      <w:pPr>
        <w:ind w:left="960" w:hanging="315"/>
        <w:spacing w:after="0" w:line="253"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prior authorization or meet other requirements instituted by payers, benefit managers, or regulators necessary to be paid for our tests.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Adoption of and Reimbursement for our Products</w:t>
      </w:r>
    </w:p>
    <w:p>
      <w:pPr>
        <w:spacing w:after="0" w:line="222"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Revenue growth depends on our ability to secure coverage decisions, achieve broader reimbursement from third-party payers, obtain prior authorization,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w:t>
      </w:r>
    </w:p>
    <w:p>
      <w:pPr>
        <w:spacing w:after="0" w:line="191"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Our sales teams are aligned under our general manager-based structure to focus on specific products and global markets. If we are unable to expand the base of prescribing physicians and penetration within these accounts at an acceptable rate, or if we are not able to execute our strategy for increasing reimbursement and associated collections, we may not be able to effectively increase our revenue. We expect to continue to see pressure from payers to limit the utilization of tests, generally, and we believe more payers are deploying cost containment tactics, such as requiring prior authorization, reduction of the payer portion of reimbursement and employing laboratory benefit managers to reduce utilization rates. Revenue growth also depends on our ability to secure reimbursement from government payers at a reimbursement rate that is consistent with past reimbursement rates. Changes or implementation of government regulations or reimbursement policies, including under the Protecting Access to Medicare Act of 2014, or PAMA, could result in lower reimbursement rates for our tests. Any such reductions could negatively affect our revenues and margins.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Integrating Acquisitions</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Revenue growth, operational results and advances to our test offering strategy depend on our ability to integrate any acquisitions into our existing business and effectively scale their operations. The integration of acquired assets and other strategic transactions that we may pursue may impact our revenue growth, increase the cost of operations or may require management resources that otherwise would be available for ongoing development of our existing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Product Development</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 significant aspect of our business is our investment in development activities, including activities related to the development of new tests and modifications and enhancements to our current tests, including the ongoing development of our IVD and MRD strategies. In addition to these development activities, we also perform clinical evidence studies which are critical to gaining clinician adoption of our tests, driving favorable coverage decisions by payers, as well as gaining guideline inclusion for such tests.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Recognize Revenue</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 xml:space="preserve">We recognize revenue in accordance with the provisions of the Financial Accounting Standards Board, or FASB, Accounting Standards Codification, or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4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generally bill for testing services at the time of test completion, upon delivery of a patient report to the prescribing physician. We recognize revenue based on estimates of the cash amount that will ultimately be collected.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 Actual results could differ from those estimates and assumptions. Upon ultimate collection, the amount received is compared to previous estimates and the amount accrued is adjusted accordingly.</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 Our ability to increase our testing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spacing w:after="0" w:line="185"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not positively impact accrued revenue. In addition, payer contracts generally include the right of offset and payers may offset payments prior to resolving disputes over tests performed.</w:t>
      </w:r>
    </w:p>
    <w:p>
      <w:pPr>
        <w:spacing w:after="0" w:line="16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Generally, we determine accrual rates by calculating an average of reimbursement from all payers for tests performed over a four-quarter period as it reduces the effects of temporary volatility and seasonality. The periods selected to determine accrual rates typically are at least six months old because it takes a significant period of time to collect from some payers. We may also determine accrual rates based on other factors such as coverage decisions, contracts, or more recent reimbursement data as appropriate.</w:t>
      </w:r>
    </w:p>
    <w:p>
      <w:pPr>
        <w:spacing w:after="0" w:line="18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average test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7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incur expense for tests in the period in which the test is conducted and recognize revenue for tests in the period in which our revenue recognition criteria are met.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2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Our product revenue consists primarily of sales of the Prosigna breast cancer IVD and related diagnostic kits, and services. 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to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 Revenue is presented net of the taxes that are collected from customers and remitted to governmental authorities.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Biopharmaceutical and Other Revenue</w:t>
      </w:r>
    </w:p>
    <w:p>
      <w:pPr>
        <w:spacing w:after="0" w:line="22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enter into arrangements to license or provide access to our assets or services to third parties, including clinical and testing services, research and development, as well as other services. Such arrangements may require us to deliver various rights, data, services, access and/or testing services to partner biopharmaceutical and other companies. The underlying terms of these arrangements generally provide for consideration paid to us in the form of nonrefundable fees; payments on delivery of data or test results; costs of service plus margin; performance milestone payments; expense reimbursements and possibly royalty and/or other payments. Net sales of data or other services to our customers are recognized in accordance with ASC 606 and are classified under biopharmaceutical and other revenue. Payments received that are not related to sales or services to a customer are recorded as offsets against research and development expense or cost of biopharmaceutical and other revenue in our consolidated statements of operations.</w:t>
      </w:r>
    </w:p>
    <w:p>
      <w:pPr>
        <w:spacing w:after="0" w:line="213"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arrangements involving more than one good or service delivered to a customer, each good or service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the selling price on a stand-alone basis is not available.</w:t>
      </w:r>
    </w:p>
    <w:p>
      <w:pPr>
        <w:spacing w:after="0" w:line="212"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The consideration allocated to each distinct performance obligation is recognized as revenue when control is transferred which may be at a point in time or over time.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 generated from royalties or profit sharing as the underlying sales occur.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Our Research and Development Expenses</w:t>
      </w:r>
    </w:p>
    <w:p>
      <w:pPr>
        <w:spacing w:after="0" w:line="20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deploy state-of-the-art and costly genomic technologies in our discovery and development experiments. Further, we conduct clinical studies to validate our new products, as well as on-going clinical studies to further the published evidence to support our commercialized tests. The timing of these research and development activities is difficult to predict, as is the timing of clinical trial enrollments and sample acquisitions. Therefore, spending on research and development may vary significantly by quarter depending on the timing of these various expenses.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Through September 30, 2025, we derived the majority of our revenue as testing revenue from the sale of Decipher Prostate and Afirma tests,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 for the periods presented:</w:t>
      </w:r>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30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60" w:type="dxa"/>
            <w:vAlign w:val="bottom"/>
            <w:tcBorders>
              <w:bottom w:val="single" w:sz="8" w:color="auto"/>
            </w:tcBorders>
          </w:tcPr>
          <w:p>
            <w:pPr>
              <w:spacing w:after="0"/>
              <w:rPr>
                <w:sz w:val="18"/>
                <w:szCs w:val="18"/>
                <w:color w:val="auto"/>
              </w:rPr>
            </w:pPr>
          </w:p>
        </w:tc>
      </w:tr>
      <w:tr>
        <w:trPr>
          <w:trHeight w:val="207"/>
        </w:trPr>
        <w:tc>
          <w:tcPr>
            <w:tcW w:w="402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9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Pr>
          <w:p>
            <w:pPr>
              <w:spacing w:after="0"/>
              <w:rPr>
                <w:sz w:val="18"/>
                <w:szCs w:val="18"/>
                <w:color w:val="auto"/>
              </w:rPr>
            </w:pPr>
          </w:p>
        </w:tc>
      </w:tr>
      <w:tr>
        <w:trPr>
          <w:trHeight w:val="207"/>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UnitedHealthcare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31"/>
        </w:trPr>
        <w:tc>
          <w:tcPr>
            <w:tcW w:w="40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22"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The components of our cost of testing revenue are sample collection kit costs, reagent expenses, compensation expense, license fees and royalties, depreciation, other expenses such as equipment and laboratory supplies, and allocations of facility and information technology expenses. We expect cost of testing revenue in absolute dollars to increase as the number of tests we perform increases. However, we expect that the cost per test will decrease over time due to leveraging fixed costs, efficiencies we may gain as test volume increases and process enhancements such as automation, and other cost reductions. As we introduce new tests, initially our cost per test will be high as we expect to run suboptimal batch sizes, quality control batches, test batches, registry samples, and generally incur costs that may suppress or reduce gross margins. This will disproportionately increase our aggregate cost of testing revenue until we achieve processing efficiencies.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Our cost of product revenue consists primarily of costs of diagnostic kit components and reagents, labor, delivery costs and royalties for licensed technologies included in our products. Subsequent to the restructuring proceedings affecting Veracyte SAS in August 2025, these costs are paid to a third-party contract manufacturer. As our Prosigna test kits are sold in various configurations with different numbers of tests, our product cost per test will continue to vary based on the specific kit configuration purchased by customers.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Biopharmaceutical and Other Revenue</w:t>
      </w:r>
    </w:p>
    <w:p>
      <w:pPr>
        <w:spacing w:after="0" w:line="22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Our cost of biopharmaceutical and other revenue consists of costs of performing activities under arrangements that require us to license or provide access to our assets or laboratory testing services, as well as cost incurred in providing contracted research and development and manufacturing activities. These costs are mainly composed of compensation, manufacturing and laboratory supplies, and pass-through costs. Subsequent to the to the restructuring proceedings affecting Veracyte SAS in August 2025, Veracyte SAS will no longer perform biopharmaceutical services, and contract manufacturing and development services.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 - Cost of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finite-lived intangible assets, acquired in business combinations, are being amortized over 10 to 15 years, using the straight-line method. Intangible asset amortization - cost of revenue includes amortization of finite-lived intangible assets related to developed and product technology utilized in our current product and service offerings and customer backlog.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include expenses incurred to collect clinical samples and conduct clinical studies to develop and support our products and pipeline, as well as develop future technology. These expenses consist of compensation expenses, direct research and development expenses such as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incurred a majority of our research and development expenses in the nine months ended September 30, 2025 and the year ended December 31, 2024 in support of our early-stage products, including Percepta Nasal Swab, support for the development and validation of our MRD tests, and the development of new IVD products and discovery. Going forward, we expect to incur significant expense as we invest in the continued development of our innovation engine, early-stage products including our MRD tests, required clinical studies and the development of current IVD tests.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Selling and marketing expenses consist of compensation expenses, direct marketing expenses, professional fees, other expenses such as travel and communications costs, as well as allocation of facility and information technology expenses. Our sales team of approximately 110 representatives is organized by business unit in the U.S., with separate teams calling on thyroid cancer and urologic cancer physicians. The business units have dedicated marketing support, as well as a marketing operations team that serves the commercial organization broadly. Prosigna sales outside of the U.S. are led by country managers and sales teams that call on laboratories and breast cancer oncologists.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2"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acquisition related costs and miscellaneous expenses, offset by allocation of facility and information technology expenses to other functions. We expect general and administrative expenses to continue to increase as we build our infrastructure to scale revenue growth, and to decline as a percentage of revenue thereafter.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 - Operating Expenses</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finite-lived intangible assets, acquired in business combinations, are being amortized over 5 to 15 years, using the straight-line method. Intangible asset amortization - operating expenses includes amortization of finite-lived intangible assets related to developed technology utilized in the development of future product and service offerings, trade names and customer relationships.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22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Other income (loss), net consists primarily of interest income from our cash held in interest bearing accounts, realized and unrealized gains and losses on foreign currency transactions and loss on the deconsolidation of Veracyte SAS.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and nine months ended September 30, 2025 and 2024 (in thousands of dollars, except percentages and test volume):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80" w:type="dxa"/>
            <w:vAlign w:val="bottom"/>
            <w:gridSpan w:val="10"/>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920" w:type="dxa"/>
            <w:vAlign w:val="bottom"/>
            <w:gridSpan w:val="9"/>
          </w:tcPr>
          <w:p>
            <w:pPr>
              <w:ind w:left="520"/>
              <w:spacing w:after="0"/>
              <w:rPr>
                <w:sz w:val="20"/>
                <w:szCs w:val="20"/>
                <w:color w:val="auto"/>
              </w:rPr>
            </w:pPr>
            <w:r>
              <w:rPr>
                <w:rFonts w:ascii="Times New Roman" w:cs="Times New Roman" w:eastAsia="Times New Roman" w:hAnsi="Times New Roman"/>
                <w:sz w:val="16"/>
                <w:szCs w:val="16"/>
                <w:b w:val="1"/>
                <w:bCs w:val="1"/>
                <w:color w:val="auto"/>
                <w:w w:val="99"/>
              </w:rPr>
              <w:t>Nine Months Ended September 30,</w:t>
            </w:r>
          </w:p>
        </w:tc>
        <w:tc>
          <w:tcPr>
            <w:tcW w:w="660" w:type="dxa"/>
            <w:vAlign w:val="bottom"/>
          </w:tcPr>
          <w:p>
            <w:pPr>
              <w:spacing w:after="0"/>
              <w:rPr>
                <w:sz w:val="18"/>
                <w:szCs w:val="18"/>
                <w:color w:val="auto"/>
              </w:rPr>
            </w:pPr>
          </w:p>
        </w:tc>
      </w:tr>
      <w:tr>
        <w:trPr>
          <w:trHeight w:val="207"/>
        </w:trPr>
        <w:tc>
          <w:tcPr>
            <w:tcW w:w="37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gridSpan w:val="2"/>
          </w:tcPr>
          <w:p>
            <w:pPr>
              <w:jc w:val="cente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Borders>
              <w:top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207"/>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0"/>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Testing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127,756</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18,220</w:t>
            </w:r>
          </w:p>
        </w:tc>
        <w:tc>
          <w:tcPr>
            <w:tcW w:w="8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357,328</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306,809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16%</w:t>
            </w:r>
          </w:p>
        </w:tc>
      </w:tr>
      <w:tr>
        <w:trPr>
          <w:trHeight w:val="215"/>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revenue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8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(1)%</w:t>
            </w:r>
          </w:p>
        </w:tc>
      </w:tr>
      <w:tr>
        <w:trPr>
          <w:trHeight w:val="210"/>
        </w:trPr>
        <w:tc>
          <w:tcPr>
            <w:tcW w:w="3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880" w:type="dxa"/>
            <w:vAlign w:val="bottom"/>
            <w:tcBorders>
              <w:bottom w:val="single" w:sz="8" w:color="CCEEFF"/>
            </w:tcBorders>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w:t>
            </w:r>
          </w:p>
        </w:tc>
      </w:tr>
      <w:tr>
        <w:trPr>
          <w:trHeight w:val="208"/>
        </w:trPr>
        <w:tc>
          <w:tcPr>
            <w:tcW w:w="3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131,872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115,860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16,012</w:t>
            </w:r>
          </w:p>
        </w:tc>
        <w:tc>
          <w:tcPr>
            <w:tcW w:w="88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376,509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5"/>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testing revenue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w:t>
            </w:r>
          </w:p>
        </w:tc>
        <w:tc>
          <w:tcPr>
            <w:tcW w:w="88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14%</w:t>
            </w:r>
          </w:p>
        </w:tc>
      </w:tr>
      <w:tr>
        <w:trPr>
          <w:trHeight w:val="210"/>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8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w w:val="99"/>
              </w:rPr>
              <w:t>(2)%</w:t>
            </w:r>
          </w:p>
        </w:tc>
      </w:tr>
      <w:tr>
        <w:trPr>
          <w:trHeight w:val="215"/>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88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(25)%</w:t>
            </w:r>
          </w:p>
        </w:tc>
      </w:tr>
      <w:tr>
        <w:trPr>
          <w:trHeight w:val="210"/>
        </w:trPr>
        <w:tc>
          <w:tcPr>
            <w:tcW w:w="3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80" w:type="dxa"/>
            <w:vAlign w:val="bottom"/>
            <w:tcBorders>
              <w:bottom w:val="single" w:sz="8" w:color="CCEEFF"/>
            </w:tcBorders>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center"/>
              <w:ind w:right="100"/>
              <w:spacing w:after="0"/>
              <w:rPr>
                <w:sz w:val="20"/>
                <w:szCs w:val="20"/>
                <w:color w:val="auto"/>
              </w:rPr>
            </w:pPr>
            <w:r>
              <w:rPr>
                <w:rFonts w:ascii="Times New Roman" w:cs="Times New Roman" w:eastAsia="Times New Roman" w:hAnsi="Times New Roman"/>
                <w:sz w:val="16"/>
                <w:szCs w:val="16"/>
                <w:color w:val="auto"/>
                <w:w w:val="99"/>
              </w:rPr>
              <w:t>(9)%</w:t>
            </w:r>
          </w:p>
        </w:tc>
      </w:tr>
      <w:tr>
        <w:trPr>
          <w:trHeight w:val="208"/>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cost of revenue</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88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115,950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107,741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8%</w:t>
            </w:r>
          </w:p>
        </w:tc>
      </w:tr>
      <w:tr>
        <w:trPr>
          <w:trHeight w:val="204"/>
        </w:trPr>
        <w:tc>
          <w:tcPr>
            <w:tcW w:w="3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91,282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79,010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12,272</w:t>
            </w:r>
          </w:p>
        </w:tc>
        <w:tc>
          <w:tcPr>
            <w:tcW w:w="880" w:type="dxa"/>
            <w:vAlign w:val="bottom"/>
            <w:tcBorders>
              <w:bottom w:val="single" w:sz="8" w:color="CCEEFF"/>
            </w:tcBorders>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260,559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219,391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41,168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center"/>
              <w:ind w:right="120"/>
              <w:spacing w:after="0"/>
              <w:rPr>
                <w:sz w:val="20"/>
                <w:szCs w:val="20"/>
                <w:color w:val="auto"/>
              </w:rPr>
            </w:pPr>
            <w:r>
              <w:rPr>
                <w:rFonts w:ascii="Times New Roman" w:cs="Times New Roman" w:eastAsia="Times New Roman" w:hAnsi="Times New Roman"/>
                <w:sz w:val="16"/>
                <w:szCs w:val="16"/>
                <w:color w:val="auto"/>
              </w:rPr>
              <w:t>19%</w:t>
            </w:r>
          </w:p>
        </w:tc>
      </w:tr>
      <w:tr>
        <w:trPr>
          <w:trHeight w:val="19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10"/>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88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88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8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12%</w:t>
            </w:r>
          </w:p>
        </w:tc>
      </w:tr>
      <w:tr>
        <w:trPr>
          <w:trHeight w:val="215"/>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assets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8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(100)%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3240%</w:t>
            </w:r>
          </w:p>
        </w:tc>
      </w:tr>
      <w:tr>
        <w:trPr>
          <w:trHeight w:val="210"/>
        </w:trPr>
        <w:tc>
          <w:tcPr>
            <w:tcW w:w="3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operating expenses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880" w:type="dxa"/>
            <w:vAlign w:val="bottom"/>
            <w:tcBorders>
              <w:bottom w:val="single" w:sz="8" w:color="CCEEFF"/>
            </w:tcBorders>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(29)%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center"/>
              <w:ind w:right="100"/>
              <w:spacing w:after="0"/>
              <w:rPr>
                <w:sz w:val="20"/>
                <w:szCs w:val="20"/>
                <w:color w:val="auto"/>
              </w:rPr>
            </w:pPr>
            <w:r>
              <w:rPr>
                <w:rFonts w:ascii="Times New Roman" w:cs="Times New Roman" w:eastAsia="Times New Roman" w:hAnsi="Times New Roman"/>
                <w:sz w:val="16"/>
                <w:szCs w:val="16"/>
                <w:color w:val="auto"/>
                <w:w w:val="99"/>
              </w:rPr>
              <w:t>(25)%</w:t>
            </w:r>
          </w:p>
        </w:tc>
      </w:tr>
      <w:tr>
        <w:trPr>
          <w:trHeight w:val="208"/>
        </w:trPr>
        <w:tc>
          <w:tcPr>
            <w:tcW w:w="3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68,336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88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239,977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207,424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16%</w:t>
            </w:r>
          </w:p>
        </w:tc>
      </w:tr>
      <w:tr>
        <w:trPr>
          <w:trHeight w:val="20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10,929</w:t>
            </w:r>
          </w:p>
        </w:tc>
        <w:tc>
          <w:tcPr>
            <w:tcW w:w="8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72%</w:t>
            </w:r>
          </w:p>
        </w:tc>
      </w:tr>
      <w:tr>
        <w:trPr>
          <w:trHeight w:val="21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(loss), net</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(8,888)</w:t>
            </w:r>
          </w:p>
        </w:tc>
        <w:tc>
          <w:tcPr>
            <w:tcW w:w="88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(184)%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(32)%</w:t>
            </w:r>
          </w:p>
        </w:tc>
      </w:tr>
      <w:tr>
        <w:trPr>
          <w:trHeight w:val="20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8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w:t>
            </w:r>
          </w:p>
        </w:tc>
        <w:tc>
          <w:tcPr>
            <w:tcW w:w="88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5"/>
              </w:rPr>
              <w:t>(115)%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(28)%</w:t>
            </w:r>
          </w:p>
        </w:tc>
      </w:tr>
      <w:tr>
        <w:trPr>
          <w:trHeight w:val="208"/>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19,137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3,982</w:t>
            </w:r>
          </w:p>
        </w:tc>
        <w:tc>
          <w:tcPr>
            <w:tcW w:w="8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25,204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19,025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32%</w:t>
            </w: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r>
      <w:tr>
        <w:trPr>
          <w:trHeight w:val="20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Operating Data:</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Diagnostic tests reported</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6,887</w:t>
            </w:r>
          </w:p>
        </w:tc>
        <w:tc>
          <w:tcPr>
            <w:tcW w:w="8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tests sold</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8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(5)%</w:t>
            </w:r>
          </w:p>
        </w:tc>
      </w:tr>
      <w:tr>
        <w:trPr>
          <w:trHeight w:val="208"/>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test volume</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45,888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39,032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6,856</w:t>
            </w:r>
          </w:p>
        </w:tc>
        <w:tc>
          <w:tcPr>
            <w:tcW w:w="8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131,509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111,479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r>
      <w:tr>
        <w:trPr>
          <w:trHeight w:val="233"/>
        </w:trPr>
        <w:tc>
          <w:tcPr>
            <w:tcW w:w="3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5,267</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88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16,117</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w w:val="99"/>
              </w:rPr>
              <w:t>(6)%</w:t>
            </w:r>
          </w:p>
        </w:tc>
      </w:tr>
      <w:tr>
        <w:trPr>
          <w:trHeight w:val="21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88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23%</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0"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Revenue increased $16.0 million for the three months ended September 30, 2025 compared to the same period in 2024. This was primarily due to a $18.2 million increase in testing revenue partially offset by a $2.3 million decrease in our biopharmaceutical and other revenue. The $2.3 million decrease was due to continued decline in the biopharma business conducted in France and the ultimate deconsolidation of Veracyte SAS in August 2025. The 17% growth in testing revenue was primarily driven by a 19% volume increase, partially offset by lower prior period collections compared to the prior year period.</w:t>
      </w:r>
    </w:p>
    <w:p>
      <w:pPr>
        <w:spacing w:after="0" w:line="191"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Revenue increased $49.4 million for the nine months ended September 30, 2025 compared to the same period in 2024. This was primarily due to a $50.5 million increase in testing revenue and a $1.0 million decrease in our biopharmaceutical and other revenue. The 16% growth in testing revenue was primarily driven by a 20% volume increase, partially offset by lower prior period collections compared to the prior year and the decision to stop marketing Envisia. The Biopharmaceutical and other revenue decrease was driven primarily by a continued decline in biopharmaceutical services, as well as contract development and manufacturing services projects as a result of the restructuring proceedings affecting Veracyte SAS that were underway throughout 2025.</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ind w:right="2240" w:firstLine="399"/>
        <w:spacing w:after="0" w:line="508" w:lineRule="auto"/>
        <w:rPr>
          <w:sz w:val="20"/>
          <w:szCs w:val="20"/>
          <w:color w:val="auto"/>
        </w:rPr>
      </w:pPr>
      <w:r>
        <w:rPr>
          <w:rFonts w:ascii="Times New Roman" w:cs="Times New Roman" w:eastAsia="Times New Roman" w:hAnsi="Times New Roman"/>
          <w:sz w:val="18"/>
          <w:szCs w:val="18"/>
          <w:color w:val="auto"/>
        </w:rPr>
        <w:t xml:space="preserve">Product revenue was flat for the three and nine months ended September 30, 2025 compared to the same periods in 2024. </w:t>
      </w:r>
      <w:r>
        <w:rPr>
          <w:rFonts w:ascii="Times New Roman" w:cs="Times New Roman" w:eastAsia="Times New Roman" w:hAnsi="Times New Roman"/>
          <w:sz w:val="18"/>
          <w:szCs w:val="18"/>
          <w:i w:val="1"/>
          <w:iCs w:val="1"/>
          <w:color w:val="auto"/>
        </w:rPr>
        <w:t>Cost of revenue</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and nine months ended September 30, 2025 and 2024 is as follows (in thousands of dollars, except percentages):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9"/>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9"/>
          </w:tcPr>
          <w:p>
            <w:pPr>
              <w:ind w:left="5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4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4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7"/>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testing revenue:</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Laboratory supplies and reagents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2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43,134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39,131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Sample collection expense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0"/>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Cytopathology services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10"/>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33"/>
        </w:trPr>
        <w:tc>
          <w:tcPr>
            <w:tcW w:w="3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94,444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82,928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Cost of product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costs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0"/>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0"/>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13"/>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8"/>
        </w:trPr>
        <w:tc>
          <w:tcPr>
            <w:tcW w:w="3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33"/>
        </w:trPr>
        <w:tc>
          <w:tcPr>
            <w:tcW w:w="3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7,959</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8,741</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Cost of testing revenue increased $4.7 million, or 16%, for the three months ended September 30, 2025 compared to the same period in 2024. The increase in cost of testing revenue was due to increased volume in testing, higher staffing to support higher volume and the build out of infrastructure related to current and future growth expectations, primarily related to Decipher Prostate and Afirma tests, partially offset by lab efficiencies.</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Cost of testing revenue increased $11.5 million, or 14%, for the nine months ended September 30, 2025 compared to the same period in 2024. The increase in cost of testing revenue was due to increased volume in testing, higher staffing to support higher volume and the build out of infrastructure related to current and future growth expectations, primarily related to Decipher Prostate and Afirma tests, partially offset by lab efficiencies.</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Cost of product revenue increased $1.2 million, or 68%, for the three months ended September 30, 2025 and decreased $0.1 million, or 2%, for the nine months ended September 30, 2025 compared to the same periods in 2024. The increase for the three months ended September 30, 2025 is primarily related to one-time start-up costs associated with our new contract manufacturer of Prosigna kits.</w:t>
      </w:r>
    </w:p>
    <w:p>
      <w:pPr>
        <w:spacing w:after="0" w:line="20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Cost of biopharmaceutical and other revenue includes labor costs, laboratory supplies and pass-through expenses incurred. Cost of biopharmaceutical and other revenue for the three and nine months ended September 30, 2025 decreased by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$2.0 million and $2.4 million, respectively, compared to the same periods in 2024, driven primarily by a continued decline in biopharmaceutical services, as well as contract development and manufacturing services projects as a result of the restructuring proceedings affecting Veracyte SAS that were underway throughout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and nine months ended September 30, 2025 and 2024 is as follows (in thousands of dollars, except percentages):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9"/>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9"/>
          </w:tcPr>
          <w:p>
            <w:pPr>
              <w:ind w:left="5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00" w:type="dxa"/>
            <w:vAlign w:val="bottom"/>
            <w:tcBorders>
              <w:bottom w:val="single" w:sz="8" w:color="auto"/>
            </w:tcBorders>
          </w:tcPr>
          <w:p>
            <w:pPr>
              <w:spacing w:after="0"/>
              <w:rPr>
                <w:sz w:val="18"/>
                <w:szCs w:val="18"/>
                <w:color w:val="auto"/>
              </w:rPr>
            </w:pPr>
          </w:p>
        </w:tc>
      </w:tr>
      <w:tr>
        <w:trPr>
          <w:trHeight w:val="207"/>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6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7"/>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10"/>
        </w:trPr>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27,840</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15"/>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 research and development expense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0"/>
        </w:trPr>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15"/>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10"/>
        </w:trPr>
        <w:tc>
          <w:tcPr>
            <w:tcW w:w="3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33"/>
        </w:trPr>
        <w:tc>
          <w:tcPr>
            <w:tcW w:w="3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r>
    </w:tbl>
    <w:p>
      <w:pPr>
        <w:spacing w:after="0" w:line="30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decreased $1.6 million, or 9%, for the three months ended September 30, 2025 compared to the same period in 2024. The decrease was primarily due the deconsolidation of Veracyte SAS and the timing of direct research and product development expense related to our on-going development costs for our IVD and MRD strategies, partially offset by increased headcount expenses.</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for the nine months ended September 30, 2025 was unchanged compared to the same period in 2024. A decrease due to the timing of spend related to direct research and product development expense related to our on-going development costs for our U.S. CLIA, IVD and MRD strategies was offset by increases in annual compensation expense and our allocated costs from general and administrative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and nine months ended September 30, 2025 and 2024 is as follows (in thousands of dollars, except percentages):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9"/>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9"/>
          </w:tcPr>
          <w:p>
            <w:pPr>
              <w:ind w:left="5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20" w:type="dxa"/>
            <w:vAlign w:val="bottom"/>
            <w:tcBorders>
              <w:bottom w:val="single" w:sz="8" w:color="auto"/>
            </w:tcBorders>
          </w:tcPr>
          <w:p>
            <w:pPr>
              <w:spacing w:after="0"/>
              <w:rPr>
                <w:sz w:val="18"/>
                <w:szCs w:val="18"/>
                <w:color w:val="auto"/>
              </w:rPr>
            </w:pPr>
          </w:p>
        </w:tc>
      </w:tr>
      <w:tr>
        <w:trPr>
          <w:trHeight w:val="207"/>
        </w:trPr>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2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7"/>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marketing expense:</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0"/>
        </w:trPr>
        <w:tc>
          <w:tcPr>
            <w:tcW w:w="3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16,977</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52,214</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50,517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15"/>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 marketing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3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3"/>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08"/>
        </w:trPr>
        <w:tc>
          <w:tcPr>
            <w:tcW w:w="3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24,455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22,612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74,225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70,610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0"/>
        </w:trPr>
        <w:tc>
          <w:tcPr>
            <w:tcW w:w="3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Selling and marketing expense increased $1.8 million, or 8%, for the three months ended September 30, 2025 compared to the same period in 2024. The increase in compensation expense was primarily related to annual merit increases and headcount additions. Further, there was an increase in allocated costs from general and administrative expenses.</w:t>
      </w:r>
    </w:p>
    <w:p>
      <w:pPr>
        <w:spacing w:after="0" w:line="20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Selling and marketing expense increased $3.6 million, or 5%, for the nine months ended September 30, 2025 compared to the same period in 2024. The increase was primarily due to annual merit increases and headcount additions offset in part by the reduction of Envisia sales support and associated restructuring costs. Direct marketing expense decreased primarily due to the timing of trade show events. Further, there was an increase in allocated costs from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and nine months ended September 30, 2025 and 2024 is as follows (in thousands of dollars, except percentages):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9"/>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9"/>
          </w:tcPr>
          <w:p>
            <w:pPr>
              <w:ind w:left="5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6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7"/>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20,688</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62,121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59,824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15"/>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fees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10"/>
        </w:trPr>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Information technology expense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15"/>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Occupancy costs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10"/>
        </w:trPr>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Revaluation of acquisition-related contingent</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13"/>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consideration</w:t>
            </w: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08"/>
        </w:trPr>
        <w:tc>
          <w:tcPr>
            <w:tcW w:w="3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27,278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25,742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93,417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83,697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 increased by $1.5 million for the three months ended September 30, 2025, compared to the same period in 2024. The results were impacted primarily by an increase in stock-based compensation and professional fees, related to the Veracyte SAS collective proceedings petition filing, as well as information technology expense increases related to our cloud infrastructure and software development investments. These increases were offset by a favorable legal settlement associated with a vendor dispute. General and administrative expenses related to occupancy costs and information technology costs are allocated to general and administrative expense, selling and marketing expense, research and development expense, and cost of revenue based on the number of employees by location.</w:t>
      </w:r>
    </w:p>
    <w:p>
      <w:pPr>
        <w:spacing w:after="0" w:line="21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 increased by $9.7 million for the nine months ended September 30, 2025, compared to the same period in 2024. The results were impacted primarily by an increase of $8.6 million in professional fees related to the Veracyte SAS collective proceedings petition filing, as well as information technology expense increases related to our cloud infrastructure and software development investments. Compensation expense increased primarily due to annual merit increases, additional headcount and higher stock-based compensation and was partially offset by the prior year expense related to the voluntary exits related to our Veracyte SAS employees. These increases were offset by reductions in the revaluation of contingent consideration related to the acquisitions of C2i and nCounter diagnostic rights and the impact of the deconsolidation of Veracyte SAS. General and administrative expenses related to occupancy costs and information technology costs are allocated to general and administrative expense, selling and marketing expense, research and development expense, and cost of revenue based on the headcount and employee location.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assets</w:t>
      </w:r>
    </w:p>
    <w:p>
      <w:pPr>
        <w:spacing w:after="0" w:line="247"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On July 16, 2025, the Marseille Commercial Court published a decision approving the divestiture of the contract manufacturing portion of our French subsidiary, Veracyte SAS, to Helio Diagnostics SAS, effective August 1, 2025. The remaining assets of Veracyte SAS will be managed by the judicial administrator until such time that the Marseille Commercial Court appoints a judicial liquidator to solely initiate and manage liquidation proceedings. Effective August 1, 2025, we ceased to have a controlling interest in Veracyte SAS. As we began judicial restructuring proceedings affecting Veracyte SAS with the Marseille Commercial Court in the second quarter of 2025, we evaluated whether the associated assets of Veracyte SAS were impaired. We concluded, during the second quarter of 2025, that the long-lived assets of the Veracyte SAS asset group were not recoverable. As a result, we recorded a $20.5 million non-cash impairment charge during the three months ended June 30, 2025. The impairment related primarily to the Company's right-of-use assets; property, plant, and equipment; and certain tax credits.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Other income, net, decreased $8.9 million for the three months ended September 30, 2025 compared to the same period in 2024, primarily due to a loss of $6.7 million due to the deconsolidation of Veracyte SAS and a decrease of $2.3 million due to foreign currency revaluation, partially offset by an increase of $0.6 million from interest income.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Other income, net, decreased $3.3 million for the nine months ended September 30, 2025 compared to the same period in 2024, primarily due to a loss of $6.7 million due to the deconsolidation of Veracyte SAS, partially offset by an increase of $3.3 million due to foreign currency revaluation and an increase of $0.9 million from interest income.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recorded income tax benefit of $0.2 million and expense of $1.7 million for the three months ended September 30, 2025 and 2024, respectively, and recorded income tax expense of $2.4 million and $3.3 million for the nine months ended September 30, 2025 and 2024, respectively.</w:t>
      </w:r>
    </w:p>
    <w:p>
      <w:pPr>
        <w:spacing w:after="0" w:line="19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Given our current earnings, we believe that, within the next two years, sufficient positive evidence may become available to allow us to reach a conclusion that a portion of the valuation allowance recorded against the deferred tax assets held may be reversed. A reversal would result in an income tax benefit for the quarterly and annual period in which we determine to release the valuation allowance. However, the exact timing and amount of a valuation allowance release are subject to change on the basis of the level of profitability that we actually achieve.</w:t>
      </w:r>
    </w:p>
    <w:p>
      <w:pPr>
        <w:spacing w:after="0" w:line="20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or the OBBBA, which includes numerous changes to existing tax law including extending or making permanent certain business and international tax measures initially established under the 2017 Tax Cuts and Jobs Act, which were set to expire. The OBBBA permanently eliminates the requirement to capitalize and amortize U.S.-based research and experimental expenditures over five years, making these expenditures fully deductible in the period incurred. The OBBBA also permanently extends the full expensing of qualifying assets through accelerated bonus depreciation in the period acquired. The OBBBA has multiple effective dates, with certain provisions effective in 2025 and others to be implemented through 2027. The enactment of certain provisions in the period ending September 30, 2025 resulted in a reduction of current income tax liabilities and a corresponding reduction to income tax expense.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As of September 30, 2025, we had cash and cash equivalents and short-term investments of $366.4 million. During the nine months ended September 30, 2025, our cash and cash equivalents and short-term investments increased by $77.0 million. Historically, we have obtained financing primarily through sales of our equity securities. Beginning in 2023, our operations have been financed primarily by cash flows generated by our revenue. For the nine months ended September 30, 2025, we had net income of $25.2 million, but we may not sustain profitability in the future. As of September 30, 2025, we had an accumulated deficit of $418.8 million.</w:t>
      </w:r>
    </w:p>
    <w:p>
      <w:pPr>
        <w:spacing w:after="0" w:line="212"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We expect to continue to generate cash and our near- and longer-term liquidity requirements will continue to consist of costs to run our laboratories, research and development expenses, selling and marketing expenses, general and administrative expenses, working capital, capital expenditures, lease obligations, potential milestones associated with the C2i Acquisition, and general corporate expenses associated with the growth of our business. However, we may also use cash to acquire or invest in complementary businesses, technologies, services or products that would change our cash requirements. If we are not able to generate cash flows from our revenue to finance our cash requirements, we will need to finance future cash needs primarily through public or private equity offerings, debt financings, borrowings or strategic collaborations or licensing arrangements. If we are not able to secure additional financing when needed, or on terms that are favorable to us,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 Moreover, any instability in the global credit markets or the banking system may impact our liquidity both in the short term and long term.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material cash requirements include the following obligations: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4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lease office and laboratory facilities in the U.S., including in South San Francisco and San Diego, California and Austin, Texas, and lease certain equipment under various non-cancelable lease agreements. Effective August 2025, in connection with the restructuring proceeding in Veracyte SAS, we are no longer a party to the lease in Marseille, France. The lease terms of our leases as of September 30, 2025 extend to March 2040 and contain extension of lease term and expansion options. As of September 30, 2025, the leases have a weighted average remaining lease term of 11.3 years and total future minimum lease payments of $74.7 million.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Contingent Consideration</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C2i Acquisition Contingent Consideration</w:t>
      </w:r>
    </w:p>
    <w:p>
      <w:pPr>
        <w:spacing w:after="0" w:line="24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Pursuant to the Agreement and Plan of Merger, dated as of January 5, 2024, by and among the Company, C2i, Canary Merger Sub I, Inc., a Delaware corporation and wholly owned subsidiary of the Company, Veracyte Diagnostics, LLC, a Delaware limited liability company and a wholly owned subsidiary of the Company, and Fortis Advisors LLC, as the C2i securityholders’ agent, or the Merger Agreement, we may be required to pay to certain noteholders of C2i up to an additional $16.0 million in cash or shares of our common stock, at our election, upon the achievement of certain milestones. During the nine months ended September 30, 2025, one of the milestones was achieved resulting in the payment of $0.7 million. As of September 30, 2025, we expect to potentially achieve a portion of all of the remaining milestones contained in the Merger Agreement within the next 12 months, requiring payments totaling up to $16.0 million.</w:t>
      </w: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nCounter Analysis System Acquisition Contingent Consideration</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As part of our agreement to acquire the exclusive global diagnostic license to the nCounter Analysis System, we may be required to pay up to an additional $10.0 million in cash, contingent upon first achievement or occurrence, by us or on our behalf, of the commercial launch of the first, second and third diagnostic tests for use on the nCounter multiplex analysis system. As of September 30, 2025, the achievement of one of the milestones is forecasted to occur within the next 12 months, requiring payments totaling $3.5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2025 and 2024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20" w:type="dxa"/>
            <w:vAlign w:val="bottom"/>
            <w:tcBorders>
              <w:bottom w:val="single" w:sz="8" w:color="auto"/>
            </w:tcBorders>
          </w:tcPr>
          <w:p>
            <w:pPr>
              <w:spacing w:after="0"/>
              <w:rPr>
                <w:sz w:val="18"/>
                <w:szCs w:val="18"/>
                <w:color w:val="auto"/>
              </w:rPr>
            </w:pPr>
          </w:p>
        </w:tc>
      </w:tr>
      <w:tr>
        <w:trPr>
          <w:trHeight w:val="207"/>
        </w:trPr>
        <w:tc>
          <w:tcPr>
            <w:tcW w:w="73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r>
      <w:tr>
        <w:trPr>
          <w:trHeight w:val="207"/>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20" w:type="dxa"/>
            <w:vAlign w:val="bottom"/>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83,724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50,572</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2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(3,779)</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w:t>
            </w: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(4,073)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9,414</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47" w:lineRule="exact"/>
        <w:rPr>
          <w:sz w:val="20"/>
          <w:szCs w:val="20"/>
          <w:color w:val="auto"/>
        </w:rPr>
      </w:pPr>
    </w:p>
    <w:p>
      <w:pPr>
        <w:jc w:val="both"/>
        <w:ind w:firstLine="399"/>
        <w:spacing w:after="0" w:line="267" w:lineRule="auto"/>
        <w:rPr>
          <w:sz w:val="20"/>
          <w:szCs w:val="20"/>
          <w:color w:val="auto"/>
        </w:rPr>
      </w:pPr>
      <w:r>
        <w:rPr>
          <w:rFonts w:ascii="Times New Roman" w:cs="Times New Roman" w:eastAsia="Times New Roman" w:hAnsi="Times New Roman"/>
          <w:sz w:val="17"/>
          <w:szCs w:val="17"/>
          <w:color w:val="auto"/>
        </w:rPr>
        <w:t>Cash provided by operating activities for the nine months ended September 30, 2025 was $83.7 million. Our net income of $25.2 million includes non-cash charges of $32.7 million of stock-based compensation expense, $16.1 million of depreciation and amortization, of which $9.8 million was related to intangible asset amortization, $20.5 million tied to the impairment of assets, $3.9 million loss on the deconsolidation of Veracyte SAS, non-cash lease expense of $2.3 million, non-cash gains of $2.7 million from the revaluation of contingent consideration, $3.8 million from the effect of foreign currency changes on operations and amortization of discount on short-term investments of $2.6 million. Cash used as a result of changes in operating assets and liabilities was $7.8 million, primarily composed of an increase in prepaid expenses and other current assets of $6.4 million, an increase in accounts receivable of $3.9 million, an increase in supplies and inventory of $2.6 million, a decrease in operating lease liabilities of $1.7 million, and an increase in accounts payable of $0.5 million, partially offset by an increase in accrued liabilities and deferred revenue of $7.0 million and a decrease in other assets of $0.3 million.</w:t>
      </w:r>
    </w:p>
    <w:p>
      <w:pPr>
        <w:spacing w:after="0" w:line="175"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Cash provided by operating activities for the nine months ended September 30, 2024 was $50.6 million. Our net income of $19.0 million includes non-cash charges of $26.6 million of stock-based compensation expense, $17.2 million of depreciation and amortization, of which $11.2 million was related to intangible asset amortization, and the remainder was due to a non-cash lease expense of $3.6 million. Cash used as a result of changes in operating assets and liabilities was $17.1 million, primarily composed of an increase in accounts receivable of $8.4 million, an increase in supplies and inventory of $4.2 million, a decrease in operating lease liability of $3.9 million, a decrease in accounts payable of $3.0 million, and an increase in other assets of $1.7 million, partially offset by a decrease in accrued liabilities and deferred revenue of $3.9 million.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2025 was $3.8 million, consisting of $5.9 million used in the purchase of property, plant and equipment, partially offset by net proceeds of $2.1 million from the purchase and maturity of short-term investments.</w:t>
      </w:r>
    </w:p>
    <w:p>
      <w:pPr>
        <w:spacing w:after="0" w:line="19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2024 was $2.1 million, consisting of $7.1 million used in the purchase of property, plant and equipment, partially offset by $5.0 million net cash acquired from C2i excluding post-close transactions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for the nine months ended September 30, 2025 was $4.1 million, consisting of $14.6 million in tax payments during the period related to the vesting of restricted stock units granted to employees, partially offset by $10.6 million in proceeds from the exercise of options to purchase our common stock and the purchase of stock under our Employee Stock Purchase Plan, or ESPP.</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2024 was $9.4 million, consisting of $16.7 million in proceeds from the exercise of options to purchase our common stock and the purchase of stock under our ESPP, partially offset by $7.3 million in tax payments during the period related to the vesting of restricted stock units granted to employees.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1, Organization, Description of Business and Summary of Significant Accounting Policies, in the notes to our condensed consolidated financial statements included elsewhere in this report.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7"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GAAP. The preparation of the condensed consolidated financial statements requires us to make estimates and assumptions that affect the reported amounts of assets and liabilities and the disclosure of contingent liabilities at the date of the condensed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in our Annual Report are critical to understanding our historical and future performance, as these policies relate to the more significant areas involving management's judgments and estimates. There have been no material changes to our critical accounting policies and estimates as compared to the critical accounting policies and estimates disclosed in our Annual Report.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4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We had cash and cash equivalents and short-term investments of $366.4 million as of September 30, 2025 which consisted of bank deposits, money market funds and United States treasury securities. Such interest-bearing instruments carry a degree of risk; however, a hypothetical 10% change in interest rates during any of the periods presented would not have had a material impact on our condensed consolidated financial statements. This analysis is based on a sensitivity model that measures market value changes when changes in interest rates occur. Any realized gains or losses resulting from such interest rate changes and from the current unrealized gains or losses would only occur if we sold the investments prior to maturity. We do not enter into investments for trading purposes and have not used any derivative financial instruments to manage our interest rate risk exposure.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4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As of September 30, 2025 we held $1.0 million of bank deposits denominated in Euros. Such Euro denominated deposits carry a degree of risk from changes in currency exchange rates as the gains or losses from changes in exchange rates are included in our net income and comprehensive income (loss). As of September 30, 2025 a hypothetical 10% appreciation or depreciation of the U.S. dollar relative to the Euro would not have had a material impact on our condensed consolidated financial statements. At this time, we have not entered into, but in the future we may enter into, derivatives or other financial instruments in an attempt to hedge our foreign currency risk.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are facing inflation headwinds in compensation, travel, supply and inventory costs. However, we do not believe that inflation has had a material effect on our business, financial condition, or operating results to date.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4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Exchange Act, which are designed to provide reasonable assurance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Management recognized that disclosure controls and procedures, no matter how well designed and operated, can provide only reasonable, not absolute, assurance of achieving their objectives, and management necessarily applies its judgment in evaluating the cost-benefit relationship of possible disclosure controls and procedures.</w:t>
      </w:r>
    </w:p>
    <w:p>
      <w:pPr>
        <w:spacing w:after="0" w:line="213" w:lineRule="exact"/>
        <w:rPr>
          <w:sz w:val="20"/>
          <w:szCs w:val="20"/>
          <w:color w:val="auto"/>
        </w:rPr>
      </w:pPr>
    </w:p>
    <w:p>
      <w:pPr>
        <w:jc w:val="both"/>
        <w:ind w:right="20" w:firstLine="399"/>
        <w:spacing w:after="0" w:line="275"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our disclosure controls and procedures were effective as of September 30, 2025 at the reasonable assurance level.</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three months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 xml:space="preserve">The information set forth in </w:t>
      </w:r>
      <w:r>
        <w:rPr>
          <w:rFonts w:ascii="Times New Roman" w:cs="Times New Roman" w:eastAsia="Times New Roman" w:hAnsi="Times New Roman"/>
          <w:sz w:val="18"/>
          <w:szCs w:val="18"/>
          <w:u w:val="single" w:color="auto"/>
          <w:color w:val="0000FF"/>
        </w:rPr>
        <w:t>Note 6, Commitments and Contingencies</w:t>
      </w:r>
      <w:r>
        <w:rPr>
          <w:rFonts w:ascii="Times New Roman" w:cs="Times New Roman" w:eastAsia="Times New Roman" w:hAnsi="Times New Roman"/>
          <w:sz w:val="18"/>
          <w:szCs w:val="18"/>
          <w:color w:val="auto"/>
        </w:rPr>
        <w:t>, under the heading “Contingencies,” in the notes to our condensed consolidated financial statements included elsewhere in this report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3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In addition to the information set forth in this report, you should consider carefully the factors and other cautionary statements discussed in the section titled “Risk Factors” in Part I, Item 1A of our Annual Report on Form 10-K. There have been no material changes in our risk factors from those described in our Annual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 Insider Trading Arrangements</w:t>
      </w:r>
    </w:p>
    <w:p>
      <w:pPr>
        <w:spacing w:after="0" w:line="23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2025, the following officers and directors adopted, modified or terminated a “Rule 10b5-1 trading arrangement” (as defined in Item 408 of Regulation S-K of the Exchange Act). None of our other Section 16 officers or directors adopted, modified or terminated such “Rule 10b5-1 trading arrangements” during the three months ended September 30, 2025.</w:t>
      </w:r>
    </w:p>
    <w:p>
      <w:pPr>
        <w:spacing w:after="0" w:line="69" w:lineRule="exact"/>
        <w:rPr>
          <w:sz w:val="20"/>
          <w:szCs w:val="20"/>
          <w:color w:val="auto"/>
        </w:rPr>
      </w:pPr>
    </w:p>
    <w:p>
      <w:pPr>
        <w:ind w:left="640" w:hanging="315"/>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Jens Holstein, Director, adopted a new trading plan on August 21, 2025 (with the first trade under the new plan scheduled for approximately November 20, 2025). The trading plan will be effective until August 21, 2026 to sell an aggregate of 10,000 shares of our common stock.</w:t>
      </w:r>
    </w:p>
    <w:p>
      <w:pPr>
        <w:spacing w:after="0" w:line="57" w:lineRule="exact"/>
        <w:rPr>
          <w:rFonts w:ascii="Times New Roman" w:cs="Times New Roman" w:eastAsia="Times New Roman" w:hAnsi="Times New Roman"/>
          <w:sz w:val="18"/>
          <w:szCs w:val="18"/>
          <w:color w:val="auto"/>
        </w:rPr>
      </w:pPr>
    </w:p>
    <w:p>
      <w:pPr>
        <w:jc w:val="both"/>
        <w:ind w:left="640" w:hanging="315"/>
        <w:spacing w:after="0" w:line="25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 Febbo, Chief Scientific Officer and Chief Medical Officer, adopted a new trading plan on August 21, 2025 (with the first trade under the new plan scheduled for approximately February 28, 2026). The trading plan will be effective until November 27, 2026 to sell an aggregate of (i) 13,425 shares of our common stock, plus (ii) 100% of the net shares resulting from the vesting of 26,514 restricted stock units during the plan period (net shares are net of tax withholding).</w:t>
      </w:r>
    </w:p>
    <w:p>
      <w:pPr>
        <w:spacing w:after="0" w:line="74" w:lineRule="exact"/>
        <w:rPr>
          <w:rFonts w:ascii="Times New Roman" w:cs="Times New Roman" w:eastAsia="Times New Roman" w:hAnsi="Times New Roman"/>
          <w:sz w:val="18"/>
          <w:szCs w:val="18"/>
          <w:color w:val="auto"/>
        </w:rPr>
      </w:pPr>
    </w:p>
    <w:p>
      <w:pPr>
        <w:jc w:val="both"/>
        <w:ind w:left="640" w:hanging="315"/>
        <w:spacing w:after="0" w:line="25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Rebecca Chambers, Chief Financial Officer, adopted a new trading plan on August 21, 2025 (with the first trade under the new plan scheduled for approximately November 20, 2025). The trading plan will be effective until December 11, 2026 to sell an aggregate of (i) 10,000 shares of our common stock, plus (ii) 100% of the net shares resulting from the vesting of 82,188 restricted stock units during the plan period (net shares are net of tax withholding).</w:t>
      </w:r>
    </w:p>
    <w:p>
      <w:pPr>
        <w:spacing w:after="0" w:line="74" w:lineRule="exact"/>
        <w:rPr>
          <w:rFonts w:ascii="Times New Roman" w:cs="Times New Roman" w:eastAsia="Times New Roman" w:hAnsi="Times New Roman"/>
          <w:sz w:val="18"/>
          <w:szCs w:val="18"/>
          <w:color w:val="auto"/>
        </w:rPr>
      </w:pPr>
    </w:p>
    <w:p>
      <w:pPr>
        <w:jc w:val="both"/>
        <w:ind w:left="640" w:hanging="315"/>
        <w:spacing w:after="0" w:line="25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Annie McGuire, General Counsel and Chief People Officer, adopted a new trading plan on August 29, 2025 (with the first trade under the new plan scheduled for approximately November 28, 2025). The trading plan will be effective until December 18, 2026 to sell an aggregate of (i) 7,671 shares of our common stock, plus (ii) specified percentages ranging between 33% and 100% of the net shares resulting from the vesting of 179,803 restricted stock units during the plan period (net shares are net of tax withholding).</w:t>
      </w:r>
    </w:p>
    <w:p>
      <w:pPr>
        <w:spacing w:after="0" w:line="7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Karin Eastham, Director, adopted a new trading plan on September 5, 2025 (with the first trade under the new plan scheduled for approximately December 5, 2025). The trading plan will be effective until November 20, 2026 to sell an aggregate of 29,533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5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5"/>
        </w:trPr>
        <w:tc>
          <w:tcPr>
            <w:tcW w:w="12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640" w:type="dxa"/>
            <w:vAlign w:val="bottom"/>
            <w:gridSpan w:val="9"/>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122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w w:val="97"/>
              </w:rPr>
              <w:t>Incorporated by Reference</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53"/>
        </w:trPr>
        <w:tc>
          <w:tcPr>
            <w:tcW w:w="1220" w:type="dxa"/>
            <w:vAlign w:val="bottom"/>
            <w:gridSpan w:val="6"/>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8"/>
            <w:vMerge w:val="restart"/>
          </w:tcPr>
          <w:p>
            <w:pPr>
              <w:jc w:val="right"/>
              <w:ind w:right="18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vMerge w:val="restart"/>
          </w:tcPr>
          <w:p>
            <w:pPr>
              <w:spacing w:after="0"/>
              <w:rPr>
                <w:sz w:val="13"/>
                <w:szCs w:val="13"/>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 w:type="dxa"/>
            <w:vAlign w:val="bottom"/>
            <w:vMerge w:val="restart"/>
          </w:tcPr>
          <w:p>
            <w:pPr>
              <w:spacing w:after="0"/>
              <w:rPr>
                <w:sz w:val="13"/>
                <w:szCs w:val="13"/>
                <w:color w:val="auto"/>
              </w:rPr>
            </w:pPr>
          </w:p>
        </w:tc>
        <w:tc>
          <w:tcPr>
            <w:tcW w:w="13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20" w:type="dxa"/>
            <w:vAlign w:val="bottom"/>
            <w:vMerge w:val="restart"/>
          </w:tcPr>
          <w:p>
            <w:pPr>
              <w:spacing w:after="0"/>
              <w:rPr>
                <w:sz w:val="13"/>
                <w:szCs w:val="13"/>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vMerge w:val="restart"/>
          </w:tcPr>
          <w:p>
            <w:pPr>
              <w:spacing w:after="0"/>
              <w:rPr>
                <w:sz w:val="13"/>
                <w:szCs w:val="13"/>
                <w:color w:val="auto"/>
              </w:rPr>
            </w:pP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0" w:type="dxa"/>
            <w:vAlign w:val="bottom"/>
            <w:vMerge w:val="restart"/>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0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8"/>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432"/>
        </w:trPr>
        <w:tc>
          <w:tcPr>
            <w:tcW w:w="700" w:type="dxa"/>
            <w:vAlign w:val="bottom"/>
            <w:gridSpan w:val="2"/>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4660" w:type="dxa"/>
            <w:vAlign w:val="bottom"/>
            <w:gridSpan w:val="10"/>
          </w:tcPr>
          <w:p>
            <w:pPr>
              <w:spacing w:after="0" w:line="153" w:lineRule="exact"/>
              <w:rPr>
                <w:sz w:val="20"/>
                <w:szCs w:val="20"/>
                <w:color w:val="auto"/>
              </w:rPr>
            </w:pPr>
            <w:r>
              <w:rPr>
                <w:rFonts w:ascii="Times New Roman" w:cs="Times New Roman" w:eastAsia="Times New Roman" w:hAnsi="Times New Roman"/>
                <w:sz w:val="17"/>
                <w:szCs w:val="17"/>
                <w:color w:val="0000FF"/>
              </w:rPr>
              <w:t>13a-14(a)/15d-14(a), as adopted pursuant to Section 302 of the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40" w:type="dxa"/>
            <w:vAlign w:val="bottom"/>
            <w:tcBorders>
              <w:top w:val="single" w:sz="8" w:color="0000FF"/>
              <w:bottom w:val="single" w:sz="8" w:color="0000FF"/>
            </w:tcBorders>
            <w:gridSpan w:val="2"/>
          </w:tcPr>
          <w:p>
            <w:pPr>
              <w:spacing w:after="0" w:line="153"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420" w:type="dxa"/>
            <w:vAlign w:val="bottom"/>
            <w:tcBorders>
              <w:top w:val="single" w:sz="8" w:color="0000FF"/>
            </w:tcBorders>
            <w:gridSpan w:val="5"/>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5"/>
          </w:tcPr>
          <w:p>
            <w:pPr>
              <w:spacing w:after="0" w:line="153" w:lineRule="exact"/>
              <w:rPr>
                <w:sz w:val="20"/>
                <w:szCs w:val="20"/>
                <w:color w:val="auto"/>
              </w:rPr>
            </w:pPr>
            <w:r>
              <w:rPr>
                <w:rFonts w:ascii="Times New Roman" w:cs="Times New Roman" w:eastAsia="Times New Roman" w:hAnsi="Times New Roman"/>
                <w:sz w:val="17"/>
                <w:szCs w:val="17"/>
                <w:color w:val="0000FF"/>
              </w:rPr>
              <w:t>13a-14(a)/15d-14(a), as adopted pursuant to Section 302 of</w:t>
            </w:r>
          </w:p>
        </w:tc>
        <w:tc>
          <w:tcPr>
            <w:tcW w:w="400" w:type="dxa"/>
            <w:vAlign w:val="bottom"/>
            <w:gridSpan w:val="5"/>
          </w:tcPr>
          <w:p>
            <w:pPr>
              <w:spacing w:after="0" w:line="153" w:lineRule="exact"/>
              <w:rPr>
                <w:sz w:val="20"/>
                <w:szCs w:val="20"/>
                <w:color w:val="auto"/>
              </w:rPr>
            </w:pPr>
            <w:r>
              <w:rPr>
                <w:rFonts w:ascii="Times New Roman" w:cs="Times New Roman" w:eastAsia="Times New Roman" w:hAnsi="Times New Roman"/>
                <w:sz w:val="17"/>
                <w:szCs w:val="17"/>
                <w:color w:val="0000FF"/>
              </w:rPr>
              <w:t>the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40" w:type="dxa"/>
            <w:vAlign w:val="bottom"/>
            <w:tcBorders>
              <w:top w:val="single" w:sz="8" w:color="0000FF"/>
              <w:bottom w:val="single" w:sz="8" w:color="0000FF"/>
            </w:tcBorders>
            <w:gridSpan w:val="2"/>
          </w:tcPr>
          <w:p>
            <w:pPr>
              <w:spacing w:after="0" w:line="153"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420" w:type="dxa"/>
            <w:vAlign w:val="bottom"/>
            <w:tcBorders>
              <w:top w:val="single" w:sz="8" w:color="0000FF"/>
            </w:tcBorders>
            <w:gridSpan w:val="5"/>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4"/>
          </w:tcPr>
          <w:p>
            <w:pPr>
              <w:spacing w:after="0" w:line="153" w:lineRule="exact"/>
              <w:rPr>
                <w:sz w:val="20"/>
                <w:szCs w:val="20"/>
                <w:color w:val="auto"/>
              </w:rPr>
            </w:pPr>
            <w:r>
              <w:rPr>
                <w:rFonts w:ascii="Times New Roman" w:cs="Times New Roman" w:eastAsia="Times New Roman" w:hAnsi="Times New Roman"/>
                <w:sz w:val="17"/>
                <w:szCs w:val="17"/>
                <w:color w:val="0000FF"/>
              </w:rPr>
              <w:t>U.S.C. § 1350 (Section 906 of the Sarbanes-Oxley Act of</w:t>
            </w:r>
          </w:p>
        </w:tc>
        <w:tc>
          <w:tcPr>
            <w:tcW w:w="520" w:type="dxa"/>
            <w:vAlign w:val="bottom"/>
            <w:gridSpan w:val="6"/>
          </w:tcPr>
          <w:p>
            <w:pPr>
              <w:jc w:val="right"/>
              <w:ind w:right="120"/>
              <w:spacing w:after="0" w:line="153" w:lineRule="exact"/>
              <w:rPr>
                <w:sz w:val="20"/>
                <w:szCs w:val="20"/>
                <w:color w:val="auto"/>
              </w:rPr>
            </w:pPr>
            <w:r>
              <w:rPr>
                <w:rFonts w:ascii="Times New Roman" w:cs="Times New Roman" w:eastAsia="Times New Roman" w:hAnsi="Times New Roman"/>
                <w:sz w:val="17"/>
                <w:szCs w:val="17"/>
                <w:color w:val="0000FF"/>
                <w:w w:val="95"/>
              </w:rPr>
              <w:t>2002)</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180" w:type="dxa"/>
            <w:vAlign w:val="bottom"/>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5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120" w:type="dxa"/>
            <w:vAlign w:val="bottom"/>
            <w:gridSpan w:val="2"/>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3"/>
          </w:tcPr>
          <w:p>
            <w:pPr>
              <w:spacing w:after="0" w:line="153" w:lineRule="exact"/>
              <w:rPr>
                <w:sz w:val="20"/>
                <w:szCs w:val="20"/>
                <w:color w:val="auto"/>
              </w:rPr>
            </w:pPr>
            <w:r>
              <w:rPr>
                <w:rFonts w:ascii="Times New Roman" w:cs="Times New Roman" w:eastAsia="Times New Roman" w:hAnsi="Times New Roman"/>
                <w:sz w:val="17"/>
                <w:szCs w:val="17"/>
                <w:color w:val="0000FF"/>
              </w:rPr>
              <w:t>U.S.C. § 1350 (Section 906 of the Sarbanes-Oxley Act of</w:t>
            </w:r>
          </w:p>
        </w:tc>
        <w:tc>
          <w:tcPr>
            <w:tcW w:w="560" w:type="dxa"/>
            <w:vAlign w:val="bottom"/>
            <w:gridSpan w:val="7"/>
          </w:tcPr>
          <w:p>
            <w:pPr>
              <w:jc w:val="right"/>
              <w:ind w:right="120"/>
              <w:spacing w:after="0" w:line="153" w:lineRule="exact"/>
              <w:rPr>
                <w:sz w:val="20"/>
                <w:szCs w:val="20"/>
                <w:color w:val="auto"/>
              </w:rPr>
            </w:pPr>
            <w:r>
              <w:rPr>
                <w:rFonts w:ascii="Times New Roman" w:cs="Times New Roman" w:eastAsia="Times New Roman" w:hAnsi="Times New Roman"/>
                <w:sz w:val="17"/>
                <w:szCs w:val="17"/>
                <w:color w:val="0000FF"/>
              </w:rPr>
              <w:t>2002)</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22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Borders>
              <w:top w:val="single" w:sz="8" w:color="0000FF"/>
            </w:tcBorders>
          </w:tcPr>
          <w:p>
            <w:pPr>
              <w:spacing w:after="0"/>
              <w:rPr>
                <w:sz w:val="17"/>
                <w:szCs w:val="17"/>
                <w:color w:val="auto"/>
              </w:rPr>
            </w:pPr>
          </w:p>
        </w:tc>
        <w:tc>
          <w:tcPr>
            <w:tcW w:w="45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1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73"/>
        </w:trPr>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60" w:type="dxa"/>
            <w:vAlign w:val="bottom"/>
            <w:gridSpan w:val="10"/>
          </w:tcPr>
          <w:p>
            <w:pPr>
              <w:spacing w:after="0" w:line="173" w:lineRule="exact"/>
              <w:rPr>
                <w:sz w:val="20"/>
                <w:szCs w:val="20"/>
                <w:color w:val="auto"/>
              </w:rPr>
            </w:pPr>
            <w:r>
              <w:rPr>
                <w:rFonts w:ascii="Times New Roman" w:cs="Times New Roman" w:eastAsia="Times New Roman" w:hAnsi="Times New Roman"/>
                <w:sz w:val="18"/>
                <w:szCs w:val="18"/>
                <w:color w:val="auto"/>
              </w:rPr>
              <w:t>not appear in the Interactive Data File because its XBRL tags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are embedded within the Inline XBRL</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22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46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6"/>
        </w:trPr>
        <w:tc>
          <w:tcPr>
            <w:tcW w:w="122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46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6"/>
        </w:trPr>
        <w:tc>
          <w:tcPr>
            <w:tcW w:w="122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46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6"/>
        </w:trPr>
        <w:tc>
          <w:tcPr>
            <w:tcW w:w="122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46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6"/>
        </w:trPr>
        <w:tc>
          <w:tcPr>
            <w:tcW w:w="122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46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78"/>
        </w:trPr>
        <w:tc>
          <w:tcPr>
            <w:tcW w:w="1020" w:type="dxa"/>
            <w:vAlign w:val="bottom"/>
            <w:gridSpan w:val="4"/>
          </w:tcPr>
          <w:p>
            <w:pPr>
              <w:jc w:val="right"/>
              <w:ind w:right="60"/>
              <w:spacing w:after="0" w:line="178" w:lineRule="exact"/>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60" w:type="dxa"/>
            <w:vAlign w:val="bottom"/>
            <w:gridSpan w:val="10"/>
          </w:tcPr>
          <w:p>
            <w:pPr>
              <w:spacing w:after="0" w:line="178"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2"/>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147955</wp:posOffset>
            </wp:positionV>
            <wp:extent cx="6502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0240" cy="8255"/>
                    </a:xfrm>
                    <a:prstGeom prst="rect">
                      <a:avLst/>
                    </a:prstGeom>
                    <a:noFill/>
                  </pic:spPr>
                </pic:pic>
              </a:graphicData>
            </a:graphic>
          </wp:anchor>
        </w:drawing>
      </w:r>
    </w:p>
    <w:p>
      <w:pPr>
        <w:spacing w:after="0" w:line="301" w:lineRule="exact"/>
        <w:rPr>
          <w:sz w:val="20"/>
          <w:szCs w:val="20"/>
          <w:color w:val="auto"/>
        </w:rPr>
      </w:pPr>
    </w:p>
    <w:p>
      <w:pPr>
        <w:jc w:val="both"/>
        <w:ind w:left="1240" w:right="20" w:hanging="1216"/>
        <w:spacing w:after="0" w:line="221"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0" w:lineRule="exact"/>
        <w:rPr>
          <w:sz w:val="20"/>
          <w:szCs w:val="20"/>
          <w:color w:val="auto"/>
        </w:rPr>
      </w:pPr>
    </w:p>
    <w:p>
      <w:pPr>
        <w:ind w:firstLine="75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VERACYTE, INC.</w:t>
      </w:r>
    </w:p>
    <w:p>
      <w:pPr>
        <w:spacing w:after="0" w:line="325" w:lineRule="exact"/>
        <w:rPr>
          <w:sz w:val="20"/>
          <w:szCs w:val="20"/>
          <w:color w:val="auto"/>
        </w:rPr>
      </w:pPr>
    </w:p>
    <w:p>
      <w:pPr>
        <w:ind w:left="468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40640</wp:posOffset>
            </wp:positionV>
            <wp:extent cx="19500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Rebecca Chambers</w:t>
      </w:r>
    </w:p>
    <w:p>
      <w:pPr>
        <w:ind w:left="60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Marc Stapley, certify that:</w:t>
      </w:r>
    </w:p>
    <w:p>
      <w:pPr>
        <w:spacing w:after="0" w:line="218" w:lineRule="exact"/>
        <w:rPr>
          <w:sz w:val="20"/>
          <w:szCs w:val="20"/>
          <w:color w:val="auto"/>
        </w:rPr>
      </w:pPr>
    </w:p>
    <w:p>
      <w:pPr>
        <w:ind w:left="1420" w:hanging="656"/>
        <w:spacing w:after="0"/>
        <w:tabs>
          <w:tab w:leader="none" w:pos="1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September 30, 2025;</w:t>
      </w:r>
    </w:p>
    <w:p>
      <w:pPr>
        <w:spacing w:after="0" w:line="218" w:lineRule="exact"/>
        <w:rPr>
          <w:rFonts w:ascii="Times New Roman" w:cs="Times New Roman" w:eastAsia="Times New Roman" w:hAnsi="Times New Roman"/>
          <w:sz w:val="18"/>
          <w:szCs w:val="18"/>
          <w:color w:val="auto"/>
        </w:rPr>
      </w:pPr>
    </w:p>
    <w:p>
      <w:pPr>
        <w:ind w:right="200" w:firstLine="764"/>
        <w:spacing w:after="0" w:line="261" w:lineRule="auto"/>
        <w:tabs>
          <w:tab w:leader="none" w:pos="142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40" w:firstLine="764"/>
        <w:spacing w:after="0" w:line="275" w:lineRule="auto"/>
        <w:tabs>
          <w:tab w:leader="none" w:pos="142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160" w:firstLine="764"/>
        <w:spacing w:after="0" w:line="261" w:lineRule="auto"/>
        <w:tabs>
          <w:tab w:leader="none" w:pos="14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180" w:firstLine="1442"/>
        <w:spacing w:after="0" w:line="261" w:lineRule="auto"/>
        <w:tabs>
          <w:tab w:leader="none" w:pos="206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140" w:firstLine="1442"/>
        <w:spacing w:after="0" w:line="261" w:lineRule="auto"/>
        <w:tabs>
          <w:tab w:leader="none" w:pos="207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20" w:firstLine="1442"/>
        <w:spacing w:after="0" w:line="305" w:lineRule="auto"/>
        <w:tabs>
          <w:tab w:leader="none" w:pos="206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7"/>
          <w:szCs w:val="17"/>
          <w:color w:val="auto"/>
        </w:rPr>
      </w:pPr>
    </w:p>
    <w:p>
      <w:pPr>
        <w:ind w:right="140" w:firstLine="1442"/>
        <w:spacing w:after="0" w:line="261" w:lineRule="auto"/>
        <w:tabs>
          <w:tab w:leader="none" w:pos="207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80" w:firstLine="764"/>
        <w:spacing w:after="0" w:line="305" w:lineRule="auto"/>
        <w:tabs>
          <w:tab w:leader="none" w:pos="141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Times New Roman" w:cs="Times New Roman" w:eastAsia="Times New Roman" w:hAnsi="Times New Roman"/>
          <w:sz w:val="17"/>
          <w:szCs w:val="17"/>
          <w:color w:val="auto"/>
        </w:rPr>
      </w:pPr>
    </w:p>
    <w:p>
      <w:pPr>
        <w:ind w:right="100" w:firstLine="1442"/>
        <w:spacing w:after="0" w:line="275" w:lineRule="auto"/>
        <w:tabs>
          <w:tab w:leader="none" w:pos="205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120" w:firstLine="1442"/>
        <w:spacing w:after="0" w:line="275" w:lineRule="auto"/>
        <w:tabs>
          <w:tab w:leader="none" w:pos="206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0"/>
        <w:spacing w:after="0"/>
        <w:tabs>
          <w:tab w:leader="none" w:pos="29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2025</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32385</wp:posOffset>
            </wp:positionV>
            <wp:extent cx="19500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Marc Stapley</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Rebecca Chambers, certify that:</w:t>
      </w:r>
    </w:p>
    <w:p>
      <w:pPr>
        <w:spacing w:after="0" w:line="218" w:lineRule="exact"/>
        <w:rPr>
          <w:sz w:val="20"/>
          <w:szCs w:val="20"/>
          <w:color w:val="auto"/>
        </w:rPr>
      </w:pPr>
    </w:p>
    <w:p>
      <w:pPr>
        <w:ind w:left="1480" w:hanging="716"/>
        <w:spacing w:after="0"/>
        <w:tabs>
          <w:tab w:leader="none" w:pos="1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September 30, 2025;</w:t>
      </w:r>
    </w:p>
    <w:p>
      <w:pPr>
        <w:spacing w:after="0" w:line="218" w:lineRule="exact"/>
        <w:rPr>
          <w:rFonts w:ascii="Times New Roman" w:cs="Times New Roman" w:eastAsia="Times New Roman" w:hAnsi="Times New Roman"/>
          <w:sz w:val="18"/>
          <w:szCs w:val="18"/>
          <w:color w:val="auto"/>
        </w:rPr>
      </w:pPr>
    </w:p>
    <w:p>
      <w:pPr>
        <w:ind w:right="140" w:firstLine="764"/>
        <w:spacing w:after="0" w:line="261" w:lineRule="auto"/>
        <w:tabs>
          <w:tab w:leader="none" w:pos="14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00" w:firstLine="764"/>
        <w:spacing w:after="0" w:line="275" w:lineRule="auto"/>
        <w:tabs>
          <w:tab w:leader="none" w:pos="14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right="160" w:firstLine="764"/>
        <w:spacing w:after="0" w:line="261" w:lineRule="auto"/>
        <w:tabs>
          <w:tab w:leader="none" w:pos="14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120" w:firstLine="1442"/>
        <w:spacing w:after="0" w:line="261" w:lineRule="auto"/>
        <w:tabs>
          <w:tab w:leader="none" w:pos="215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140" w:firstLine="1442"/>
        <w:spacing w:after="0" w:line="261" w:lineRule="auto"/>
        <w:tabs>
          <w:tab w:leader="none" w:pos="21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20" w:firstLine="1442"/>
        <w:spacing w:after="0" w:line="305" w:lineRule="auto"/>
        <w:tabs>
          <w:tab w:leader="none" w:pos="215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7"/>
          <w:szCs w:val="17"/>
          <w:color w:val="auto"/>
        </w:rPr>
      </w:pPr>
    </w:p>
    <w:p>
      <w:pPr>
        <w:ind w:right="140" w:firstLine="1442"/>
        <w:spacing w:after="0" w:line="261" w:lineRule="auto"/>
        <w:tabs>
          <w:tab w:leader="none" w:pos="21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40" w:firstLine="764"/>
        <w:spacing w:after="0" w:line="305" w:lineRule="auto"/>
        <w:tabs>
          <w:tab w:leader="none" w:pos="146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Times New Roman" w:cs="Times New Roman" w:eastAsia="Times New Roman" w:hAnsi="Times New Roman"/>
          <w:sz w:val="17"/>
          <w:szCs w:val="17"/>
          <w:color w:val="auto"/>
        </w:rPr>
      </w:pPr>
    </w:p>
    <w:p>
      <w:pPr>
        <w:ind w:right="20" w:firstLine="1442"/>
        <w:spacing w:after="0" w:line="275" w:lineRule="auto"/>
        <w:tabs>
          <w:tab w:leader="none" w:pos="2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20" w:firstLine="1442"/>
        <w:spacing w:after="0" w:line="275" w:lineRule="auto"/>
        <w:tabs>
          <w:tab w:leader="none" w:pos="215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0"/>
        <w:spacing w:after="0"/>
        <w:tabs>
          <w:tab w:leader="none" w:pos="2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2025</w:t>
      </w:r>
    </w:p>
    <w:p>
      <w:pPr>
        <w:spacing w:after="0" w:line="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32385</wp:posOffset>
            </wp:positionV>
            <wp:extent cx="24822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82215" cy="8255"/>
                    </a:xfrm>
                    <a:prstGeom prst="rect">
                      <a:avLst/>
                    </a:prstGeom>
                    <a:noFill/>
                  </pic:spPr>
                </pic:pic>
              </a:graphicData>
            </a:graphic>
          </wp:anchor>
        </w:drawing>
      </w:r>
    </w:p>
    <w:p>
      <w:pPr>
        <w:spacing w:after="0" w:line="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7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ind w:right="240" w:firstLine="75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September 30, 2025,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440" w:hanging="317"/>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5" w:lineRule="exact"/>
        <w:rPr>
          <w:rFonts w:ascii="Times New Roman" w:cs="Times New Roman" w:eastAsia="Times New Roman" w:hAnsi="Times New Roman"/>
          <w:sz w:val="18"/>
          <w:szCs w:val="18"/>
          <w:color w:val="auto"/>
        </w:rPr>
      </w:pPr>
    </w:p>
    <w:p>
      <w:pPr>
        <w:ind w:left="1440" w:right="280" w:hanging="317"/>
        <w:spacing w:after="0" w:line="275" w:lineRule="auto"/>
        <w:tabs>
          <w:tab w:leader="none" w:pos="14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4"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2025</w:t>
      </w:r>
    </w:p>
    <w:p>
      <w:pPr>
        <w:spacing w:after="0" w:line="29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32385</wp:posOffset>
            </wp:positionV>
            <wp:extent cx="19500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Marc Stapley</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ind w:right="240" w:firstLine="75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September 30, 2025,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440" w:hanging="317"/>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5" w:lineRule="exact"/>
        <w:rPr>
          <w:rFonts w:ascii="Times New Roman" w:cs="Times New Roman" w:eastAsia="Times New Roman" w:hAnsi="Times New Roman"/>
          <w:sz w:val="18"/>
          <w:szCs w:val="18"/>
          <w:color w:val="auto"/>
        </w:rPr>
      </w:pPr>
    </w:p>
    <w:p>
      <w:pPr>
        <w:ind w:left="1440" w:right="280" w:hanging="317"/>
        <w:spacing w:after="0" w:line="275" w:lineRule="auto"/>
        <w:tabs>
          <w:tab w:leader="none" w:pos="14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4"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2025</w:t>
      </w:r>
    </w:p>
    <w:p>
      <w:pPr>
        <w:spacing w:after="0" w:line="29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32385</wp:posOffset>
            </wp:positionV>
            <wp:extent cx="19500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lvl w:ilvl="1">
      <w:lvlJc w:val="left"/>
      <w:lvlText w:val="(%2)"/>
      <w:numFmt w:val="decimal"/>
      <w:start w:val="1"/>
    </w:lvl>
  </w:abstractNum>
  <w:abstractNum w:abstractNumId="5">
    <w:nsid w:val="12200854"/>
    <w:multiLevelType w:val="hybridMultilevel"/>
    <w:lvl w:ilvl="0">
      <w:lvlJc w:val="left"/>
      <w:lvlText w:val="%1."/>
      <w:numFmt w:val="decimal"/>
      <w:start w:val="10"/>
    </w:lvl>
    <w:lvl w:ilvl="1">
      <w:lvlJc w:val="left"/>
      <w:lvlText w:val="%2"/>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2025-11-05T07:25:36Z</dcterms:created>
  <dcterms:modified xsi:type="dcterms:W3CDTF">2025-11-05T07:25:36Z</dcterms:modified>
</cp:coreProperties>
</file>