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3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Arial" w:cs="Arial" w:eastAsia="Arial" w:hAnsi="Arial"/>
          <w:sz w:val="18"/>
          <w:szCs w:val="18"/>
          <w:color w:val="auto"/>
        </w:rPr>
        <w:t>________________________________</w:t>
      </w:r>
    </w:p>
    <w:p>
      <w:pPr>
        <w:spacing w:after="0" w:line="13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________________________________</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1" w:lineRule="exact"/>
        <w:rPr>
          <w:sz w:val="24"/>
          <w:szCs w:val="24"/>
          <w:color w:val="auto"/>
        </w:rPr>
      </w:pPr>
    </w:p>
    <w:p>
      <w:pPr>
        <w:ind w:left="3720" w:right="1860" w:hanging="3640"/>
        <w:spacing w:after="0" w:line="438" w:lineRule="auto"/>
        <w:tabs>
          <w:tab w:leader="none" w:pos="38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spacing w:after="0" w:line="200" w:lineRule="exact"/>
        <w:rPr>
          <w:sz w:val="24"/>
          <w:szCs w:val="24"/>
          <w:color w:val="auto"/>
        </w:rPr>
      </w:pPr>
    </w:p>
    <w:p>
      <w:pPr>
        <w:spacing w:after="0" w:line="206" w:lineRule="exact"/>
        <w:rPr>
          <w:sz w:val="24"/>
          <w:szCs w:val="24"/>
          <w:color w:val="auto"/>
        </w:rPr>
      </w:pPr>
    </w:p>
    <w:p>
      <w:pPr>
        <w:ind w:left="140"/>
        <w:spacing w:after="0"/>
        <w:tabs>
          <w:tab w:leader="none" w:pos="360" w:val="left"/>
        </w:tabs>
        <w:rPr>
          <w:sz w:val="20"/>
          <w:szCs w:val="20"/>
          <w:color w:val="auto"/>
        </w:rPr>
      </w:pPr>
      <w:r>
        <w:rPr>
          <w:rFonts w:ascii="Arial" w:cs="Arial" w:eastAsia="Arial" w:hAnsi="Arial"/>
          <w:sz w:val="18"/>
          <w:szCs w:val="18"/>
          <w:b w:val="1"/>
          <w:bCs w:val="1"/>
          <w:color w:val="auto"/>
        </w:rPr>
        <w:t>o</w:t>
      </w:r>
      <w:r>
        <w:rPr>
          <w:sz w:val="20"/>
          <w:szCs w:val="20"/>
          <w:color w:val="auto"/>
        </w:rPr>
        <w:tab/>
      </w:r>
      <w:r>
        <w:rPr>
          <w:rFonts w:ascii="Arial" w:cs="Arial" w:eastAsia="Arial" w:hAnsi="Arial"/>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376" w:lineRule="exact"/>
        <w:rPr>
          <w:sz w:val="24"/>
          <w:szCs w:val="24"/>
          <w:color w:val="auto"/>
        </w:rPr>
      </w:pPr>
    </w:p>
    <w:tbl>
      <w:tblPr>
        <w:tblLayout w:type="fixed"/>
        <w:tblInd w:w="1880" w:type="dxa"/>
        <w:tblCellMar>
          <w:top w:w="0" w:type="dxa"/>
          <w:left w:w="0" w:type="dxa"/>
          <w:bottom w:w="0" w:type="dxa"/>
          <w:right w:w="0" w:type="dxa"/>
        </w:tblCellMar>
      </w:tblPr>
      <w:tr>
        <w:trPr>
          <w:trHeight w:val="220"/>
        </w:trPr>
        <w:tc>
          <w:tcPr>
            <w:tcW w:w="2020" w:type="dxa"/>
            <w:vAlign w:val="bottom"/>
          </w:tcPr>
          <w:p>
            <w:pPr>
              <w:spacing w:after="0"/>
              <w:rPr>
                <w:sz w:val="19"/>
                <w:szCs w:val="19"/>
                <w:color w:val="auto"/>
              </w:rPr>
            </w:pPr>
          </w:p>
        </w:tc>
        <w:tc>
          <w:tcPr>
            <w:tcW w:w="5320" w:type="dxa"/>
            <w:vAlign w:val="bottom"/>
          </w:tcPr>
          <w:p>
            <w:pPr>
              <w:jc w:val="center"/>
              <w:ind w:right="1596"/>
              <w:spacing w:after="0"/>
              <w:rPr>
                <w:sz w:val="20"/>
                <w:szCs w:val="20"/>
                <w:color w:val="auto"/>
              </w:rPr>
            </w:pPr>
            <w:r>
              <w:rPr>
                <w:rFonts w:ascii="Arial" w:cs="Arial" w:eastAsia="Arial" w:hAnsi="Arial"/>
                <w:sz w:val="18"/>
                <w:szCs w:val="18"/>
                <w:b w:val="1"/>
                <w:bCs w:val="1"/>
                <w:color w:val="auto"/>
                <w:w w:val="90"/>
              </w:rPr>
              <w:t>Commission file number 001-36156</w:t>
            </w:r>
          </w:p>
        </w:tc>
      </w:tr>
      <w:tr>
        <w:trPr>
          <w:trHeight w:val="230"/>
        </w:trPr>
        <w:tc>
          <w:tcPr>
            <w:tcW w:w="2020" w:type="dxa"/>
            <w:vAlign w:val="bottom"/>
          </w:tcPr>
          <w:p>
            <w:pPr>
              <w:spacing w:after="0"/>
              <w:rPr>
                <w:sz w:val="20"/>
                <w:szCs w:val="20"/>
                <w:color w:val="auto"/>
              </w:rPr>
            </w:pPr>
          </w:p>
        </w:tc>
        <w:tc>
          <w:tcPr>
            <w:tcW w:w="5320" w:type="dxa"/>
            <w:vAlign w:val="bottom"/>
          </w:tcPr>
          <w:p>
            <w:pPr>
              <w:jc w:val="right"/>
              <w:ind w:right="1976"/>
              <w:spacing w:after="0"/>
              <w:rPr>
                <w:sz w:val="20"/>
                <w:szCs w:val="20"/>
                <w:color w:val="auto"/>
              </w:rPr>
            </w:pPr>
            <w:r>
              <w:rPr>
                <w:rFonts w:ascii="Arial" w:cs="Arial" w:eastAsia="Arial" w:hAnsi="Arial"/>
                <w:sz w:val="18"/>
                <w:szCs w:val="18"/>
                <w:color w:val="auto"/>
              </w:rPr>
              <w:t>________________________________</w:t>
            </w:r>
          </w:p>
        </w:tc>
      </w:tr>
      <w:tr>
        <w:trPr>
          <w:trHeight w:val="481"/>
        </w:trPr>
        <w:tc>
          <w:tcPr>
            <w:tcW w:w="2020" w:type="dxa"/>
            <w:vAlign w:val="bottom"/>
          </w:tcPr>
          <w:p>
            <w:pPr>
              <w:spacing w:after="0"/>
              <w:rPr>
                <w:sz w:val="24"/>
                <w:szCs w:val="24"/>
                <w:color w:val="auto"/>
              </w:rPr>
            </w:pPr>
          </w:p>
        </w:tc>
        <w:tc>
          <w:tcPr>
            <w:tcW w:w="5320" w:type="dxa"/>
            <w:vAlign w:val="bottom"/>
          </w:tcPr>
          <w:p>
            <w:pPr>
              <w:jc w:val="center"/>
              <w:ind w:right="1596"/>
              <w:spacing w:after="0"/>
              <w:rPr>
                <w:sz w:val="20"/>
                <w:szCs w:val="20"/>
                <w:color w:val="auto"/>
              </w:rPr>
            </w:pPr>
            <w:r>
              <w:rPr>
                <w:rFonts w:ascii="Arial" w:cs="Arial" w:eastAsia="Arial" w:hAnsi="Arial"/>
                <w:sz w:val="29"/>
                <w:szCs w:val="29"/>
                <w:b w:val="1"/>
                <w:bCs w:val="1"/>
                <w:color w:val="auto"/>
              </w:rPr>
              <w:t>VERACYTE, INC.</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616"/>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230"/>
        </w:trPr>
        <w:tc>
          <w:tcPr>
            <w:tcW w:w="2020" w:type="dxa"/>
            <w:vAlign w:val="bottom"/>
          </w:tcPr>
          <w:p>
            <w:pPr>
              <w:spacing w:after="0"/>
              <w:rPr>
                <w:sz w:val="20"/>
                <w:szCs w:val="20"/>
                <w:color w:val="auto"/>
              </w:rPr>
            </w:pPr>
          </w:p>
        </w:tc>
        <w:tc>
          <w:tcPr>
            <w:tcW w:w="5320" w:type="dxa"/>
            <w:vAlign w:val="bottom"/>
          </w:tcPr>
          <w:p>
            <w:pPr>
              <w:jc w:val="right"/>
              <w:ind w:right="1996"/>
              <w:spacing w:after="0"/>
              <w:rPr>
                <w:sz w:val="20"/>
                <w:szCs w:val="20"/>
                <w:color w:val="auto"/>
              </w:rPr>
            </w:pPr>
            <w:r>
              <w:rPr>
                <w:rFonts w:ascii="Arial" w:cs="Arial" w:eastAsia="Arial" w:hAnsi="Arial"/>
                <w:sz w:val="18"/>
                <w:szCs w:val="18"/>
                <w:color w:val="auto"/>
              </w:rPr>
              <w:t>________________________________</w:t>
            </w:r>
          </w:p>
        </w:tc>
      </w:tr>
      <w:tr>
        <w:trPr>
          <w:trHeight w:val="540"/>
        </w:trPr>
        <w:tc>
          <w:tcPr>
            <w:tcW w:w="2020" w:type="dxa"/>
            <w:vAlign w:val="bottom"/>
          </w:tcPr>
          <w:p>
            <w:pPr>
              <w:jc w:val="center"/>
              <w:ind w:right="202"/>
              <w:spacing w:after="0"/>
              <w:rPr>
                <w:sz w:val="20"/>
                <w:szCs w:val="20"/>
                <w:color w:val="auto"/>
              </w:rPr>
            </w:pPr>
            <w:r>
              <w:rPr>
                <w:rFonts w:ascii="Arial" w:cs="Arial" w:eastAsia="Arial" w:hAnsi="Arial"/>
                <w:sz w:val="18"/>
                <w:szCs w:val="18"/>
                <w:b w:val="1"/>
                <w:bCs w:val="1"/>
                <w:color w:val="auto"/>
                <w:w w:val="93"/>
              </w:rPr>
              <w:t>Delaware</w:t>
            </w:r>
          </w:p>
        </w:tc>
        <w:tc>
          <w:tcPr>
            <w:tcW w:w="5320" w:type="dxa"/>
            <w:vAlign w:val="bottom"/>
          </w:tcPr>
          <w:p>
            <w:pPr>
              <w:jc w:val="center"/>
              <w:ind w:left="4176"/>
              <w:spacing w:after="0"/>
              <w:rPr>
                <w:sz w:val="20"/>
                <w:szCs w:val="20"/>
                <w:color w:val="auto"/>
              </w:rPr>
            </w:pPr>
            <w:r>
              <w:rPr>
                <w:rFonts w:ascii="Arial" w:cs="Arial" w:eastAsia="Arial" w:hAnsi="Arial"/>
                <w:sz w:val="18"/>
                <w:szCs w:val="18"/>
                <w:b w:val="1"/>
                <w:bCs w:val="1"/>
                <w:color w:val="auto"/>
                <w:w w:val="89"/>
              </w:rPr>
              <w:t>20-5455398</w:t>
            </w:r>
          </w:p>
        </w:tc>
      </w:tr>
      <w:tr>
        <w:trPr>
          <w:trHeight w:val="218"/>
        </w:trPr>
        <w:tc>
          <w:tcPr>
            <w:tcW w:w="2020" w:type="dxa"/>
            <w:vAlign w:val="bottom"/>
          </w:tcPr>
          <w:p>
            <w:pPr>
              <w:jc w:val="center"/>
              <w:ind w:right="202"/>
              <w:spacing w:after="0"/>
              <w:rPr>
                <w:sz w:val="20"/>
                <w:szCs w:val="20"/>
                <w:color w:val="auto"/>
              </w:rPr>
            </w:pPr>
            <w:r>
              <w:rPr>
                <w:rFonts w:ascii="Arial" w:cs="Arial" w:eastAsia="Arial" w:hAnsi="Arial"/>
                <w:sz w:val="14"/>
                <w:szCs w:val="14"/>
                <w:color w:val="auto"/>
                <w:w w:val="94"/>
              </w:rPr>
              <w:t>(State or other jurisdiction of</w:t>
            </w:r>
          </w:p>
        </w:tc>
        <w:tc>
          <w:tcPr>
            <w:tcW w:w="5320" w:type="dxa"/>
            <w:vAlign w:val="bottom"/>
          </w:tcPr>
          <w:p>
            <w:pPr>
              <w:jc w:val="center"/>
              <w:ind w:left="4176"/>
              <w:spacing w:after="0"/>
              <w:rPr>
                <w:sz w:val="20"/>
                <w:szCs w:val="20"/>
                <w:color w:val="auto"/>
              </w:rPr>
            </w:pPr>
            <w:r>
              <w:rPr>
                <w:rFonts w:ascii="Arial" w:cs="Arial" w:eastAsia="Arial" w:hAnsi="Arial"/>
                <w:sz w:val="14"/>
                <w:szCs w:val="14"/>
                <w:color w:val="auto"/>
                <w:w w:val="95"/>
              </w:rPr>
              <w:t>(I.R.S. Employer</w:t>
            </w:r>
          </w:p>
        </w:tc>
      </w:tr>
      <w:tr>
        <w:trPr>
          <w:trHeight w:val="203"/>
        </w:trPr>
        <w:tc>
          <w:tcPr>
            <w:tcW w:w="2020" w:type="dxa"/>
            <w:vAlign w:val="bottom"/>
          </w:tcPr>
          <w:p>
            <w:pPr>
              <w:jc w:val="center"/>
              <w:ind w:right="202"/>
              <w:spacing w:after="0"/>
              <w:rPr>
                <w:sz w:val="20"/>
                <w:szCs w:val="20"/>
                <w:color w:val="auto"/>
              </w:rPr>
            </w:pPr>
            <w:r>
              <w:rPr>
                <w:rFonts w:ascii="Arial" w:cs="Arial" w:eastAsia="Arial" w:hAnsi="Arial"/>
                <w:sz w:val="14"/>
                <w:szCs w:val="14"/>
                <w:color w:val="auto"/>
                <w:w w:val="95"/>
              </w:rPr>
              <w:t>incorporation or organization)</w:t>
            </w:r>
          </w:p>
        </w:tc>
        <w:tc>
          <w:tcPr>
            <w:tcW w:w="5320" w:type="dxa"/>
            <w:vAlign w:val="bottom"/>
          </w:tcPr>
          <w:p>
            <w:pPr>
              <w:jc w:val="center"/>
              <w:ind w:left="4156"/>
              <w:spacing w:after="0"/>
              <w:rPr>
                <w:sz w:val="20"/>
                <w:szCs w:val="20"/>
                <w:color w:val="auto"/>
              </w:rPr>
            </w:pPr>
            <w:r>
              <w:rPr>
                <w:rFonts w:ascii="Arial" w:cs="Arial" w:eastAsia="Arial" w:hAnsi="Arial"/>
                <w:sz w:val="14"/>
                <w:szCs w:val="14"/>
                <w:color w:val="auto"/>
                <w:w w:val="99"/>
              </w:rPr>
              <w:t>Identification No.)</w:t>
            </w:r>
          </w:p>
        </w:tc>
      </w:tr>
      <w:tr>
        <w:trPr>
          <w:trHeight w:val="367"/>
        </w:trPr>
        <w:tc>
          <w:tcPr>
            <w:tcW w:w="2020" w:type="dxa"/>
            <w:vAlign w:val="bottom"/>
          </w:tcPr>
          <w:p>
            <w:pPr>
              <w:spacing w:after="0"/>
              <w:rPr>
                <w:sz w:val="24"/>
                <w:szCs w:val="24"/>
                <w:color w:val="auto"/>
              </w:rPr>
            </w:pPr>
          </w:p>
        </w:tc>
        <w:tc>
          <w:tcPr>
            <w:tcW w:w="5320" w:type="dxa"/>
            <w:vAlign w:val="bottom"/>
          </w:tcPr>
          <w:p>
            <w:pPr>
              <w:jc w:val="center"/>
              <w:ind w:right="1616"/>
              <w:spacing w:after="0"/>
              <w:rPr>
                <w:sz w:val="20"/>
                <w:szCs w:val="20"/>
                <w:color w:val="auto"/>
              </w:rPr>
            </w:pPr>
            <w:r>
              <w:rPr>
                <w:rFonts w:ascii="Arial" w:cs="Arial" w:eastAsia="Arial" w:hAnsi="Arial"/>
                <w:sz w:val="14"/>
                <w:szCs w:val="14"/>
                <w:b w:val="1"/>
                <w:bCs w:val="1"/>
                <w:color w:val="auto"/>
                <w:w w:val="92"/>
              </w:rPr>
              <w:t>6000 Shoreline Court, Suite 300</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b w:val="1"/>
                <w:bCs w:val="1"/>
                <w:color w:val="auto"/>
                <w:w w:val="92"/>
              </w:rPr>
              <w:t>South San Francisco, California 94080</w:t>
            </w:r>
          </w:p>
        </w:tc>
      </w:tr>
      <w:tr>
        <w:trPr>
          <w:trHeight w:val="182"/>
        </w:trPr>
        <w:tc>
          <w:tcPr>
            <w:tcW w:w="2020" w:type="dxa"/>
            <w:vAlign w:val="bottom"/>
          </w:tcPr>
          <w:p>
            <w:pPr>
              <w:spacing w:after="0"/>
              <w:rPr>
                <w:sz w:val="15"/>
                <w:szCs w:val="15"/>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color w:val="auto"/>
                <w:w w:val="94"/>
              </w:rPr>
              <w:t>(Address of principal executive offices, zip code)</w:t>
            </w:r>
          </w:p>
        </w:tc>
      </w:tr>
      <w:tr>
        <w:trPr>
          <w:trHeight w:val="304"/>
        </w:trPr>
        <w:tc>
          <w:tcPr>
            <w:tcW w:w="2020" w:type="dxa"/>
            <w:vAlign w:val="bottom"/>
          </w:tcPr>
          <w:p>
            <w:pPr>
              <w:spacing w:after="0"/>
              <w:rPr>
                <w:sz w:val="24"/>
                <w:szCs w:val="24"/>
                <w:color w:val="auto"/>
              </w:rPr>
            </w:pPr>
          </w:p>
        </w:tc>
        <w:tc>
          <w:tcPr>
            <w:tcW w:w="5320" w:type="dxa"/>
            <w:vAlign w:val="bottom"/>
          </w:tcPr>
          <w:p>
            <w:pPr>
              <w:jc w:val="right"/>
              <w:ind w:right="2976"/>
              <w:spacing w:after="0"/>
              <w:rPr>
                <w:sz w:val="20"/>
                <w:szCs w:val="20"/>
                <w:color w:val="auto"/>
              </w:rPr>
            </w:pPr>
            <w:r>
              <w:rPr>
                <w:rFonts w:ascii="Arial" w:cs="Arial" w:eastAsia="Arial" w:hAnsi="Arial"/>
                <w:sz w:val="14"/>
                <w:szCs w:val="14"/>
                <w:b w:val="1"/>
                <w:bCs w:val="1"/>
                <w:color w:val="auto"/>
              </w:rPr>
              <w:t>(650) 243-6300</w:t>
            </w:r>
          </w:p>
        </w:tc>
      </w:tr>
      <w:tr>
        <w:trPr>
          <w:trHeight w:val="166"/>
        </w:trPr>
        <w:tc>
          <w:tcPr>
            <w:tcW w:w="2020" w:type="dxa"/>
            <w:vAlign w:val="bottom"/>
          </w:tcPr>
          <w:p>
            <w:pPr>
              <w:spacing w:after="0"/>
              <w:rPr>
                <w:sz w:val="14"/>
                <w:szCs w:val="14"/>
                <w:color w:val="auto"/>
              </w:rPr>
            </w:pPr>
          </w:p>
        </w:tc>
        <w:tc>
          <w:tcPr>
            <w:tcW w:w="5320" w:type="dxa"/>
            <w:vAlign w:val="bottom"/>
          </w:tcPr>
          <w:p>
            <w:pPr>
              <w:jc w:val="center"/>
              <w:ind w:right="1596"/>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30"/>
        </w:trPr>
        <w:tc>
          <w:tcPr>
            <w:tcW w:w="2020" w:type="dxa"/>
            <w:vAlign w:val="bottom"/>
          </w:tcPr>
          <w:p>
            <w:pPr>
              <w:spacing w:after="0"/>
              <w:rPr>
                <w:sz w:val="20"/>
                <w:szCs w:val="20"/>
                <w:color w:val="auto"/>
              </w:rPr>
            </w:pPr>
          </w:p>
        </w:tc>
        <w:tc>
          <w:tcPr>
            <w:tcW w:w="5320" w:type="dxa"/>
            <w:vAlign w:val="bottom"/>
          </w:tcPr>
          <w:p>
            <w:pPr>
              <w:jc w:val="center"/>
              <w:ind w:right="1556"/>
              <w:spacing w:after="0"/>
              <w:rPr>
                <w:sz w:val="20"/>
                <w:szCs w:val="20"/>
                <w:color w:val="auto"/>
              </w:rPr>
            </w:pPr>
            <w:r>
              <w:rPr>
                <w:rFonts w:ascii="Arial" w:cs="Arial" w:eastAsia="Arial" w:hAnsi="Arial"/>
                <w:sz w:val="18"/>
                <w:szCs w:val="18"/>
                <w:color w:val="auto"/>
                <w:w w:val="89"/>
              </w:rPr>
              <w:t>________________________________</w:t>
            </w:r>
          </w:p>
        </w:tc>
      </w:tr>
    </w:tbl>
    <w:p>
      <w:pPr>
        <w:spacing w:after="0" w:line="197" w:lineRule="exact"/>
        <w:rPr>
          <w:sz w:val="24"/>
          <w:szCs w:val="24"/>
          <w:color w:val="auto"/>
        </w:rPr>
      </w:pPr>
    </w:p>
    <w:p>
      <w:pPr>
        <w:ind w:right="120" w:firstLine="243"/>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7" w:lineRule="exact"/>
        <w:rPr>
          <w:sz w:val="24"/>
          <w:szCs w:val="24"/>
          <w:color w:val="auto"/>
        </w:rPr>
      </w:pPr>
    </w:p>
    <w:p>
      <w:pPr>
        <w:ind w:firstLine="243"/>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27" w:lineRule="exact"/>
        <w:rPr>
          <w:sz w:val="24"/>
          <w:szCs w:val="24"/>
          <w:color w:val="auto"/>
        </w:rPr>
      </w:pPr>
    </w:p>
    <w:p>
      <w:pPr>
        <w:ind w:right="340" w:firstLine="243"/>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1420" w:type="dxa"/>
        <w:tblCellMar>
          <w:top w:w="0" w:type="dxa"/>
          <w:left w:w="0" w:type="dxa"/>
          <w:bottom w:w="0" w:type="dxa"/>
          <w:right w:w="0" w:type="dxa"/>
        </w:tblCellMar>
      </w:tblPr>
      <w:tr>
        <w:trPr>
          <w:trHeight w:val="182"/>
        </w:trPr>
        <w:tc>
          <w:tcPr>
            <w:tcW w:w="4540" w:type="dxa"/>
            <w:vAlign w:val="bottom"/>
          </w:tcPr>
          <w:p>
            <w:pPr>
              <w:jc w:val="center"/>
              <w:ind w:right="1828"/>
              <w:spacing w:after="0"/>
              <w:rPr>
                <w:sz w:val="20"/>
                <w:szCs w:val="20"/>
                <w:color w:val="auto"/>
              </w:rPr>
            </w:pPr>
            <w:r>
              <w:rPr>
                <w:rFonts w:ascii="Arial" w:cs="Arial" w:eastAsia="Arial" w:hAnsi="Arial"/>
                <w:sz w:val="14"/>
                <w:szCs w:val="14"/>
                <w:color w:val="auto"/>
                <w:w w:val="93"/>
              </w:rPr>
              <w:t>Large accelerated filer o</w:t>
            </w:r>
          </w:p>
        </w:tc>
        <w:tc>
          <w:tcPr>
            <w:tcW w:w="3560" w:type="dxa"/>
            <w:vAlign w:val="bottom"/>
          </w:tcPr>
          <w:p>
            <w:pPr>
              <w:jc w:val="center"/>
              <w:ind w:left="1808"/>
              <w:spacing w:after="0"/>
              <w:rPr>
                <w:sz w:val="20"/>
                <w:szCs w:val="20"/>
                <w:color w:val="auto"/>
              </w:rPr>
            </w:pPr>
            <w:r>
              <w:rPr>
                <w:rFonts w:ascii="Arial" w:cs="Arial" w:eastAsia="Arial" w:hAnsi="Arial"/>
                <w:sz w:val="14"/>
                <w:szCs w:val="14"/>
                <w:color w:val="auto"/>
                <w:w w:val="97"/>
              </w:rPr>
              <w:t>Accelerated filer x</w:t>
            </w:r>
          </w:p>
        </w:tc>
      </w:tr>
      <w:tr>
        <w:trPr>
          <w:trHeight w:val="392"/>
        </w:trPr>
        <w:tc>
          <w:tcPr>
            <w:tcW w:w="4540" w:type="dxa"/>
            <w:vAlign w:val="bottom"/>
          </w:tcPr>
          <w:p>
            <w:pPr>
              <w:jc w:val="center"/>
              <w:ind w:right="1808"/>
              <w:spacing w:after="0"/>
              <w:rPr>
                <w:sz w:val="20"/>
                <w:szCs w:val="20"/>
                <w:color w:val="auto"/>
              </w:rPr>
            </w:pPr>
            <w:r>
              <w:rPr>
                <w:rFonts w:ascii="Arial" w:cs="Arial" w:eastAsia="Arial" w:hAnsi="Arial"/>
                <w:sz w:val="14"/>
                <w:szCs w:val="14"/>
                <w:color w:val="auto"/>
                <w:w w:val="95"/>
              </w:rPr>
              <w:t>Non-accelerated filer o</w:t>
            </w:r>
          </w:p>
        </w:tc>
        <w:tc>
          <w:tcPr>
            <w:tcW w:w="3560" w:type="dxa"/>
            <w:vAlign w:val="bottom"/>
          </w:tcPr>
          <w:p>
            <w:pPr>
              <w:jc w:val="center"/>
              <w:ind w:left="1808"/>
              <w:spacing w:after="0"/>
              <w:rPr>
                <w:sz w:val="20"/>
                <w:szCs w:val="20"/>
                <w:color w:val="auto"/>
              </w:rPr>
            </w:pPr>
            <w:r>
              <w:rPr>
                <w:rFonts w:ascii="Arial" w:cs="Arial" w:eastAsia="Arial" w:hAnsi="Arial"/>
                <w:sz w:val="14"/>
                <w:szCs w:val="14"/>
                <w:color w:val="auto"/>
                <w:w w:val="94"/>
              </w:rPr>
              <w:t>Smaller reporting company x</w:t>
            </w:r>
          </w:p>
        </w:tc>
      </w:tr>
      <w:tr>
        <w:trPr>
          <w:trHeight w:val="392"/>
        </w:trPr>
        <w:tc>
          <w:tcPr>
            <w:tcW w:w="4540" w:type="dxa"/>
            <w:vAlign w:val="bottom"/>
          </w:tcPr>
          <w:p>
            <w:pPr>
              <w:jc w:val="center"/>
              <w:ind w:right="1808"/>
              <w:spacing w:after="0"/>
              <w:rPr>
                <w:sz w:val="20"/>
                <w:szCs w:val="20"/>
                <w:color w:val="auto"/>
              </w:rPr>
            </w:pPr>
            <w:r>
              <w:rPr>
                <w:rFonts w:ascii="Arial" w:cs="Arial" w:eastAsia="Arial" w:hAnsi="Arial"/>
                <w:sz w:val="14"/>
                <w:szCs w:val="14"/>
                <w:color w:val="auto"/>
                <w:w w:val="94"/>
              </w:rPr>
              <w:t>(Do not check if a smaller reporting company)</w:t>
            </w:r>
          </w:p>
        </w:tc>
        <w:tc>
          <w:tcPr>
            <w:tcW w:w="3560" w:type="dxa"/>
            <w:vAlign w:val="bottom"/>
          </w:tcPr>
          <w:p>
            <w:pPr>
              <w:jc w:val="center"/>
              <w:ind w:left="1808"/>
              <w:spacing w:after="0"/>
              <w:rPr>
                <w:sz w:val="20"/>
                <w:szCs w:val="20"/>
                <w:color w:val="auto"/>
              </w:rPr>
            </w:pPr>
            <w:r>
              <w:rPr>
                <w:rFonts w:ascii="Arial" w:cs="Arial" w:eastAsia="Arial" w:hAnsi="Arial"/>
                <w:sz w:val="14"/>
                <w:szCs w:val="14"/>
                <w:color w:val="auto"/>
                <w:w w:val="94"/>
              </w:rPr>
              <w:t>Emerging growth company x</w:t>
            </w:r>
          </w:p>
        </w:tc>
      </w:tr>
    </w:tbl>
    <w:p>
      <w:pPr>
        <w:spacing w:after="0" w:line="34" w:lineRule="exact"/>
        <w:rPr>
          <w:sz w:val="24"/>
          <w:szCs w:val="24"/>
          <w:color w:val="auto"/>
        </w:rPr>
      </w:pPr>
    </w:p>
    <w:p>
      <w:pPr>
        <w:ind w:right="480" w:firstLine="243"/>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93" w:lineRule="exact"/>
        <w:rPr>
          <w:sz w:val="24"/>
          <w:szCs w:val="24"/>
          <w:color w:val="auto"/>
        </w:rPr>
      </w:pPr>
    </w:p>
    <w:p>
      <w:pPr>
        <w:ind w:left="26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Act).Yes o No </w:t>
      </w:r>
      <w:r>
        <w:rPr>
          <w:rFonts w:ascii="MS PGothic" w:cs="MS PGothic" w:eastAsia="MS PGothic" w:hAnsi="MS PGothic"/>
          <w:sz w:val="14"/>
          <w:szCs w:val="14"/>
          <w:color w:val="auto"/>
        </w:rPr>
        <w:t>☒</w:t>
      </w:r>
    </w:p>
    <w:p>
      <w:pPr>
        <w:spacing w:after="0" w:line="190" w:lineRule="exact"/>
        <w:rPr>
          <w:sz w:val="24"/>
          <w:szCs w:val="24"/>
          <w:color w:val="auto"/>
        </w:rPr>
      </w:pPr>
    </w:p>
    <w:p>
      <w:pPr>
        <w:ind w:left="260"/>
        <w:spacing w:after="0"/>
        <w:rPr>
          <w:sz w:val="20"/>
          <w:szCs w:val="20"/>
          <w:color w:val="auto"/>
        </w:rPr>
      </w:pPr>
      <w:r>
        <w:rPr>
          <w:rFonts w:ascii="Arial" w:cs="Arial" w:eastAsia="Arial" w:hAnsi="Arial"/>
          <w:sz w:val="14"/>
          <w:szCs w:val="14"/>
          <w:color w:val="auto"/>
        </w:rPr>
        <w:t>As of October 25, 2018, there were 40,538,779 shares of common stock, par value $0.001 per share, outstanding.</w:t>
      </w:r>
    </w:p>
    <w:p>
      <w:pPr>
        <w:sectPr>
          <w:pgSz w:w="11900" w:h="16838" w:orient="portrait"/>
          <w:cols w:equalWidth="0" w:num="1">
            <w:col w:w="11400"/>
          </w:cols>
          <w:pgMar w:left="240" w:top="229" w:right="25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No.</w:t>
            </w:r>
          </w:p>
        </w:tc>
        <w:tc>
          <w:tcPr>
            <w:tcW w:w="0" w:type="dxa"/>
            <w:vAlign w:val="bottom"/>
          </w:tcPr>
          <w:p>
            <w:pPr>
              <w:spacing w:after="0"/>
              <w:rPr>
                <w:sz w:val="1"/>
                <w:szCs w:val="1"/>
                <w:color w:val="auto"/>
              </w:rPr>
            </w:pPr>
          </w:p>
        </w:tc>
      </w:tr>
      <w:tr>
        <w:trPr>
          <w:trHeight w:val="189"/>
        </w:trPr>
        <w:tc>
          <w:tcPr>
            <w:tcW w:w="10020" w:type="dxa"/>
            <w:vAlign w:val="bottom"/>
            <w:gridSpan w:val="18"/>
          </w:tcPr>
          <w:p>
            <w:pPr>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98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Condensed Financial Statements (Unaudited)</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8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September 30, 2018 and December 31, 2017</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80" w:type="dxa"/>
            <w:vAlign w:val="bottom"/>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Statements of Operations and Comprehensive Loss for the Three and Nine-Month Periods Ended September 30, 2018 and</w:t>
              </w:r>
            </w:hyperlink>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40" w:type="dxa"/>
            <w:vAlign w:val="bottom"/>
            <w:gridSpan w:val="2"/>
            <w:vMerge w:val="restart"/>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2017</w:t>
              </w:r>
            </w:hyperlink>
          </w:p>
        </w:tc>
        <w:tc>
          <w:tcPr>
            <w:tcW w:w="4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gridSpan w:val="2"/>
            <w:vMerge w:val="restart"/>
          </w:tcPr>
          <w:p>
            <w:pPr>
              <w:spacing w:after="0"/>
              <w:rPr>
                <w:sz w:val="17"/>
                <w:szCs w:val="17"/>
                <w:color w:val="auto"/>
              </w:rPr>
            </w:pPr>
          </w:p>
        </w:tc>
        <w:tc>
          <w:tcPr>
            <w:tcW w:w="100" w:type="dxa"/>
            <w:vAlign w:val="bottom"/>
            <w:vMerge w:val="restart"/>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340" w:type="dxa"/>
            <w:vAlign w:val="bottom"/>
            <w:gridSpan w:val="2"/>
            <w:vMerge w:val="continue"/>
          </w:tcPr>
          <w:p>
            <w:pPr>
              <w:spacing w:after="0"/>
              <w:rPr>
                <w:sz w:val="2"/>
                <w:szCs w:val="2"/>
                <w:color w:val="auto"/>
              </w:rPr>
            </w:pPr>
          </w:p>
        </w:tc>
        <w:tc>
          <w:tcPr>
            <w:tcW w:w="3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Borders>
              <w:bottom w:val="single" w:sz="8" w:color="0000EE"/>
            </w:tcBorders>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Statements of Cash Flows for the Nine-Month Periods Ended September 30, 2018 and 2017</w:t>
              </w:r>
            </w:hyperlink>
          </w:p>
        </w:tc>
        <w:tc>
          <w:tcPr>
            <w:tcW w:w="2200" w:type="dxa"/>
            <w:vAlign w:val="bottom"/>
            <w:gridSpan w:val="2"/>
          </w:tcPr>
          <w:p>
            <w:pPr>
              <w:spacing w:after="0"/>
              <w:rPr>
                <w:sz w:val="21"/>
                <w:szCs w:val="21"/>
                <w:color w:val="auto"/>
              </w:rPr>
            </w:pPr>
          </w:p>
        </w:tc>
        <w:tc>
          <w:tcPr>
            <w:tcW w:w="12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8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Financial Statements</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9360" w:type="dxa"/>
            <w:vAlign w:val="bottom"/>
            <w:gridSpan w:val="15"/>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1360" w:type="dxa"/>
            <w:vAlign w:val="bottom"/>
            <w:gridSpan w:val="4"/>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3.</w:t>
              </w:r>
            </w:hyperlink>
          </w:p>
        </w:tc>
        <w:tc>
          <w:tcPr>
            <w:tcW w:w="6480" w:type="dxa"/>
            <w:vAlign w:val="bottom"/>
            <w:gridSpan w:val="12"/>
          </w:tcPr>
          <w:p>
            <w:pPr>
              <w:ind w:left="20"/>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2880" w:type="dxa"/>
            <w:vAlign w:val="bottom"/>
            <w:gridSpan w:val="3"/>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1800" w:type="dxa"/>
            <w:vAlign w:val="bottom"/>
            <w:gridSpan w:val="5"/>
          </w:tcPr>
          <w:p>
            <w:pPr>
              <w:ind w:left="20"/>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2580" w:type="dxa"/>
            <w:vAlign w:val="bottom"/>
            <w:gridSpan w:val="5"/>
          </w:tcPr>
          <w:p>
            <w:pPr>
              <w:spacing w:after="0"/>
              <w:rPr>
                <w:sz w:val="21"/>
                <w:szCs w:val="21"/>
                <w:color w:val="auto"/>
              </w:rPr>
            </w:pPr>
          </w:p>
        </w:tc>
        <w:tc>
          <w:tcPr>
            <w:tcW w:w="4980" w:type="dxa"/>
            <w:vAlign w:val="bottom"/>
            <w:gridSpan w:val="5"/>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40" w:type="dxa"/>
            <w:vAlign w:val="bottom"/>
            <w:gridSpan w:val="9"/>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20" w:type="dxa"/>
            <w:vAlign w:val="bottom"/>
            <w:gridSpan w:val="18"/>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 OTHER INFORMATION</w:t>
              </w:r>
            </w:hyperlink>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40" w:type="dxa"/>
            <w:vAlign w:val="bottom"/>
            <w:tcBorders>
              <w:top w:val="single" w:sz="8" w:color="0000EE"/>
            </w:tcBorders>
          </w:tcPr>
          <w:p>
            <w:pPr>
              <w:spacing w:after="0"/>
              <w:rPr>
                <w:sz w:val="21"/>
                <w:szCs w:val="21"/>
                <w:color w:val="auto"/>
              </w:rPr>
            </w:pPr>
          </w:p>
        </w:tc>
        <w:tc>
          <w:tcPr>
            <w:tcW w:w="1580" w:type="dxa"/>
            <w:vAlign w:val="bottom"/>
            <w:tcBorders>
              <w:top w:val="single" w:sz="8" w:color="0000EE"/>
            </w:tcBorders>
            <w:gridSpan w:val="6"/>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1A. Risk Factors</w:t>
              </w:r>
            </w:hyperlink>
          </w:p>
        </w:tc>
        <w:tc>
          <w:tcPr>
            <w:tcW w:w="1260" w:type="dxa"/>
            <w:vAlign w:val="bottom"/>
            <w:tcBorders>
              <w:top w:val="single" w:sz="8" w:color="0000EE"/>
            </w:tcBorders>
            <w:gridSpan w:val="2"/>
          </w:tcPr>
          <w:p>
            <w:pPr>
              <w:spacing w:after="0"/>
              <w:rPr>
                <w:sz w:val="21"/>
                <w:szCs w:val="21"/>
                <w:color w:val="auto"/>
              </w:rPr>
            </w:pPr>
          </w:p>
        </w:tc>
        <w:tc>
          <w:tcPr>
            <w:tcW w:w="7040" w:type="dxa"/>
            <w:vAlign w:val="bottom"/>
            <w:gridSpan w:val="9"/>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300" w:type="dxa"/>
            <w:vAlign w:val="bottom"/>
            <w:gridSpan w:val="11"/>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520" w:type="dxa"/>
            <w:vAlign w:val="bottom"/>
            <w:gridSpan w:val="2"/>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6.</w:t>
              </w:r>
            </w:hyperlink>
          </w:p>
        </w:tc>
        <w:tc>
          <w:tcPr>
            <w:tcW w:w="1060" w:type="dxa"/>
            <w:vAlign w:val="bottom"/>
            <w:gridSpan w:val="4"/>
          </w:tcPr>
          <w:p>
            <w:pPr>
              <w:ind w:left="20"/>
              <w:spacing w:after="0"/>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8300" w:type="dxa"/>
            <w:vAlign w:val="bottom"/>
            <w:gridSpan w:val="11"/>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740" w:type="dxa"/>
            <w:vAlign w:val="bottom"/>
            <w:gridSpan w:val="1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00" w:type="dxa"/>
            <w:vAlign w:val="bottom"/>
            <w:gridSpan w:val="5"/>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SIGNATURES</w:t>
              </w:r>
            </w:hyperlink>
          </w:p>
        </w:tc>
        <w:tc>
          <w:tcPr>
            <w:tcW w:w="8920" w:type="dxa"/>
            <w:vAlign w:val="bottom"/>
            <w:gridSpan w:val="13"/>
          </w:tcPr>
          <w:p>
            <w:pPr>
              <w:spacing w:after="0"/>
              <w:rPr>
                <w:sz w:val="21"/>
                <w:szCs w:val="21"/>
                <w:color w:val="auto"/>
              </w:rPr>
            </w:pPr>
          </w:p>
        </w:tc>
        <w:tc>
          <w:tcPr>
            <w:tcW w:w="136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21"/>
                <w:szCs w:val="21"/>
                <w:color w:val="auto"/>
              </w:rPr>
            </w:pPr>
          </w:p>
        </w:tc>
        <w:tc>
          <w:tcPr>
            <w:tcW w:w="1340" w:type="dxa"/>
            <w:vAlign w:val="bottom"/>
          </w:tcPr>
          <w:p>
            <w:pPr>
              <w:jc w:val="right"/>
              <w:ind w:right="271"/>
              <w:spacing w:after="0"/>
              <w:rPr>
                <w:sz w:val="20"/>
                <w:szCs w:val="20"/>
                <w:color w:val="auto"/>
              </w:rPr>
            </w:pPr>
            <w:r>
              <w:rPr>
                <w:rFonts w:ascii="Arial" w:cs="Arial" w:eastAsia="Arial" w:hAnsi="Arial"/>
                <w:sz w:val="14"/>
                <w:szCs w:val="14"/>
                <w:b w:val="1"/>
                <w:bCs w:val="1"/>
                <w:color w:val="auto"/>
              </w:rPr>
              <w:t>(See Note 1)</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33,891</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12,262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12,716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Supplies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95,374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53,928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8,939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119,077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78,669</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Capital lease liability, net of current portion</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 net of current portion</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39,660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41,444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Preferred stock, $0.001 par value; 5,000,000 shares authorized, no shares issued and outstanding as of</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September 30, 2018 and December 31, 2017</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280"/>
              <w:spacing w:after="0"/>
              <w:rPr>
                <w:sz w:val="20"/>
                <w:szCs w:val="20"/>
                <w:color w:val="auto"/>
              </w:rPr>
            </w:pPr>
            <w:r>
              <w:rPr>
                <w:rFonts w:ascii="Arial" w:cs="Arial" w:eastAsia="Arial" w:hAnsi="Arial"/>
                <w:sz w:val="18"/>
                <w:szCs w:val="18"/>
                <w:color w:val="auto"/>
                <w:w w:val="92"/>
              </w:rPr>
              <w:t>Common stock, $0.001 par value; 125,000,000 shares authorized, 40,535,674 and 34,210,388 shares issued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40"/>
              <w:spacing w:after="0"/>
              <w:rPr>
                <w:sz w:val="20"/>
                <w:szCs w:val="20"/>
                <w:color w:val="auto"/>
              </w:rPr>
            </w:pPr>
            <w:r>
              <w:rPr>
                <w:rFonts w:ascii="Arial" w:cs="Arial" w:eastAsia="Arial" w:hAnsi="Arial"/>
                <w:sz w:val="18"/>
                <w:szCs w:val="18"/>
                <w:color w:val="auto"/>
              </w:rPr>
              <w:t>and outstanding as of September 30, 2018 and December 31, 2017, respectively</w:t>
            </w:r>
          </w:p>
        </w:tc>
        <w:tc>
          <w:tcPr>
            <w:tcW w:w="20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248,278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(230,981)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(211,087)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79,417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37,225</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119,077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78,669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and per share amounts</w:t>
      </w:r>
      <w:r>
        <w:rPr>
          <w:rFonts w:ascii="Arial" w:cs="Arial" w:eastAsia="Arial" w:hAnsi="Arial"/>
          <w:sz w:val="14"/>
          <w:szCs w:val="14"/>
          <w:b w:val="1"/>
          <w:bCs w:val="1"/>
          <w:color w:val="auto"/>
        </w:rPr>
        <w:t>)</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4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64"/>
        </w:trPr>
        <w:tc>
          <w:tcPr>
            <w:tcW w:w="60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52,357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20,426</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3,419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11,695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10,679</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and marketing</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23,215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5,742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17,318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17,731</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27,770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23,887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85,434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72,851</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(20,494)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(2,423)</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and comprehensive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(19,894)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(22,564)</w:t>
            </w: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common share, 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6060" w:type="dxa"/>
            <w:vAlign w:val="bottom"/>
          </w:tcPr>
          <w:p>
            <w:pPr>
              <w:ind w:left="40"/>
              <w:spacing w:after="0"/>
              <w:rPr>
                <w:sz w:val="20"/>
                <w:szCs w:val="20"/>
                <w:color w:val="auto"/>
              </w:rPr>
            </w:pPr>
            <w:r>
              <w:rPr>
                <w:rFonts w:ascii="Arial" w:cs="Arial" w:eastAsia="Arial" w:hAnsi="Arial"/>
                <w:sz w:val="18"/>
                <w:szCs w:val="18"/>
                <w:color w:val="auto"/>
              </w:rPr>
              <w:t>Shares used to compute net loss per common share, basic and diluted</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38,620,036</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33,946,748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35,769,623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33,881,705</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of dollars)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(19,894)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(22,564)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2,839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 on end-of-term debt obligation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Supplies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current other assets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 and deferred rent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(18,099)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the issuance of common stock in a public offering, net of costs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55,039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legal settlement regarding short-swing profits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 of capital lease liability</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the exercise of common stock options and employee stock purchases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57,670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34,494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59,942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78,449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41,798</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Supplementary cash flow information of non-cash investing and financing activities:</w:t>
            </w: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 included in accounts payable and accrued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paid on debt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r>
        <w:rPr>
          <w:rFonts w:ascii="Arial" w:cs="Arial" w:eastAsia="Arial" w:hAnsi="Arial"/>
          <w:sz w:val="18"/>
          <w:szCs w:val="18"/>
          <w:color w:val="auto"/>
        </w:rPr>
        <w: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77,846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33,891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603</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78,449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34,494</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Veracyte, Inc. (“Veracyte” or the “Company”) was incorporated in the state of Delaware on August 15, 2006 as Calderome, Inc. Calderome operated as an incubator until early 2008. On March 4, 2008, the Company changed its name to Veracyte, Inc. The Company’s operations are based in South San Francisco, California and Austin, Texas, and it operates in one segment.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Veracyte is a genomic diagnostics company that resolves diagnostic uncertainty by combining genomic technology, clinical science and machine learning to provide diagnostic answers to physicians and patients.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Since the Company's founding in 2008, it has commercialized three products:</w:t>
      </w:r>
    </w:p>
    <w:p>
      <w:pPr>
        <w:spacing w:after="0" w:line="225" w:lineRule="exact"/>
        <w:rPr>
          <w:sz w:val="20"/>
          <w:szCs w:val="20"/>
          <w:color w:val="auto"/>
        </w:rPr>
      </w:pPr>
    </w:p>
    <w:p>
      <w:pPr>
        <w:jc w:val="both"/>
        <w:ind w:left="1060"/>
        <w:spacing w:after="0" w:line="257" w:lineRule="auto"/>
        <w:rPr>
          <w:sz w:val="20"/>
          <w:szCs w:val="20"/>
          <w:color w:val="auto"/>
        </w:rPr>
      </w:pPr>
      <w:r>
        <w:rPr>
          <w:rFonts w:ascii="Arial" w:cs="Arial" w:eastAsia="Arial" w:hAnsi="Arial"/>
          <w:sz w:val="18"/>
          <w:szCs w:val="18"/>
          <w:i w:val="1"/>
          <w:iCs w:val="1"/>
          <w:color w:val="auto"/>
        </w:rPr>
        <w:t xml:space="preserve">Afirma Thyroid FNA Analysis </w:t>
      </w:r>
      <w:r>
        <w:rPr>
          <w:rFonts w:ascii="Arial" w:cs="Arial" w:eastAsia="Arial" w:hAnsi="Arial"/>
          <w:sz w:val="18"/>
          <w:szCs w:val="18"/>
          <w:color w:val="auto"/>
        </w:rPr>
        <w:t>- Includes the next-generation Afirma Genomic Sequencing Classifier, or GSC, and its predecessor, the Afirma</w:t>
      </w:r>
      <w:r>
        <w:rPr>
          <w:rFonts w:ascii="Arial" w:cs="Arial" w:eastAsia="Arial" w:hAnsi="Arial"/>
          <w:sz w:val="18"/>
          <w:szCs w:val="18"/>
          <w:i w:val="1"/>
          <w:iCs w:val="1"/>
          <w:color w:val="auto"/>
        </w:rPr>
        <w:t xml:space="preserve"> </w:t>
      </w:r>
      <w:r>
        <w:rPr>
          <w:rFonts w:ascii="Arial" w:cs="Arial" w:eastAsia="Arial" w:hAnsi="Arial"/>
          <w:sz w:val="18"/>
          <w:szCs w:val="18"/>
          <w:color w:val="auto"/>
        </w:rPr>
        <w:t>Gene Expression Classifier, or GEC, that is used to identify patients with benign thyroid nodules among those with indeterminate cytopathology results in order to preserve the thyroid. The Afirma classifier was developed using machine learning that is based on ensemble methods in which multiple algorithms - each playing its own role - are used to interpret large amounts of ribonucleic acid, or RNA, sequencing genomic data and obtain a better predictive performance than any single algorithm.</w:t>
      </w:r>
    </w:p>
    <w:p>
      <w:pPr>
        <w:spacing w:after="0" w:line="188" w:lineRule="exact"/>
        <w:rPr>
          <w:sz w:val="20"/>
          <w:szCs w:val="20"/>
          <w:color w:val="auto"/>
        </w:rPr>
      </w:pPr>
    </w:p>
    <w:p>
      <w:pPr>
        <w:jc w:val="both"/>
        <w:ind w:left="1060"/>
        <w:spacing w:after="0" w:line="257" w:lineRule="auto"/>
        <w:rPr>
          <w:sz w:val="20"/>
          <w:szCs w:val="20"/>
          <w:color w:val="auto"/>
        </w:rPr>
      </w:pPr>
      <w:r>
        <w:rPr>
          <w:rFonts w:ascii="Arial" w:cs="Arial" w:eastAsia="Arial" w:hAnsi="Arial"/>
          <w:sz w:val="18"/>
          <w:szCs w:val="18"/>
          <w:i w:val="1"/>
          <w:iCs w:val="1"/>
          <w:color w:val="auto"/>
        </w:rPr>
        <w:t xml:space="preserve">Percepta Bronchial Genomic Classifier - </w:t>
      </w:r>
      <w:r>
        <w:rPr>
          <w:rFonts w:ascii="Arial" w:cs="Arial" w:eastAsia="Arial" w:hAnsi="Arial"/>
          <w:sz w:val="18"/>
          <w:szCs w:val="18"/>
          <w:color w:val="auto"/>
        </w:rPr>
        <w:t>The 23-gene Percepta classifier improves lung cancer screening and diagnosis by increasing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diagnostic performance of bronchoscopies and identifying patients with lung nodules who are at low risk of cancer, without the need for more invasive procedures. The test leverages the field of injury concept and analyzes genomic changes that occur in the epithelial cells lining the airways of current or former smokers to assess a patient’s risk of having lung cancer, without the need to test the often-hard-to-reach nodule directly.</w:t>
      </w:r>
    </w:p>
    <w:p>
      <w:pPr>
        <w:spacing w:after="0" w:line="188" w:lineRule="exact"/>
        <w:rPr>
          <w:sz w:val="20"/>
          <w:szCs w:val="20"/>
          <w:color w:val="auto"/>
        </w:rPr>
      </w:pPr>
    </w:p>
    <w:p>
      <w:pPr>
        <w:jc w:val="both"/>
        <w:ind w:left="1060"/>
        <w:spacing w:after="0" w:line="259" w:lineRule="auto"/>
        <w:rPr>
          <w:sz w:val="20"/>
          <w:szCs w:val="20"/>
          <w:color w:val="auto"/>
        </w:rPr>
      </w:pPr>
      <w:r>
        <w:rPr>
          <w:rFonts w:ascii="Arial" w:cs="Arial" w:eastAsia="Arial" w:hAnsi="Arial"/>
          <w:sz w:val="18"/>
          <w:szCs w:val="18"/>
          <w:i w:val="1"/>
          <w:iCs w:val="1"/>
          <w:color w:val="auto"/>
        </w:rPr>
        <w:t xml:space="preserve">Envisia Genomic Classifier </w:t>
      </w:r>
      <w:r>
        <w:rPr>
          <w:rFonts w:ascii="Arial" w:cs="Arial" w:eastAsia="Arial" w:hAnsi="Arial"/>
          <w:sz w:val="18"/>
          <w:szCs w:val="18"/>
          <w:color w:val="auto"/>
        </w:rPr>
        <w:t>- The Envisia classifier is designed to improve physicians’ ability to differentiate idiopathic pulmonary fibrosis, or</w:t>
      </w:r>
      <w:r>
        <w:rPr>
          <w:rFonts w:ascii="Arial" w:cs="Arial" w:eastAsia="Arial" w:hAnsi="Arial"/>
          <w:sz w:val="18"/>
          <w:szCs w:val="18"/>
          <w:i w:val="1"/>
          <w:iCs w:val="1"/>
          <w:color w:val="auto"/>
        </w:rPr>
        <w:t xml:space="preserve"> </w:t>
      </w:r>
      <w:r>
        <w:rPr>
          <w:rFonts w:ascii="Arial" w:cs="Arial" w:eastAsia="Arial" w:hAnsi="Arial"/>
          <w:sz w:val="18"/>
          <w:szCs w:val="18"/>
          <w:color w:val="auto"/>
        </w:rPr>
        <w:t>IPF, from other interstitial lung diseases, or ILD, without the need for invasive and potentially risky surgery. The Envisia classifier was developed using machine learning coupled with powerful, deep RNA sequencing to detect the presence or absence of usual interstitial pneumonia, or UIP, a classic diagnostic pattern whose presence is essential for the diagnosis of IPF.</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the Company's testing services are made available through its clinical reference laboratories located in South San Francisco, California and Austin, Texas, both of which meet required federal and state licensing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Company’s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balance sheet as of September 30, 2018, the condensed statements of operations and comprehensive loss for the three and nine months ended September 30, 2018 and 2017, and the condensed statements of cash flows for the nine months ended September 30, 2018 and 2017 are unaudited, but include all adjustments, consisting only of normal recurring adjustments, which the Company considers necessary for a fair presentation of its financial position, operating results and cash flows for the periods presented. The condensed balance sheet at December 31, 2017 has been derived from audited financial statements. The results for the three and nine months ended September 30, 2018 are not necessarily indicative of the results expected for the full year or any other period.</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accompanying interim period condensed financial statements and related financial information included in this Quarterly Report on Form 10-Q should be read in conjunction with the audited financial statements and notes thereto included in the Company’s Annual Report on Form 10-K for the year ended December 31, 2017.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preparation of unaudited interim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contractual allowances; the useful lives of property and equipment; the recoverability of long-lived assets; the estimation of the fair value of intangible assets; stock options;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in a Public Offering</w:t>
      </w:r>
    </w:p>
    <w:p>
      <w:pPr>
        <w:spacing w:after="0" w:line="225"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In July 2018, the Company issued and sold 5,750,000 shares of common stock in a registered public offering, including the underwriters' exercise in full of their option to purchase an additional 750,000 shares, at a price to the public of $10.25 per share. The Company's net proceeds from the offering were approximately $55.0 million, after deducting underwriting commissions and offering expenses of $3.9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majority of the Company’s cash and cash equivalents are deposited with one major financial institution in the United States. Deposits in this institution may exceed the amount of insurance provided on such deposits. The Company has not experienced any losses on its deposits of cash and cash equivalents.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also subject to credit risk from its accounts receivable related to its sales. The Company generally does not perform evaluations of customers’ financial condition and generally does not require collateral.</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Through September 30, 2018, substantially all of the Company’s revenue has been derived from the sale of Afirma. To date, Afirma has been delivered primarily to physicians in the United States. The Company’s third-party payers in excess of 10% of revenue and their related revenue as a percentage of total revenue were as follows: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26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 September 30,</w:t>
            </w:r>
          </w:p>
        </w:tc>
        <w:tc>
          <w:tcPr>
            <w:tcW w:w="3160" w:type="dxa"/>
            <w:vAlign w:val="bottom"/>
            <w:gridSpan w:val="5"/>
          </w:tcPr>
          <w:p>
            <w:pPr>
              <w:jc w:val="right"/>
              <w:ind w:right="415"/>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UnitedHealthcare</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1420" w:type="dxa"/>
            <w:vAlign w:val="bottom"/>
            <w:gridSpan w:val="11"/>
          </w:tcPr>
          <w:p>
            <w:pPr>
              <w:jc w:val="right"/>
              <w:spacing w:after="0"/>
              <w:rPr>
                <w:sz w:val="20"/>
                <w:szCs w:val="20"/>
                <w:color w:val="auto"/>
              </w:rPr>
            </w:pPr>
            <w:r>
              <w:rPr>
                <w:rFonts w:ascii="Arial" w:cs="Arial" w:eastAsia="Arial" w:hAnsi="Arial"/>
                <w:sz w:val="18"/>
                <w:szCs w:val="18"/>
                <w:color w:val="auto"/>
                <w:w w:val="99"/>
              </w:rPr>
              <w:t>The Company’s significant third-party payers and their related accounts receivable balance as a percentage of total accounts receivable were as</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follows: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5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4"/>
          </w:tcPr>
          <w:p>
            <w:pPr>
              <w:ind w:left="260"/>
              <w:spacing w:after="0"/>
              <w:rPr>
                <w:sz w:val="20"/>
                <w:szCs w:val="20"/>
                <w:color w:val="auto"/>
              </w:rPr>
            </w:pPr>
            <w:r>
              <w:rPr>
                <w:rFonts w:ascii="Arial" w:cs="Arial" w:eastAsia="Arial" w:hAnsi="Arial"/>
                <w:sz w:val="14"/>
                <w:szCs w:val="14"/>
                <w:b w:val="1"/>
                <w:bCs w:val="1"/>
                <w:color w:val="auto"/>
              </w:rPr>
              <w:t>September 30,</w:t>
            </w:r>
          </w:p>
        </w:tc>
        <w:tc>
          <w:tcPr>
            <w:tcW w:w="152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92"/>
        </w:trPr>
        <w:tc>
          <w:tcPr>
            <w:tcW w:w="500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UnitedHealthcare</w:t>
            </w: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other third-party payer represented more than 10% of the Company’s accounts receivable balances as of those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had deposits of $603,000 included in long-term assets as of September 30, 2018 and December 31, 2017, restricted from withdrawal and held by a bank in the form of collateral for an irrevocable standby letter of credit held as security for the lease of the Company’s South San Francisco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Company commenced recognizing revenue in accordance with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ASC 606, starting January 1, 2018. Prior to January 1, 2018, the Company recognized revenue in accordance with the provisions of ASC 954-605, </w:t>
      </w:r>
      <w:r>
        <w:rPr>
          <w:rFonts w:ascii="Arial" w:cs="Arial" w:eastAsia="Arial" w:hAnsi="Arial"/>
          <w:sz w:val="18"/>
          <w:szCs w:val="18"/>
          <w:i w:val="1"/>
          <w:iCs w:val="1"/>
          <w:color w:val="auto"/>
        </w:rPr>
        <w:t>Health Care</w:t>
      </w:r>
      <w:r>
        <w:rPr>
          <w:rFonts w:ascii="Arial" w:cs="Arial" w:eastAsia="Arial" w:hAnsi="Arial"/>
          <w:sz w:val="18"/>
          <w:szCs w:val="18"/>
          <w:color w:val="auto"/>
        </w:rPr>
        <w:t xml:space="preserve"> </w:t>
      </w:r>
      <w:r>
        <w:rPr>
          <w:rFonts w:ascii="Arial" w:cs="Arial" w:eastAsia="Arial" w:hAnsi="Arial"/>
          <w:sz w:val="18"/>
          <w:szCs w:val="18"/>
          <w:i w:val="1"/>
          <w:iCs w:val="1"/>
          <w:color w:val="auto"/>
        </w:rPr>
        <w:t>Entities - Revenue Recognition</w:t>
      </w:r>
      <w:r>
        <w:rPr>
          <w:rFonts w:ascii="Arial" w:cs="Arial" w:eastAsia="Arial" w:hAnsi="Arial"/>
          <w:sz w:val="18"/>
          <w:szCs w:val="18"/>
          <w:color w:val="auto"/>
        </w:rPr>
        <w:t>, or ASC 954.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Diagnostic Services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Most of the Company’s revenue is generated from the provision of diagnostic services. These services are completed upon the delivery of test results to the prescribing physician, at which time the Company bills for the services. The Company recognizes revenue related to billings based on estimates of the amount that will ultimately be realized.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adopted ASC 606 on January 1, 2018 using the modified retrospective method, which requires a cumulative catch-up adjustment as if the Company had recognized revenue under ASC 606 from January 1, 2016 to December 31, 2017. Prior to January 1, 2018, the Company recognized revenue in accordance with ASC 954 and recognized revenue for tests delivered on an accrual basis when amounts that will ultimately be realized could be reasonably estimated, and on the cash basis when there was insufficient information to estimate revenue accruals. There was sufficient payment history for the Company to substantially accrue all revenue upon delivery of test results starting July 1, 2016 and the Company continued to recognize revenue upon cash receipt for unaccrued tests that were delivered prior to July 1, 2016. There was no revenue recognized on the cash basis for the three and nine months ended September 30, 2018 and revenue recognized on the cash basis for the three and nine months ended September 30, 2017 was $262,000 and $2.4 million, respectively.</w:t>
      </w:r>
    </w:p>
    <w:p>
      <w:pPr>
        <w:spacing w:after="0" w:line="19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noted above, on July 1, 2016 the Company began recognizing revenue from substantially all its tests on the accrual basis of accounting at an amount equal to management’s best estimate of the cash to ultimately be collected. For tests delivered prior to July 1, 2016, substantially all the related cash had been collected by December 31, 2017. Thus, at January 1, 2018, the cumulative impact of adopting ASC 606 was not material and no adjustment was recorded.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first nine months of 2018, the Company collected cash in excess of the revenue recognized for certain tests delivered prior to July 1, 2018. As a result, the Company changed its estimate of the amounts to be recognized for these tests and recognized an additional net $0.5 million and $1.7 million of revenue for the three and nine months ended September 30, 2018, respectively. These changes in estimates resulted in decreases in loss from operations of $0.5 million and $1.7 million and decreases in loss per share of approximately $0.01 and $0.05 for the three and nine months ended September 30,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Biopharmaceutical Services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April 9, 2018, the Company entered into an agreement with a biopharmaceutical company whereby the Company agreed to provide certain tissue samples and other services in exchange for agreed-upon fees. During the quarter ended June 30, 2018, the Company recognized $450,000 of revenue upon deliveries of tissue samples and the Company received $500,000 for other services, which will be recognized ratably during the quarters ended September 30 and December 31, 2018 as the services are performed. Thereafter, the Company expects to receive approximately $250,000 per quarter as services are performed and may also recognize revenue related to the deliveries of additional tissue samples as long as the agreement is not terminated. The agreement has a term of one year with an automatic renewal of one year and the biopharmaceutical company may terminate the agreement at any time with at least 90 days' notice. The Company evaluated the accounting for this agreement under ASC 606 and concluded the performance obligations thereunder are the deliveries of tissue samples and performance of services, both of which are distinct. There were no deliveries of tissue samples for the three months ended September 30, 2018 and the Company recognized revenue of $450,000 for the deliveries of tissue samples for the nine months ended September 30, 2018. The Company recognized service revenue of $250,000 for the three and nine months ended September 30,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Settlement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2018, the Company received $0.4 million as a settlement with an institutional investor that was a beneficial owner of the Company's common stock related to the disgorgement of short-swing profits pursuant to Section 16(b) of the Securities Exchange Act of 1934, as amended, or the Exchange Act. The settlement of $0.4 million was recognized as additional paid-in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February 2016, the FASB issued ASU No. 2016-2,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This ASU is aimed at making leasing activities more transparent and comparable, and requires substantially all leases be recognized by lessees on their balance sheet as a right-of-use asset and corresponding lease liability, including leases currently accounted for as operating leases. The ASU will be effective for interim and annual periods beginning after December 15, 2018. Additionally, the FASB issued ASU, No.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which offers an additional transition method whereby entities may apply the new leases standard at the adoption date and recognize a cumulative-effect adjustment to the opening balance of retained earnings rather than application of the new leases standard at the beginning of the earliest period presented in the financial statements. The Company expects to adopt this standard beginning in 2019 and does not expect that this standard will have a material impact on its results of operations or cash flows, but that it will have a material impact on the Company’s assets and liabilities. The Company has accumulated a list of its leases and is currently in the process of quantifying the impact of adopting this ASU.</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 - Stock Compensation (Topic 718): Improvements to Nonemployee Share 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Under this ASU, the accounting for share - based payments to nonemployees and employees will be substantially aligned, primarily by</w:t>
      </w:r>
      <w:r>
        <w:rPr>
          <w:rFonts w:ascii="Arial" w:cs="Arial" w:eastAsia="Arial" w:hAnsi="Arial"/>
          <w:sz w:val="18"/>
          <w:szCs w:val="18"/>
          <w:i w:val="1"/>
          <w:iCs w:val="1"/>
          <w:color w:val="auto"/>
        </w:rPr>
        <w:t xml:space="preserve"> </w:t>
      </w:r>
      <w:r>
        <w:rPr>
          <w:rFonts w:ascii="Arial" w:cs="Arial" w:eastAsia="Arial" w:hAnsi="Arial"/>
          <w:sz w:val="18"/>
          <w:szCs w:val="18"/>
          <w:color w:val="auto"/>
        </w:rPr>
        <w:t>permitting the measurement of nonemployee awards to be fixed at the grant date. This ASU is effective for all interim and annual reporting periods beginning on or after December 15, 2018, with early adoption permitted. The Company does not expect the adoption to have a material impact to the condensed consolidated financial statements.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Common Share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 outstanding common stock equivalents have been excluded from diluted net loss per common share because their inclusion would be anti-dilutive:</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84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 September 30,</w:t>
            </w:r>
          </w:p>
        </w:tc>
        <w:tc>
          <w:tcPr>
            <w:tcW w:w="264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300" w:type="dxa"/>
            <w:vAlign w:val="bottom"/>
            <w:tcBorders>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of common stock subject to outstanding options</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5,995,401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6,322,215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6,065,250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6,134,966</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27,117</w:t>
            </w:r>
          </w:p>
        </w:tc>
        <w:tc>
          <w:tcPr>
            <w:tcW w:w="1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25,481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32,513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31,944</w:t>
            </w:r>
          </w:p>
        </w:tc>
      </w:tr>
      <w:tr>
        <w:trPr>
          <w:trHeight w:val="27"/>
        </w:trPr>
        <w:tc>
          <w:tcPr>
            <w:tcW w:w="5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445,598</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70,000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363,896</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59,945</w:t>
            </w:r>
          </w:p>
        </w:tc>
      </w:tr>
      <w:tr>
        <w:trPr>
          <w:trHeight w:val="257"/>
        </w:trPr>
        <w:tc>
          <w:tcPr>
            <w:tcW w:w="5300" w:type="dxa"/>
            <w:vAlign w:val="bottom"/>
          </w:tcPr>
          <w:p>
            <w:pPr>
              <w:ind w:left="40"/>
              <w:spacing w:after="0"/>
              <w:rPr>
                <w:sz w:val="20"/>
                <w:szCs w:val="20"/>
                <w:color w:val="auto"/>
              </w:rPr>
            </w:pPr>
            <w:r>
              <w:rPr>
                <w:rFonts w:ascii="Arial" w:cs="Arial" w:eastAsia="Arial" w:hAnsi="Arial"/>
                <w:sz w:val="18"/>
                <w:szCs w:val="18"/>
                <w:color w:val="auto"/>
              </w:rPr>
              <w:t>Total common stock equivalents</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6,468,116</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6,417,696</w:t>
            </w: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6,461,659</w:t>
            </w: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6,226,855</w:t>
            </w:r>
          </w:p>
        </w:tc>
      </w:tr>
      <w:tr>
        <w:trPr>
          <w:trHeight w:val="20"/>
        </w:trPr>
        <w:tc>
          <w:tcPr>
            <w:tcW w:w="53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(in thousands of dollars):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spacing w:after="0"/>
              <w:rPr>
                <w:sz w:val="16"/>
                <w:szCs w:val="16"/>
                <w:color w:val="auto"/>
              </w:rPr>
            </w:pPr>
          </w:p>
        </w:tc>
        <w:tc>
          <w:tcPr>
            <w:tcW w:w="4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expenses</w:t>
            </w:r>
          </w:p>
        </w:tc>
        <w:tc>
          <w:tcPr>
            <w:tcW w:w="4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Accrued other</w:t>
            </w:r>
          </w:p>
        </w:tc>
        <w:tc>
          <w:tcPr>
            <w:tcW w:w="4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45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9,261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bottom w:val="single" w:sz="8" w:color="CCEEFF"/>
            </w:tcBorders>
            <w:vMerge w:val="restart"/>
          </w:tcPr>
          <w:p>
            <w:pPr>
              <w:jc w:val="right"/>
              <w:ind w:right="2490"/>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2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the Company’s debt approximates its fair value because the interest rate approximates market rates that the Company could obtain for debt with similar terms. The fair value of the Company’s debt is estimated using the net present value of the payments, discounted at an interest rate that is consistent with market interest rates, which is a Level II input.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66"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fair value of the Company’s financial assets include money market funds and a deposit for the lease of the Company's South San Francisco facility. Money market funds, included in cash and cash equivalents in the accompanying condensed balance sheets, were $77.4 million and $33.1 million as of September 30, 2018 and December 31, 2017, respectively, and are Level I assets as described above. The deposit for the lease, included in restricted cash in the accompanying condensed balance sheets, was $603,000 as of September 30, 2018 and December 31, 2017, and is a Level I asset as described above.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leases its headquarters and laboratory facilities in South San Francisco, California under a non-cancelable lease agreement for approximately 59,000 square feet. The lease began in June 2015 and ends in March 2026 and contains extension of lease term options. The Company had deposits of $603,000 included in long-term assets as of September 30, 2018 and December 31, 2017, restricted from withdrawal and held by a bank in the form of collateral for an irrevocable standby letter of credit held as security for the lease of the South San Francisco facility.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also leases laboratory and office space in Austin, Texas under a lease that expires in January 2029 and includes options for expansion and early termination in 2025. The related cash security deposit of $139,000 as of September 30, 2018 and December 31, 2017 is included in other assets in the Company’s condensed balance sheets.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minimum lease payments under non-cancelable operating leases as of September 30, 2018 are as follows (in thousands of dollars):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5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Remainder of 2018</w:t>
            </w:r>
          </w:p>
        </w:tc>
        <w:tc>
          <w:tcPr>
            <w:tcW w:w="64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236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36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236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360" w:type="dxa"/>
            <w:vAlign w:val="bottom"/>
            <w:tcBorders>
              <w:bottom w:val="single" w:sz="8" w:color="CCEEFF"/>
            </w:tcBorders>
            <w:shd w:val="clear" w:color="auto" w:fill="CCEEFF"/>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43"/>
        </w:trPr>
        <w:tc>
          <w:tcPr>
            <w:tcW w:w="404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5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9,384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minimum lease payments</w:t>
            </w:r>
          </w:p>
        </w:tc>
        <w:tc>
          <w:tcPr>
            <w:tcW w:w="6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19,332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bottom w:val="single" w:sz="8" w:color="CCEEFF"/>
            </w:tcBorders>
            <w:vMerge w:val="restart"/>
          </w:tcPr>
          <w:p>
            <w:pPr>
              <w:jc w:val="right"/>
              <w:ind w:right="4090"/>
              <w:spacing w:after="0"/>
              <w:rPr>
                <w:sz w:val="20"/>
                <w:szCs w:val="20"/>
                <w:color w:val="auto"/>
              </w:rPr>
            </w:pPr>
            <w:r>
              <w:rPr>
                <w:rFonts w:ascii="Arial" w:cs="Arial" w:eastAsia="Arial" w:hAnsi="Arial"/>
                <w:sz w:val="18"/>
                <w:szCs w:val="18"/>
                <w:color w:val="auto"/>
              </w:rPr>
              <w:t>9</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recognizes rent expense on a straight-line basis over the non-cancelable lease period. Rent expense was $476,000 and $469,000 for the three months ended September 30, 2018 and 2017, respectively, and $1.4 million in each of the nine months ended September 30, 2018 and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entered into a capital lease in December 2016 for $1.2 million of laboratory equipment. The Company paid an upfront amount of $330,000 and the present value of the total future minimum lease payments was $874,000. As of September 30, 2018, the annual future minimum lease payments are $79,000 and $317,000 for the remainder of 2018 and 2019,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From time to time, the Company may be involved in legal proceedings arising in the ordinary course of business. The Company assesses contingencies to determine the degree of probability and range of possible loss for potential accrual in its financial statements. An estimated loss contingency is accrued in the financial statements if it is probable that a liability has been incurred and the amount of the loss can be reasonably estimated. The Company believes there is no litigation pending that could have, either individually or in the aggregate, a material adverse effect on the Company’s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November 3, 2017, the Company entered into a loan and security agreement, or the Loan and Security Agreement, with Silicon Valley Bank. The Loan and Security Agreement allows the Company to borrow up to $35.0 million, with a $25.0 million term loan, or the Term Loan Advance, and a revolving line of credit of up to $10.0 million, or the Revolving Line of Credit. The Term Loan Advance was advanced upon the closing of the Loan and Security Agreement and was used to pay the outstanding balance of the Company’s existing long-term debt, which was canceled at that date. The Company had not drawn on the Revolving Line of Credit as of September 30, 2018. Borrowings under the Loan and Security Agreement mature on October 1, 2022. Amounts may be borrowed and repaid under the Revolving Line of Credit up until the earliest of full repayment or maturity of the Loan and Security Agreement, termination of the Loan and Security Agreement, or October 1, 2022.</w:t>
      </w:r>
    </w:p>
    <w:p>
      <w:pPr>
        <w:spacing w:after="0" w:line="18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Term Loan Advance bears interest at a variable rate equal to (i) the thirty-day U.S. London Interbank Offer Rate, or LIBOR plus (ii) 4.20%, with a minimum rate of 5.34% per annum. Principal amounts outstanding under the Revolving Line of Credit bear interest at a variable rate equal to (i) LIBOR plus (ii) 3.50%, with a minimum rate of 4.70% per annum. The effective interest rate was 8.05% for the Term Loan Advance as of September 30, 2018.</w:t>
      </w:r>
    </w:p>
    <w:p>
      <w:pPr>
        <w:spacing w:after="0" w:line="14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may prepay the outstanding principal amount under the Term Loan Advance plus accrued and unpaid interest and, if the Term Loan Advance is repaid in full, a prepayment premium. The prepayment premium will be (i) $750,000 if prepayment is made prior to November 3, 2018, (ii) $500,000 if the prepayment is made after November 3, 2018 but on or before November 3, 2019, or (iii) $250,000 if the prepayment is made after November 3, 2019.</w:t>
      </w:r>
    </w:p>
    <w:p>
      <w:pPr>
        <w:spacing w:after="0" w:line="187"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In addition, a final payment on the Term Loan Advance in the amount of $1.2 million is due upon the earlier of the maturity date of the Term Loan Advance or its payment in full. The Loan and Security Agreement contains customary representations, warranties, and events of default such as a material adverse change in our business, operations or financial condition,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The Company’s obligations under the Loan and Security Agreement are secured by substantially all of its assets (excluding intellectual property), subject to certain customary exceptions. The Loan and Security Agreement also requires the Company to achieve certain revenue levels tested quarterly on a trailing twelve-month basis. However, failure to maintain the revenue levels will not be considered a default if the sum of the Company’s unrestricted cash and cash equivalents maintained with Silicon Valley Bank and amount available under the Revolving Line of Credit is at least $40.0 million. As of September 30, 2018, the Company was in compliance with the loan covenants.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2018, the net debt obligation for borrowings made under the Loan and Security Agreement was as follows (in thousands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6"/>
                <w:szCs w:val="16"/>
                <w:color w:val="auto"/>
              </w:rPr>
            </w:pPr>
          </w:p>
        </w:tc>
        <w:tc>
          <w:tcPr>
            <w:tcW w:w="13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December 31, 2017</w:t>
            </w:r>
          </w:p>
        </w:tc>
      </w:tr>
      <w:tr>
        <w:trPr>
          <w:trHeight w:val="250"/>
        </w:trPr>
        <w:tc>
          <w:tcPr>
            <w:tcW w:w="8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principal</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25,000</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End-of-term debt obligation</w:t>
            </w:r>
          </w:p>
        </w:tc>
        <w:tc>
          <w:tcPr>
            <w:tcW w:w="1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53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57"/>
        </w:trPr>
        <w:tc>
          <w:tcPr>
            <w:tcW w:w="8240" w:type="dxa"/>
            <w:vAlign w:val="bottom"/>
          </w:tcPr>
          <w:p>
            <w:pPr>
              <w:ind w:left="40"/>
              <w:spacing w:after="0"/>
              <w:rPr>
                <w:sz w:val="20"/>
                <w:szCs w:val="20"/>
                <w:color w:val="auto"/>
              </w:rPr>
            </w:pPr>
            <w:r>
              <w:rPr>
                <w:rFonts w:ascii="Arial" w:cs="Arial" w:eastAsia="Arial" w:hAnsi="Arial"/>
                <w:sz w:val="18"/>
                <w:szCs w:val="18"/>
                <w:color w:val="auto"/>
              </w:rPr>
              <w:t>Net debt obligation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25,192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24,938</w:t>
            </w:r>
          </w:p>
        </w:tc>
      </w:tr>
      <w:tr>
        <w:trPr>
          <w:trHeight w:val="20"/>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principal and end-of-term debt obligation payments due under the Loan and Security Agreement are as follows (in thousands of dollars):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8,333</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8,333</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8,132</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26,187</w:t>
            </w: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2016, the Company entered into a credit agreement, or the Credit Agreement, with Visium Healthcare Partners, LP. Under the Credit Agreement, two term loans were available to the Company with an aggregate principal amount of up to $40.0 million. The Company drew down the initial $25.0 million term loan, or the Term Loan, on March 30, 2016.</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noted above, upon entering into the Loan and Security Agreement, the Credit Agreement was paid in full and terminated on November 3, 2017, wherein all commitments were terminated, all liens were released and all outstanding principal, interest and fees accrued thereunder were repaid in the aggregate amount of $27.3 million, including a prepayment premium of $1.5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reserved shares of common stock for issuance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00" w:type="dxa"/>
            <w:vAlign w:val="bottom"/>
            <w:gridSpan w:val="2"/>
          </w:tcPr>
          <w:p>
            <w:pPr>
              <w:ind w:left="300"/>
              <w:spacing w:after="0"/>
              <w:rPr>
                <w:sz w:val="20"/>
                <w:szCs w:val="20"/>
                <w:color w:val="auto"/>
              </w:rPr>
            </w:pPr>
            <w:r>
              <w:rPr>
                <w:rFonts w:ascii="Arial" w:cs="Arial" w:eastAsia="Arial" w:hAnsi="Arial"/>
                <w:sz w:val="14"/>
                <w:szCs w:val="14"/>
                <w:b w:val="1"/>
                <w:bCs w:val="1"/>
                <w:color w:val="auto"/>
              </w:rPr>
              <w:t>September 30,</w:t>
            </w:r>
          </w:p>
        </w:tc>
        <w:tc>
          <w:tcPr>
            <w:tcW w:w="148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 issued and outstanding</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6,581,890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6,061,081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 options and restricted stock units available for grant under stock option plans</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1,552,554</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1,133,907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available for the Employee Stock Purchase Plan</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309,419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456,002</w:t>
            </w:r>
          </w:p>
        </w:tc>
        <w:tc>
          <w:tcPr>
            <w:tcW w:w="0" w:type="dxa"/>
            <w:vAlign w:val="bottom"/>
          </w:tcPr>
          <w:p>
            <w:pPr>
              <w:spacing w:after="0"/>
              <w:rPr>
                <w:sz w:val="1"/>
                <w:szCs w:val="1"/>
                <w:color w:val="auto"/>
              </w:rPr>
            </w:pP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8,443,863</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7,650,990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Thyroid Cytopathology Partners</w:t>
      </w:r>
    </w:p>
    <w:p>
      <w:pPr>
        <w:spacing w:after="0" w:line="22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2010, the Company entered into an arrangement with Pathology Resource Consultants, P.A., or PRC, to set up and manage a specialized pathology practice to provide testing services to the Company. There was no direct monetary compensation from the Company to PRC as a result of this arrangement. The Company's service agreement was with the specialized pathology practice, Thyroid Cytopathology Partners, or TCP, which was managed by PRC and was effective through December 31, 2015, and thereafter automatically renewed every year unless either party provided notice of intent not to renew at least 12 months prior to the end of the then-current term. Under the service agreement, the Company paid TCP based on a fixed price per test schedule, which was reviewed periodically for changes in market pricing. Subsequent to December 2012, an amendment to the service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allowed TCP to sublease a portion of the Company's facility in Austin, Texas. The Company does not have an ownership interest in or provide any form of financial or other support to TCP.</w:t>
      </w:r>
    </w:p>
    <w:p>
      <w:pPr>
        <w:spacing w:after="0" w:line="17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October 16, 2017, the Company amended and restated its service agreement with TCP. The agreement is effective through October 31, 2022, and thereafter automatically renews every year unless either party provides notice of intent not to renew at least 12 months prior to the end of the then-current term. In connection with amending and restating the TCP agreement, the Company’s arrangement with PRC was simultaneously assigned by PRC to TCP and immediately terminated, and the Company agreed to pay PRC a total of $1.8 million over eight quarterly installments in exchange for TCP reducing the price per test it charges the Company during the term of the amended TCP agreement. Payments are amortized over the term of the agreement.</w:t>
      </w:r>
    </w:p>
    <w:p>
      <w:pPr>
        <w:spacing w:after="0" w:line="15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in the accompanying statements of operations and comprehensive loss.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incurred $1.0 million and $1.2 million for the three months ended September 30, 2018 and 2017, respectively, and $2.9 million and $3.6 million for the nine months ended September 30, 2018 and 2017, respectively, in cytopathology testing and evaluation services expenses with TCP, which are included in cost of revenues in the Company’s condensed statements of operations and comprehensive loss. The Company’s outstanding obligations to TCP for cytopathology testing services were $289,000 and $308,000 as of September 30, 2018 and December 31, 2017, respectively, and are included in accounts payable on the accompanying condensed balance sheets.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TCP reimburses the Company for its proportionate share of the Company’s rent and related operating expenses for the leased facility. TCP’s portion of rent and related operating expenses for the shared space at the Austin, Texas facility was $32,000 and $25,000 for the three months ended September 30, 2018 and 2017, respectively, and $96,000 and $78,000 for the nine months ended September 30, 2018 and 2017, respectively, and is included in other income, net in the Company’s condensed statements of operations and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did not record a provision or benefit for income taxes during the three and nine months ended September 30, 2018 and 2017. The Company continues to maintain a full valuation allowance against its net deferred tax assets.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September 30, 2018, the Company had unrecognized tax benefits of $2.5 million, none of which would currently affect the Company’s effective tax rate if recognized due to the Company’s net deferred tax assets being fully offset by a valuation allowance. The Company does not anticipate that the amount of unrecognized tax benefits relating to tax positions existing at September 30, 2018 will significantly increase or decrease within the next 12 months. There was no interest expense or penalties related to unrecognized tax benefits recorded through September 30, 2018.</w:t>
      </w:r>
    </w:p>
    <w:p>
      <w:pPr>
        <w:spacing w:after="0" w:line="171" w:lineRule="exact"/>
        <w:rPr>
          <w:sz w:val="20"/>
          <w:szCs w:val="20"/>
          <w:color w:val="auto"/>
        </w:rPr>
      </w:pPr>
    </w:p>
    <w:p>
      <w:pPr>
        <w:jc w:val="both"/>
        <w:ind w:firstLine="686"/>
        <w:spacing w:after="0" w:line="259" w:lineRule="auto"/>
        <w:rPr>
          <w:sz w:val="20"/>
          <w:szCs w:val="20"/>
          <w:color w:val="auto"/>
        </w:rPr>
      </w:pPr>
      <w:r>
        <w:rPr>
          <w:rFonts w:ascii="Arial" w:cs="Arial" w:eastAsia="Arial" w:hAnsi="Arial"/>
          <w:sz w:val="18"/>
          <w:szCs w:val="18"/>
          <w:color w:val="auto"/>
        </w:rPr>
        <w:t>A number of years may elapse before an uncertain tax position is audited and finally resolved. While it is often difficult to predict the final outcome or the timing of resolution of any particular uncertain tax position, the Company believes that its reserves for income taxes reflect the most likely outcome. The Company adjusts these reserves, as well as the related interest, with consideration of changing facts and circumstances. Settlement of any particular position could require the use of cash.</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22, 2017, the U.S. government enacted comprehensive tax legislation referred to as the Tax Cuts and Jobs Act, or the Tax Act. The Tax Act significantly revises the future ongoing U.S. corporate income tax by, among other things, lowering the U.S. corporate income tax rates and implementing a territorial tax system. The corporate tax rate was reduced from 35% to 21% for tax years beginning after December 31, 2017 and certain provisions exist on which to allow accelerated expensing of equipment for a portion of 2017 and for future years. These changes primarily impacted the value of the Company’s deferred tax assets with a corresponding offset to valuation allowance, both of which were recognized in the year ended December 31, 2017.</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Tax Act also limits the amount of net operating losses that can be used to reduce taxable income to 80% for net operating losses generated for periods beginning after December 31, 2017. Existing net operating losses, arising in years on or before December 31, 2017 are not affected by the Tax Act. The Company has completed a preliminary assessment of the accounting for the income tax effects of the Tax Act, as it relates to its current structure, including provisions that are effective for tax years beginning in 2018. The Company's preliminary assessment is subject to revisions to any additional guidance issued by the U.S. Treasury Department, Internal Revenue Service, FASB, and other standard-setting and regulatory bodies. Adjustments may materially impact the Company's provision for income taxes and the assessment of the accounting for the tax effects of the Tax Act will not extend beyond one year from the enactment date.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the condensed financial statements and the related notes included in Item 1 of Part I of this Quarterly Report on Form 10-Q, and with our audited financial statements and the related notes included in our Annual Report on Form 10-K for the year ended December 31, 2017.</w:t>
      </w:r>
    </w:p>
    <w:p>
      <w:pPr>
        <w:spacing w:after="0" w:line="18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i w:val="1"/>
          <w:iCs w:val="1"/>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our beliefs with respect to the optimization of our processes for the analysis of ribonucleic acid, or RNA, samples; our belief in the importance of maintaining libraries of clinical evidence; our expectations regarding capital expenditures; our anticipated cash needs and our estimates regarding our capital requirements;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receive uncertain diagnoses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TCP, and on other strategic relationships, and the success of those relationships; our beliefs regarding our laboratory capacity;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in this report.</w:t>
      </w:r>
    </w:p>
    <w:p>
      <w:pPr>
        <w:spacing w:after="0" w:line="18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II, Item 1A of this report.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Veracyte, Afirma, Percepta, Envisia, Know by Design, the Veracyte logo and the Afirma logo are our trademarks. We also refer to trademarks of other corporations or organizations in this report.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report is also based on our internal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 leading genomic diagnostics company that provides trustworthy and actionable answers that fundamentally improve patient care when current diagnostic test results are uncertain. Our products combine genomic technology, clinical science and machine learning to provide answers that give physicians and patients a clear path forward potentially avoiding risky, costly surgery that is often unnecessary.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role of genomic information in medical practice is evolving rapidly and has affected the diagnosis of disease as well as treatment decisions. Over the past decade, molecular diagnostic tests that analyze genomic material from tissue samples have emerged as an important complement to evaluations performed by pathologists. Information at the molecular level enables one to understand and identify more fully the makeup and specific subtype of disease to improve diagnosis. In many cases, the genomic information derived from these samples can help guide treatment decisions as part of the standard of care.</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deploy machine learning algorithms, which leverage comprehensive ribonucleic acid, or RNA, sequencing data, to develop tests for the improvement of diagnostic clarity for cancer and other diseases. In our thyroid and lung indications, diagnosis can be ambiguous in 15-70% of patients undergoing diagnostic evaluation depending on the indication. Our tests provide clarity of diagnosis that can in turn guide treatment decisions in 40-70% of those cases, eliminating costly, risky surgeries and other unnecessary medical procedures, improving the lives of patients and saving the healthcare system money.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founding in 2008, we have commercialized three genomic classifiers that we believe are transforming diagnostics: the next-generation Afirma Genomic Sequencing Classifier, or GSC, and its predecessor, the Afirma Gene Expression Classifier, or GEC, for thyroid cancer; the Percepta Bronchial Genomic Classifier for lung cancer; and the Envisia Genomic Classifier for idiopathic pulmonary fibrosis, or IPF. Collectively, we believe these three tests address a $2 billion global market opportunity.</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published evidence supporting our tests demonstrates the robustness of our science and clinical studies. Patients and physicians can access our full list of publications on our website. Over 35 studies covering our products have been published, including two landmark clinical validation papers published in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xml:space="preserve"> for the Afirma and Percepta classifiers, respectively. We continue to build upon our extensive library of clinical evidence. We also expect to continue expanding our offerings in thyroid cancer, lung cancer and interstitial lung diseases such as IPF, as well as other indications that we believe will benefit from our technology and approach.</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our focus on developing clinically useful tests that change patient care is enabling the company to set new standards in genomic test reimbursement. Our Afirma genomic classifier is now covered by every major health plan in the United States, covering more than 275 million people, for use in thyroid cancer diagnosis. It is available as an in-network, contracted offering to more than 210 million people nationwide through their insurers. Our second commercial product, the Percepta classifier, is the first genomic test to gain Medicare coverage for improved lung cancer screening and diagnosis, making it a covered benefit for nearly 60 million Medicare enrollees.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2018 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three-month period ended September 30, 2018 as compared with the third quarter of 2017:</w:t>
      </w:r>
    </w:p>
    <w:p>
      <w:pPr>
        <w:spacing w:after="0" w:line="22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was $23.5 million, an increase of 34 percent;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Genomic test tolume </w:t>
      </w:r>
      <w:r>
        <w:rPr>
          <w:rFonts w:ascii="Arial" w:cs="Arial" w:eastAsia="Arial" w:hAnsi="Arial"/>
          <w:sz w:val="18"/>
          <w:szCs w:val="18"/>
          <w:color w:val="auto"/>
        </w:rPr>
        <w:t>was 8,006, an increase of 23 percent;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65 percent, an increase of 6 percent;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Operating expenses, excluding cost of revenue</w:t>
      </w:r>
      <w:r>
        <w:rPr>
          <w:rFonts w:ascii="Arial" w:cs="Arial" w:eastAsia="Arial" w:hAnsi="Arial"/>
          <w:sz w:val="18"/>
          <w:szCs w:val="18"/>
          <w:color w:val="auto"/>
        </w:rPr>
        <w:t>, were $19.5 million, an increase of 17 percent;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($4.5) million, an improvement of 37 percent;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($0.12), an improvement of 43 percent;</w:t>
      </w:r>
    </w:p>
    <w:p>
      <w:pPr>
        <w:spacing w:after="0" w:line="9" w:lineRule="exact"/>
        <w:rPr>
          <w:rFonts w:ascii="Arial" w:cs="Arial" w:eastAsia="Arial" w:hAnsi="Arial"/>
          <w:sz w:val="18"/>
          <w:szCs w:val="18"/>
          <w:color w:val="auto"/>
        </w:rPr>
      </w:pPr>
    </w:p>
    <w:p>
      <w:pPr>
        <w:ind w:left="340" w:hanging="332"/>
        <w:spacing w:after="0" w:line="18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Cash Burn</w:t>
      </w:r>
      <w:r>
        <w:rPr>
          <w:rFonts w:ascii="Arial" w:cs="Arial" w:eastAsia="Arial" w:hAnsi="Arial"/>
          <w:sz w:val="25"/>
          <w:szCs w:val="25"/>
          <w:i w:val="1"/>
          <w:iCs w:val="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was $2.4 million, an improvement of 58 percent; and</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was $77.8 million at September 30, 2018</w:t>
      </w:r>
      <w:r>
        <w:rPr>
          <w:rFonts w:ascii="Arial" w:cs="Arial" w:eastAsia="Arial" w:hAnsi="Arial"/>
          <w:sz w:val="18"/>
          <w:szCs w:val="18"/>
          <w:i w:val="1"/>
          <w:iCs w:val="1"/>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nine-month period ended September 30, 2018, as compared with the prior year period of 2017:</w:t>
      </w:r>
    </w:p>
    <w:p>
      <w:pPr>
        <w:spacing w:after="0" w:line="225"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was $66.3 million, an increase of 27 percent;</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Genomic test volume </w:t>
      </w:r>
      <w:r>
        <w:rPr>
          <w:rFonts w:ascii="Arial" w:cs="Arial" w:eastAsia="Arial" w:hAnsi="Arial"/>
          <w:sz w:val="18"/>
          <w:szCs w:val="18"/>
          <w:color w:val="auto"/>
        </w:rPr>
        <w:t>was 22,556, an increase of 20 percent;</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63 percent, an increase of 2 percent;</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$61.1 million, an increase of 16 percent</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($19.9) million, an improvement of 12 percent;</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($0.56), an improvement of 16 percent; and</w:t>
      </w:r>
    </w:p>
    <w:p>
      <w:pPr>
        <w:spacing w:after="0" w:line="9" w:lineRule="exact"/>
        <w:rPr>
          <w:rFonts w:ascii="Arial" w:cs="Arial" w:eastAsia="Arial" w:hAnsi="Arial"/>
          <w:sz w:val="18"/>
          <w:szCs w:val="18"/>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Cash Burn</w:t>
      </w:r>
      <w:r>
        <w:rPr>
          <w:rFonts w:ascii="Arial" w:cs="Arial" w:eastAsia="Arial" w:hAnsi="Arial"/>
          <w:sz w:val="25"/>
          <w:szCs w:val="25"/>
          <w:i w:val="1"/>
          <w:iCs w:val="1"/>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was $13.7 million, an improvement of 28 percent.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(1) A reconciliation of net cash used in operating activities to cash burn has been provided below.</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To supplement our financial statements prepared in accordance with U. S. GAAP, we monitor and consider cash burn, which is a non-U.S. GAAP financial measure. This non-U.S. GAAP financial measure is not based on any standardized methodology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prescribed by U.S. GAAP and is not necessarily comparable to similarly-titled measures presented by other companies. We define cash burn as net cash used in operating activities plus net capital expenditures, such as net purchases of property and equipment. We believe cash burn to be a liquidity measure that provides useful information to management and investors about the amount of cash consumed by the operations of the business, including our purchases of property and equipment. A limitation of using this non-U.S. GAAP measure is that cash burn does not represent the total change in cash, cash equivalents and restricted cash for the period because it excludes cash provided by or used for other investing and financing activities. We account for this limitation by providing information about our capital expenditures and other investing and financing activities in the statements of cash flows in our financial statements and by presenting cash flows from investing and financing activities in our reconciliation of cash burn. In addition, it is important to note that other companies, including companies in our industry, may not use cash burn, may calculate cash burn in a different manner than we do or may use other financial measures to evaluate their performance, all of which could reduce the usefulness of cash burn as a comparative measure.</w:t>
      </w:r>
    </w:p>
    <w:p>
      <w:pPr>
        <w:spacing w:after="0" w:line="16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Because of these limitations, cash burn should not be considered in isolation from, or as a substitute for, financial information prepared in accordance with U.S. GAAP. The reconciliation of cash burn to net cash used in operating activities is provided in the tables below (in thousands of dollars):</w:t>
      </w:r>
    </w:p>
    <w:p>
      <w:pPr>
        <w:spacing w:after="0" w:line="84"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3280" w:type="dxa"/>
            <w:vAlign w:val="bottom"/>
            <w:gridSpan w:val="5"/>
          </w:tcPr>
          <w:p>
            <w:pPr>
              <w:jc w:val="right"/>
              <w:ind w:right="299"/>
              <w:spacing w:after="0"/>
              <w:rPr>
                <w:sz w:val="20"/>
                <w:szCs w:val="20"/>
                <w:color w:val="auto"/>
              </w:rPr>
            </w:pPr>
            <w:r>
              <w:rPr>
                <w:rFonts w:ascii="Arial" w:cs="Arial" w:eastAsia="Arial" w:hAnsi="Arial"/>
                <w:sz w:val="16"/>
                <w:szCs w:val="16"/>
                <w:b w:val="1"/>
                <w:bCs w:val="1"/>
                <w:color w:val="auto"/>
              </w:rPr>
              <w:t>Three Months Ended September 30,</w:t>
            </w:r>
          </w:p>
        </w:tc>
      </w:tr>
      <w:tr>
        <w:trPr>
          <w:trHeight w:val="33"/>
        </w:trPr>
        <w:tc>
          <w:tcPr>
            <w:tcW w:w="73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r>
      <w:tr>
        <w:trPr>
          <w:trHeight w:val="33"/>
        </w:trPr>
        <w:tc>
          <w:tcPr>
            <w:tcW w:w="7320" w:type="dxa"/>
            <w:vAlign w:val="bottom"/>
            <w:tcBorders>
              <w:bottom w:val="single" w:sz="8" w:color="BFE4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92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(1,783)</w:t>
            </w:r>
          </w:p>
        </w:tc>
        <w:tc>
          <w:tcPr>
            <w:tcW w:w="30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BFE4FF"/>
            </w:tcBorders>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(5,103)</w:t>
            </w:r>
          </w:p>
        </w:tc>
      </w:tr>
      <w:tr>
        <w:trPr>
          <w:trHeight w:val="237"/>
        </w:trPr>
        <w:tc>
          <w:tcPr>
            <w:tcW w:w="7320" w:type="dxa"/>
            <w:vAlign w:val="bottom"/>
          </w:tcPr>
          <w:p>
            <w:pPr>
              <w:ind w:left="20"/>
              <w:spacing w:after="0"/>
              <w:rPr>
                <w:sz w:val="20"/>
                <w:szCs w:val="20"/>
                <w:color w:val="auto"/>
              </w:rPr>
            </w:pPr>
            <w:r>
              <w:rPr>
                <w:rFonts w:ascii="Arial" w:cs="Arial" w:eastAsia="Arial" w:hAnsi="Arial"/>
                <w:sz w:val="16"/>
                <w:szCs w:val="16"/>
                <w:color w:val="auto"/>
              </w:rPr>
              <w:t>Plus purchases of property and equipment</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(659)</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(727)</w:t>
            </w:r>
          </w:p>
        </w:tc>
      </w:tr>
      <w:tr>
        <w:trPr>
          <w:trHeight w:val="33"/>
        </w:trPr>
        <w:tc>
          <w:tcPr>
            <w:tcW w:w="7320" w:type="dxa"/>
            <w:vAlign w:val="bottom"/>
            <w:tcBorders>
              <w:bottom w:val="single" w:sz="8" w:color="BFE4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Cash burn</w:t>
            </w:r>
          </w:p>
        </w:tc>
        <w:tc>
          <w:tcPr>
            <w:tcW w:w="920" w:type="dxa"/>
            <w:vAlign w:val="bottom"/>
            <w:tcBorders>
              <w:bottom w:val="single" w:sz="8" w:color="auto"/>
            </w:tcBorders>
            <w:shd w:val="clear" w:color="auto" w:fill="BFE4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(2,442)</w:t>
            </w:r>
          </w:p>
        </w:tc>
        <w:tc>
          <w:tcPr>
            <w:tcW w:w="30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(5,830)</w:t>
            </w:r>
          </w:p>
        </w:tc>
      </w:tr>
      <w:tr>
        <w:trPr>
          <w:trHeight w:val="20"/>
        </w:trPr>
        <w:tc>
          <w:tcPr>
            <w:tcW w:w="7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77"/>
        </w:trPr>
        <w:tc>
          <w:tcPr>
            <w:tcW w:w="732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w:t>
            </w:r>
          </w:p>
        </w:tc>
        <w:tc>
          <w:tcPr>
            <w:tcW w:w="300" w:type="dxa"/>
            <w:vAlign w:val="bottom"/>
            <w:tcBorders>
              <w:bottom w:val="single" w:sz="8" w:color="BFE4FF"/>
            </w:tcBorders>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w:t>
            </w:r>
          </w:p>
        </w:tc>
      </w:tr>
      <w:tr>
        <w:trPr>
          <w:trHeight w:val="237"/>
        </w:trPr>
        <w:tc>
          <w:tcPr>
            <w:tcW w:w="7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920" w:type="dxa"/>
            <w:vAlign w:val="bottom"/>
            <w:tcBorders>
              <w:bottom w:val="single" w:sz="8" w:color="auto"/>
            </w:tcBorders>
            <w:shd w:val="clear" w:color="auto" w:fill="BFE4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w w:val="93"/>
              </w:rPr>
              <w:t>56,530</w:t>
            </w:r>
          </w:p>
        </w:tc>
        <w:tc>
          <w:tcPr>
            <w:tcW w:w="30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BFE4FF"/>
          </w:tcPr>
          <w:p>
            <w:pPr>
              <w:jc w:val="right"/>
              <w:ind w:right="19"/>
              <w:spacing w:after="0"/>
              <w:rPr>
                <w:sz w:val="20"/>
                <w:szCs w:val="20"/>
                <w:color w:val="auto"/>
              </w:rPr>
            </w:pPr>
            <w:r>
              <w:rPr>
                <w:rFonts w:ascii="Arial" w:cs="Arial" w:eastAsia="Arial" w:hAnsi="Arial"/>
                <w:sz w:val="16"/>
                <w:szCs w:val="16"/>
                <w:color w:val="auto"/>
              </w:rPr>
              <w:t>442</w:t>
            </w:r>
          </w:p>
        </w:tc>
      </w:tr>
      <w:tr>
        <w:trPr>
          <w:trHeight w:val="20"/>
        </w:trPr>
        <w:tc>
          <w:tcPr>
            <w:tcW w:w="7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33"/>
        </w:trPr>
        <w:tc>
          <w:tcPr>
            <w:tcW w:w="7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r>
      <w:tr>
        <w:trPr>
          <w:trHeight w:val="33"/>
        </w:trPr>
        <w:tc>
          <w:tcPr>
            <w:tcW w:w="732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26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(12,295)</w:t>
            </w:r>
          </w:p>
        </w:tc>
        <w:tc>
          <w:tcPr>
            <w:tcW w:w="30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BFE4FF"/>
            </w:tcBorders>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(18,099)</w:t>
            </w:r>
          </w:p>
        </w:tc>
      </w:tr>
      <w:tr>
        <w:trPr>
          <w:trHeight w:val="237"/>
        </w:trPr>
        <w:tc>
          <w:tcPr>
            <w:tcW w:w="7320" w:type="dxa"/>
            <w:vAlign w:val="bottom"/>
          </w:tcPr>
          <w:p>
            <w:pPr>
              <w:ind w:left="20"/>
              <w:spacing w:after="0"/>
              <w:rPr>
                <w:sz w:val="20"/>
                <w:szCs w:val="20"/>
                <w:color w:val="auto"/>
              </w:rPr>
            </w:pPr>
            <w:r>
              <w:rPr>
                <w:rFonts w:ascii="Arial" w:cs="Arial" w:eastAsia="Arial" w:hAnsi="Arial"/>
                <w:sz w:val="16"/>
                <w:szCs w:val="16"/>
                <w:color w:val="auto"/>
              </w:rPr>
              <w:t>Plus purchases of property and equipment</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(1,420)</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(1,455)</w:t>
            </w: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Less proceeds from the sale of property and equipment</w:t>
            </w:r>
          </w:p>
        </w:tc>
        <w:tc>
          <w:tcPr>
            <w:tcW w:w="26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BFE4FF"/>
            </w:tcBorders>
            <w:gridSpan w:val="2"/>
            <w:shd w:val="clear" w:color="auto" w:fill="BFE4FF"/>
          </w:tcPr>
          <w:p>
            <w:pPr>
              <w:jc w:val="right"/>
              <w:ind w:right="4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BFE4FF"/>
            </w:tcBorders>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440</w:t>
            </w:r>
          </w:p>
        </w:tc>
      </w:tr>
      <w:tr>
        <w:trPr>
          <w:trHeight w:val="284"/>
        </w:trPr>
        <w:tc>
          <w:tcPr>
            <w:tcW w:w="732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Cash burn</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(13,715)</w:t>
            </w:r>
          </w:p>
        </w:tc>
        <w:tc>
          <w:tcPr>
            <w:tcW w:w="300" w:type="dxa"/>
            <w:vAlign w:val="bottom"/>
            <w:tcBorders>
              <w:bottom w:val="single" w:sz="8" w:color="BFE4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(19,114)</w:t>
            </w:r>
          </w:p>
        </w:tc>
      </w:tr>
      <w:tr>
        <w:trPr>
          <w:trHeight w:val="237"/>
        </w:trPr>
        <w:tc>
          <w:tcPr>
            <w:tcW w:w="73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(1,420)</w:t>
            </w:r>
          </w:p>
        </w:tc>
        <w:tc>
          <w:tcPr>
            <w:tcW w:w="30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auto"/>
            </w:tcBorders>
            <w:shd w:val="clear" w:color="auto" w:fill="BFE4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(1,015)</w:t>
            </w: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57,670</w:t>
            </w:r>
          </w:p>
        </w:tc>
        <w:tc>
          <w:tcPr>
            <w:tcW w:w="3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970</w:t>
            </w: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2018 and Recent Business Highlights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Growth:</w:t>
      </w:r>
    </w:p>
    <w:p>
      <w:pPr>
        <w:spacing w:after="0" w:line="229" w:lineRule="exact"/>
        <w:rPr>
          <w:sz w:val="20"/>
          <w:szCs w:val="20"/>
          <w:color w:val="auto"/>
        </w:rPr>
      </w:pPr>
    </w:p>
    <w:p>
      <w:pPr>
        <w:ind w:left="240" w:right="220" w:hanging="232"/>
        <w:spacing w:after="0" w:line="258" w:lineRule="auto"/>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Completed national transition from the Afirma Gene Expression Classifier (GEC) to the Genomic Sequencing Classifier (GSC), retiring all GEC testing and accelerating the adoption of the Afirma Xpression Atlas for surgical and treatment decisions in the third quarter of 2018.</w:t>
      </w:r>
    </w:p>
    <w:p>
      <w:pPr>
        <w:spacing w:after="0" w:line="1" w:lineRule="exact"/>
        <w:rPr>
          <w:rFonts w:ascii="Arial" w:cs="Arial" w:eastAsia="Arial" w:hAnsi="Arial"/>
          <w:sz w:val="18"/>
          <w:szCs w:val="18"/>
          <w:color w:val="auto"/>
        </w:rPr>
      </w:pPr>
    </w:p>
    <w:p>
      <w:pPr>
        <w:ind w:left="240" w:right="240" w:hanging="232"/>
        <w:spacing w:after="0" w:line="250" w:lineRule="auto"/>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the number of physicians ordering Percepta to nearly 200, across 140 institutions, primarily through a continued focus on sales and marketing initiatives, as of September 30, 2018.</w:t>
      </w:r>
    </w:p>
    <w:p>
      <w:pPr>
        <w:ind w:left="240" w:hanging="232"/>
        <w:spacing w:after="0"/>
        <w:tabs>
          <w:tab w:leader="none" w:pos="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Expanded Envisia Early Access Program sites that have submitted samples for genomic testing to 15 - exceeding the company’s expectations.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Expansion:</w:t>
      </w:r>
    </w:p>
    <w:p>
      <w:pPr>
        <w:spacing w:after="0" w:line="229" w:lineRule="exact"/>
        <w:rPr>
          <w:sz w:val="20"/>
          <w:szCs w:val="20"/>
          <w:color w:val="auto"/>
        </w:rPr>
      </w:pPr>
    </w:p>
    <w:p>
      <w:pPr>
        <w:ind w:left="240" w:right="160" w:hanging="232"/>
        <w:spacing w:after="0" w:line="277" w:lineRule="auto"/>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Received draft Medicare coverage for the Envisia Genomic Classifier through the MolDX program; upon anticipated finalization in early 2019, Veracyte will be positioned to ramp commercial adoption of Envisia and begin to grow associated revenue next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Evidence Development: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40" w:right="600" w:hanging="232"/>
        <w:spacing w:after="0" w:line="256" w:lineRule="auto"/>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Positive performance and clinical utility data for the Afirma GSC and Xpression Atlas were presented at the American Thyroid Association annual meeting. Results show that the Afirma GSC is identifying even more benign thyroid nodules in real-world practice than was demonstrated in the company’s clinical validation study, previously published in JAMA Surgery.</w:t>
      </w:r>
    </w:p>
    <w:p>
      <w:pPr>
        <w:ind w:left="240" w:right="620" w:hanging="232"/>
        <w:spacing w:after="0" w:line="250" w:lineRule="auto"/>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Early results of the ongoing Percepta registry clinical utility study were presented at CHEST 2018 and show that the genomic test changed clinical decision-making and reduced invasive procedures at every evaluation time point up to 12 months post-testing.</w:t>
      </w:r>
    </w:p>
    <w:p>
      <w:pPr>
        <w:ind w:left="240" w:right="420" w:hanging="232"/>
        <w:spacing w:after="0" w:line="261" w:lineRule="auto"/>
        <w:tabs>
          <w:tab w:leader="none" w:pos="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validation data for the Envisia classifier were also presented at CHEST 2018 and confirm the test’s ability to improve diagnosis of idiopathic pulmonary fibrosis - without the need for surgery.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229" w:lineRule="exact"/>
        <w:rPr>
          <w:sz w:val="20"/>
          <w:szCs w:val="20"/>
          <w:color w:val="auto"/>
        </w:rPr>
      </w:pPr>
    </w:p>
    <w:p>
      <w:pPr>
        <w:ind w:left="240" w:right="360" w:hanging="232"/>
        <w:spacing w:after="0" w:line="264" w:lineRule="auto"/>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July 2018, Veracyte issued and sold 5,750,000 shares of common stock in a registered public offering, including the underwriters' exercise in full of their option to purchase an additional 750,000 shares, at a price to the public of $10.25 per share. Net proceeds from the offering were approximately $55.0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Reported Genomic Test Volume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performance depends on the number of genomic tests that we perform and report as completed in our CLIA laboratories. Factors impacting the number of tests that we report as completed include, but are not limited to:</w:t>
      </w:r>
    </w:p>
    <w:p>
      <w:pPr>
        <w:spacing w:after="0" w:line="170" w:lineRule="exact"/>
        <w:rPr>
          <w:sz w:val="20"/>
          <w:szCs w:val="20"/>
          <w:color w:val="auto"/>
        </w:rPr>
      </w:pPr>
    </w:p>
    <w:p>
      <w:pPr>
        <w:ind w:left="1300" w:hanging="40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samples that we receive that meet the medical indication for each test performed;</w:t>
      </w:r>
    </w:p>
    <w:p>
      <w:pPr>
        <w:spacing w:after="0" w:line="23" w:lineRule="exact"/>
        <w:rPr>
          <w:rFonts w:ascii="Arial" w:cs="Arial" w:eastAsia="Arial" w:hAnsi="Arial"/>
          <w:sz w:val="18"/>
          <w:szCs w:val="18"/>
          <w:color w:val="auto"/>
        </w:rPr>
      </w:pPr>
    </w:p>
    <w:p>
      <w:pPr>
        <w:ind w:left="1300" w:hanging="40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quantity and quality of the sample received;</w:t>
      </w:r>
    </w:p>
    <w:p>
      <w:pPr>
        <w:spacing w:after="0" w:line="9" w:lineRule="exact"/>
        <w:rPr>
          <w:rFonts w:ascii="Arial" w:cs="Arial" w:eastAsia="Arial" w:hAnsi="Arial"/>
          <w:sz w:val="18"/>
          <w:szCs w:val="18"/>
          <w:color w:val="auto"/>
        </w:rPr>
      </w:pPr>
    </w:p>
    <w:p>
      <w:pPr>
        <w:ind w:left="1300" w:hanging="401"/>
        <w:spacing w:after="0"/>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receipt of the necessary documentation, such as physician order and patient consent, required to perform, bill and collect for our tests;</w:t>
      </w:r>
    </w:p>
    <w:p>
      <w:pPr>
        <w:spacing w:after="0" w:line="20" w:lineRule="exact"/>
        <w:rPr>
          <w:rFonts w:ascii="Arial" w:cs="Arial" w:eastAsia="Arial" w:hAnsi="Arial"/>
          <w:sz w:val="17"/>
          <w:szCs w:val="17"/>
          <w:color w:val="auto"/>
        </w:rPr>
      </w:pPr>
    </w:p>
    <w:p>
      <w:pPr>
        <w:ind w:left="1300" w:hanging="40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patient's ability to pay or provide necessary insurance coverage for the tests performed;</w:t>
      </w:r>
    </w:p>
    <w:p>
      <w:pPr>
        <w:spacing w:after="0" w:line="9" w:lineRule="exact"/>
        <w:rPr>
          <w:rFonts w:ascii="Arial" w:cs="Arial" w:eastAsia="Arial" w:hAnsi="Arial"/>
          <w:sz w:val="18"/>
          <w:szCs w:val="18"/>
          <w:color w:val="auto"/>
        </w:rPr>
      </w:pPr>
    </w:p>
    <w:p>
      <w:pPr>
        <w:ind w:left="1300" w:hanging="401"/>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it takes us to perform our tests and report the results;</w:t>
      </w:r>
    </w:p>
    <w:p>
      <w:pPr>
        <w:spacing w:after="0" w:line="9" w:lineRule="exact"/>
        <w:rPr>
          <w:rFonts w:ascii="Arial" w:cs="Arial" w:eastAsia="Arial" w:hAnsi="Arial"/>
          <w:sz w:val="18"/>
          <w:szCs w:val="18"/>
          <w:color w:val="auto"/>
        </w:rPr>
      </w:pPr>
    </w:p>
    <w:p>
      <w:pPr>
        <w:ind w:left="1300" w:hanging="401"/>
        <w:spacing w:after="0" w:line="250"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seasonality inherent in our business, such as the impact of work days per period, timing of industry conferences and the timing of when patient deductibles are exceeded, which also impacts the reimbursement we receive from insurers; and</w:t>
      </w:r>
    </w:p>
    <w:p>
      <w:pPr>
        <w:ind w:left="1300" w:hanging="401"/>
        <w:spacing w:after="0" w:line="261"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obtain prior authorization or meet other requirements instituted by payers, benefit managers, or regulators necessary to be paid for our tests.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generate substantially all our revenue from genomic testing services, including the rendering of a cytopathology diagnosis as part of the Afirma solution. For the Afirma classifier, we do not accrue revenue for approximately 5%-10% of the tests that we perform and report as complete due principally to insufficient RNA from which to render a result and tests performed for which we do not reasonably expect to be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our Products</w:t>
      </w:r>
    </w:p>
    <w:p>
      <w:pPr>
        <w:spacing w:after="0" w:line="225" w:lineRule="exact"/>
        <w:rPr>
          <w:sz w:val="20"/>
          <w:szCs w:val="20"/>
          <w:color w:val="auto"/>
        </w:rPr>
      </w:pPr>
    </w:p>
    <w:p>
      <w:pPr>
        <w:jc w:val="both"/>
        <w:ind w:firstLine="264"/>
        <w:spacing w:after="0" w:line="289" w:lineRule="auto"/>
        <w:rPr>
          <w:sz w:val="20"/>
          <w:szCs w:val="20"/>
          <w:color w:val="auto"/>
        </w:rPr>
      </w:pPr>
      <w:r>
        <w:rPr>
          <w:rFonts w:ascii="Arial" w:cs="Arial" w:eastAsia="Arial" w:hAnsi="Arial"/>
          <w:sz w:val="16"/>
          <w:szCs w:val="16"/>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or as payers enter into contracts with us, which should enhance our revenue and cash collections. To drive increased adoption of our products, we increased our sales force and marketing efforts over the last several years. Our sales team is structured to sell all of our products; we do not maintain a separate sales force for each product. If we are unable to expand the base of prescribing physicians and penetration within these accounts at an acceptable rate, or if we are not able to execute our strategy for increasing reimbursement, we may not be able to effectively increase our revenue. We expect to continue to see pressure from payers to limit the utilization of tests, generally, and we believe more payers are deploying cost containment tactics, such as pre-authorization and employing laboratory benefit managers to reduce utilization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We commenced recognizing revenue in accordance with the provisions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starting January 1, 2018. Prior to January 1, 2018, we recognized revenue in accordance with the provisions of ASC 954-605, </w:t>
      </w:r>
      <w:r>
        <w:rPr>
          <w:rFonts w:ascii="Arial" w:cs="Arial" w:eastAsia="Arial" w:hAnsi="Arial"/>
          <w:sz w:val="16"/>
          <w:szCs w:val="16"/>
          <w:i w:val="1"/>
          <w:iCs w:val="1"/>
          <w:color w:val="auto"/>
        </w:rPr>
        <w:t>Health Care Entities - Revenue Recognition</w:t>
      </w:r>
      <w:r>
        <w:rPr>
          <w:rFonts w:ascii="Arial" w:cs="Arial" w:eastAsia="Arial" w:hAnsi="Arial"/>
          <w:sz w:val="16"/>
          <w:szCs w:val="16"/>
          <w:color w:val="auto"/>
        </w:rPr>
        <w:t>.</w:t>
      </w:r>
    </w:p>
    <w:p>
      <w:pPr>
        <w:spacing w:after="0" w:line="1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Most of our revenue is generated from the provision of diagnostic services. These services are completed upon the delivery of test results to the prescribing physician, at which time we bill for the services. We recognize revenue related to billings on an accrual basis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w:t>
      </w:r>
    </w:p>
    <w:p>
      <w:pPr>
        <w:spacing w:after="0" w:line="15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of September 30, 2018 and December 31, 2017, cumulative amounts billed at list price for tests processed which were not recognized as revenue upon delivery of a patient report because our accrual revenue recognition criteria were not met and for which we have not collected cash or written off as uncollectible, totaled approximately $159.3 million. Of this amount, we did not collect any amounts in the nine months ended September 30, 2018.</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as we did in July 2015, it will increase the cumulative amounts billed. In addition, payer contracts generally include the right of offset and payers may offset payments prior to resolving disputes over tests performed.</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Generally, we calculate the average Afirma genomic classifier reimbursement from all payers, for tests that are on average a year old, since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 quarters as it reduces the effects of temporary volatility and seasonal effects. Thus, the average reimbursement per Afirma genomic classifier represents the total cash collected to date against Afirma genomic classifier tests, including variants, performed during the relevant period divided by the number of these tests performed during that same period.</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average Afirma genomic classifier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 For the three months ended September 30, 2018, we accrued, on average, between $2,800 and $2,900 for the Afirma genomic classifier tests, including variants, that met our revenue recognition standard, which was between 90% - 95% of the reported Afirma classifier test volume.</w:t>
      </w:r>
    </w:p>
    <w:p>
      <w:pPr>
        <w:spacing w:after="0" w:line="15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From the third quarter of 2017 to the third quarter of 2018, we accrued between $2.1 million and $2.6 million in revenue per quarter from providing cytopathology services associated with our Afirma solution.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Products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continue to advance our product portfolio with diagnostic tests that leverage innovations in genomic science, sequencing technology and machine learning methodologies to further improve patient care. In May 2017, we introduced the Afirma GSC, supported by rigorous clinical validation data showing that the RNA sequencing-based test can help significantly more patients avoid unnecessary surgery in thyroid cancer diagnosis, compared to the original Afirma test. In March 2018, we unveiled our Afirma Xpression Atlas, which uses the same RNA sequencing platform as the Afirma GSC and enables us to extract rich genomic content - including gene expression, DNA variants and RNA fusions in over 500 genes that are associated with thyroid cancer - from thyroid FNA samples. We believe that this offering will provide clinicians with valuable genomic information that may inform surgery strategy and treatment options for patients with suspected thyroid cancer.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Together with our Afirma GSC and our tests for the BRAF v600E mutation and medullary thyroid cancer (Malignancy Classifiers), the Afirma Xpression Atlas rounds out a comprehensive solution for physicians evaluating thyroid nodules. This innovation also enables us to enter into research collaboration with biopharmaceutical companies, which is intended to support their development of targeted therapies for genetically defined cancers, including thyroid cancer.</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also expanded our ability to provide important clinical answers - without the need for surgery - into pulmonology. Our Percepta Bronchial Genomic Classifier, introduced in April 2015, is the first genomic test to receive Medicare coverage for use in lung cancer diagnosis, where it improves the performance of diagnostic bronchoscopy. Additionally, our Envisia Genomic Classifier, launched in October 2016, is the first commercial test to improve the diagnosis of idiopathic pulmonary fibrosis among patients with a suspected interstitial lung disease. We received draft Medicare coverage for the Envisia classifier through the MolDX program in August 2018 and expect that the final policy will go into effect in early 2019.</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currently exploring opportunities to utilize the same “field of injury” technology that powers our Percepta classifier to develop a nasal swab test that can enable earlier lung cancer detection - and ultimately help reduce lung cancer deaths. Additionally, we believe our Xpression Atlas platform can be transferred to our pulmonology indications, to further improve patient care and advance precision medicine in lung cancer and idiopathic pulmonary fibrosis.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Through September 30, 2018, we derived substantially all of our revenue from the sale of Afirma,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in excess of 10% of revenue and their related revenue as a percentage of total revenue were as follows: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3240" w:type="dxa"/>
            <w:vAlign w:val="bottom"/>
            <w:gridSpan w:val="4"/>
          </w:tcPr>
          <w:p>
            <w:pPr>
              <w:ind w:left="460"/>
              <w:spacing w:after="0"/>
              <w:rPr>
                <w:sz w:val="20"/>
                <w:szCs w:val="20"/>
                <w:color w:val="auto"/>
              </w:rPr>
            </w:pPr>
            <w:r>
              <w:rPr>
                <w:rFonts w:ascii="Arial" w:cs="Arial" w:eastAsia="Arial" w:hAnsi="Arial"/>
                <w:sz w:val="14"/>
                <w:szCs w:val="14"/>
                <w:b w:val="1"/>
                <w:bCs w:val="1"/>
                <w:color w:val="auto"/>
              </w:rPr>
              <w:t>Three Months Ended September 30,</w:t>
            </w:r>
          </w:p>
        </w:tc>
        <w:tc>
          <w:tcPr>
            <w:tcW w:w="3160" w:type="dxa"/>
            <w:vAlign w:val="bottom"/>
            <w:gridSpan w:val="3"/>
          </w:tcPr>
          <w:p>
            <w:pPr>
              <w:jc w:val="right"/>
              <w:ind w:right="41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000" w:type="dxa"/>
            <w:vAlign w:val="bottom"/>
            <w:tcBorders>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UnitedHealthcare</w:t>
            </w: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0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50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For tests performed, we recognize the related revenue upon delivery of a patient report to the prescribing physician based on the amount that we expect to ultimately receive. In determining the amount to accrue for a delivered test, we consider factors such payment history, payer coverage, whether there is a reimbursement contract between the payer and us, payment as a percentage of agreed upon rate (if applicable), amount paid per test and any current developments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quarters.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components of our cost of revenue are laboratory expenses, sample collection expenses, compensation expense, license fees and royalties, depreciation and amortization,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as we expect to run suboptimal batch sizes, run quality control batches, test batches, registry samples and generally incur costs that may suppress or reduce gross margins. This will disproportionately increase our aggregate cost of revenue until we achieve efficiencies in processing these new tests.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Research and development expenses include expenses incurred to develop our technology, collect clinical samples and conduct clinical studies to develop and support our products and pipeline. These expenses consist of compensation expenses, direct research and development expenses such as prototype materials,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incurred research and development expenses on ongoing evidence development for our Afirma, Percepta and Envisia classifiers in 2017 and the first nine months of 2018, and expect to continue doing so in the remainder of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Selling and marketing expenses consist of compensation expenses, direct marketing expenses, professional fees, other expenses such as travel and communications costs and allocation of facility and information technology expenses. We have expanded our internal sales force as we invest in our multi-product sales strategy to assign a single of contact to successfully develop and implement relationships with our customers and increased our marketing spending. We have also incurred increased selling and marketing expense as a result of investments in our lung product portfolio and believe total selling and marketing expenses will continue to increase as we launch and promote our new tests.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For the nine months ended September 30, 2018, approximately 66% of the headcount classified as general and administrative encompass our billing and customer care teams. We expect general and administrative expenses to continue to increase as we build our general and administration infrastructure and to stabilize thereafter.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Intangible asset amortization began in April 2015 when we launched the Percepta test. The finite-lived intangible asset with a cost of $16.0 million is being amortized over 15 years, using the straight-line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Interest expense is attributable to our borrowings under debt agreements and capital leases as well as costs associated with the pre-payment of 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Other income, net consists primarily of sublease rental income and interest income received from payers and from our cash equivalents.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60" w:firstLine="567"/>
        <w:spacing w:after="0" w:line="277" w:lineRule="auto"/>
        <w:rPr>
          <w:sz w:val="20"/>
          <w:szCs w:val="20"/>
          <w:color w:val="auto"/>
        </w:rPr>
      </w:pPr>
      <w:r>
        <w:rPr>
          <w:rFonts w:ascii="Arial" w:cs="Arial" w:eastAsia="Arial" w:hAnsi="Arial"/>
          <w:sz w:val="18"/>
          <w:szCs w:val="18"/>
          <w:color w:val="auto"/>
        </w:rPr>
        <w:t>Comparison of the three and nine months ended September 30, 2018 and 2017 (in thousands of dollars, except percentages and genomic classifiers reported):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96"/>
              </w:rPr>
              <w:t>Three Months Ended 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2"/>
              </w:rPr>
              <w:t>Nine Months Ended September 30,</w:t>
            </w:r>
          </w:p>
        </w:tc>
        <w:tc>
          <w:tcPr>
            <w:tcW w:w="900" w:type="dxa"/>
            <w:vAlign w:val="bottom"/>
            <w:tcBorders>
              <w:bottom w:val="single" w:sz="8" w:color="auto"/>
            </w:tcBorders>
          </w:tcPr>
          <w:p>
            <w:pPr>
              <w:spacing w:after="0"/>
              <w:rPr>
                <w:sz w:val="16"/>
                <w:szCs w:val="16"/>
                <w:color w:val="auto"/>
              </w:rPr>
            </w:pPr>
          </w:p>
        </w:tc>
      </w:tr>
      <w:tr>
        <w:trPr>
          <w:trHeight w:val="264"/>
        </w:trPr>
        <w:tc>
          <w:tcPr>
            <w:tcW w:w="31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23,466</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51"/>
              <w:spacing w:after="0"/>
              <w:rPr>
                <w:sz w:val="20"/>
                <w:szCs w:val="20"/>
                <w:color w:val="auto"/>
              </w:rPr>
            </w:pPr>
            <w:r>
              <w:rPr>
                <w:rFonts w:ascii="Arial" w:cs="Arial" w:eastAsia="Arial" w:hAnsi="Arial"/>
                <w:sz w:val="18"/>
                <w:szCs w:val="18"/>
                <w:color w:val="auto"/>
                <w:w w:val="94"/>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66,258</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27%</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51"/>
              <w:spacing w:after="0"/>
              <w:rPr>
                <w:sz w:val="20"/>
                <w:szCs w:val="20"/>
                <w:color w:val="auto"/>
              </w:rPr>
            </w:pPr>
            <w:r>
              <w:rPr>
                <w:rFonts w:ascii="Arial" w:cs="Arial" w:eastAsia="Arial" w:hAnsi="Arial"/>
                <w:sz w:val="18"/>
                <w:szCs w:val="18"/>
                <w:color w:val="auto"/>
                <w:w w:val="94"/>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19%</w:t>
            </w: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3,419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51"/>
              <w:spacing w:after="0"/>
              <w:rPr>
                <w:sz w:val="20"/>
                <w:szCs w:val="20"/>
                <w:color w:val="auto"/>
              </w:rPr>
            </w:pPr>
            <w:r>
              <w:rPr>
                <w:rFonts w:ascii="Arial" w:cs="Arial" w:eastAsia="Arial" w:hAnsi="Arial"/>
                <w:sz w:val="18"/>
                <w:szCs w:val="18"/>
                <w:color w:val="auto"/>
                <w:w w:val="94"/>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11,695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10,679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w:t>
            </w:r>
          </w:p>
        </w:tc>
      </w:tr>
      <w:tr>
        <w:trPr>
          <w:trHeight w:val="27"/>
        </w:trPr>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51"/>
              <w:spacing w:after="0"/>
              <w:rPr>
                <w:sz w:val="20"/>
                <w:szCs w:val="20"/>
                <w:color w:val="auto"/>
              </w:rPr>
            </w:pPr>
            <w:r>
              <w:rPr>
                <w:rFonts w:ascii="Arial" w:cs="Arial" w:eastAsia="Arial" w:hAnsi="Arial"/>
                <w:sz w:val="18"/>
                <w:szCs w:val="18"/>
                <w:color w:val="auto"/>
                <w:w w:val="94"/>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35%</w:t>
            </w: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31"/>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17,318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17,731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(2)%</w:t>
            </w:r>
          </w:p>
        </w:tc>
      </w:tr>
      <w:tr>
        <w:trPr>
          <w:trHeight w:val="27"/>
        </w:trPr>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7"/>
        </w:trPr>
        <w:tc>
          <w:tcPr>
            <w:tcW w:w="31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27,770</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3,883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center"/>
              <w:ind w:right="51"/>
              <w:spacing w:after="0"/>
              <w:rPr>
                <w:sz w:val="20"/>
                <w:szCs w:val="20"/>
                <w:color w:val="auto"/>
              </w:rPr>
            </w:pPr>
            <w:r>
              <w:rPr>
                <w:rFonts w:ascii="Arial" w:cs="Arial" w:eastAsia="Arial" w:hAnsi="Arial"/>
                <w:sz w:val="18"/>
                <w:szCs w:val="18"/>
                <w:color w:val="auto"/>
                <w:w w:val="94"/>
              </w:rPr>
              <w:t>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85,434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72,851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12,583</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17%</w:t>
            </w:r>
          </w:p>
        </w:tc>
      </w:tr>
      <w:tr>
        <w:trPr>
          <w:trHeight w:val="27"/>
        </w:trPr>
        <w:tc>
          <w:tcPr>
            <w:tcW w:w="3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51"/>
              <w:spacing w:after="0"/>
              <w:rPr>
                <w:sz w:val="20"/>
                <w:szCs w:val="20"/>
                <w:color w:val="auto"/>
              </w:rPr>
            </w:pPr>
            <w:r>
              <w:rPr>
                <w:rFonts w:ascii="Arial" w:cs="Arial" w:eastAsia="Arial" w:hAnsi="Arial"/>
                <w:sz w:val="18"/>
                <w:szCs w:val="18"/>
                <w:color w:val="auto"/>
                <w:w w:val="95"/>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(19,176)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51"/>
              <w:spacing w:after="0"/>
              <w:rPr>
                <w:sz w:val="20"/>
                <w:szCs w:val="20"/>
                <w:color w:val="auto"/>
              </w:rPr>
            </w:pPr>
            <w:r>
              <w:rPr>
                <w:rFonts w:ascii="Arial" w:cs="Arial" w:eastAsia="Arial" w:hAnsi="Arial"/>
                <w:sz w:val="18"/>
                <w:szCs w:val="18"/>
                <w:color w:val="auto"/>
                <w:w w:val="95"/>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(41)%</w:t>
            </w:r>
          </w:p>
        </w:tc>
      </w:tr>
      <w:tr>
        <w:trPr>
          <w:trHeight w:val="27"/>
        </w:trPr>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center"/>
              <w:ind w:right="51"/>
              <w:spacing w:after="0"/>
              <w:rPr>
                <w:sz w:val="20"/>
                <w:szCs w:val="20"/>
                <w:color w:val="auto"/>
              </w:rPr>
            </w:pPr>
            <w:r>
              <w:rPr>
                <w:rFonts w:ascii="Arial" w:cs="Arial" w:eastAsia="Arial" w:hAnsi="Arial"/>
                <w:sz w:val="18"/>
                <w:szCs w:val="18"/>
                <w:color w:val="auto"/>
                <w:w w:val="91"/>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101%</w:t>
            </w:r>
          </w:p>
        </w:tc>
      </w:tr>
      <w:tr>
        <w:trPr>
          <w:trHeight w:val="297"/>
        </w:trPr>
        <w:tc>
          <w:tcPr>
            <w:tcW w:w="3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(4,469)</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2,580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jc w:val="center"/>
              <w:ind w:right="51"/>
              <w:spacing w:after="0"/>
              <w:rPr>
                <w:sz w:val="20"/>
                <w:szCs w:val="20"/>
                <w:color w:val="auto"/>
              </w:rPr>
            </w:pPr>
            <w:r>
              <w:rPr>
                <w:rFonts w:ascii="Arial" w:cs="Arial" w:eastAsia="Arial" w:hAnsi="Arial"/>
                <w:sz w:val="18"/>
                <w:szCs w:val="18"/>
                <w:color w:val="auto"/>
                <w:w w:val="95"/>
              </w:rPr>
              <w:t>(37)%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(19,894)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(22,564)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2,670</w:t>
            </w: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(12)%</w:t>
            </w:r>
          </w:p>
        </w:tc>
      </w:tr>
      <w:tr>
        <w:trPr>
          <w:trHeight w:val="210"/>
        </w:trPr>
        <w:tc>
          <w:tcPr>
            <w:tcW w:w="31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Other Operating Data:</w:t>
            </w:r>
          </w:p>
        </w:tc>
        <w:tc>
          <w:tcPr>
            <w:tcW w:w="2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Genomic classifiers reported</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8,006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6,533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51"/>
              <w:spacing w:after="0"/>
              <w:rPr>
                <w:sz w:val="20"/>
                <w:szCs w:val="20"/>
                <w:color w:val="auto"/>
              </w:rPr>
            </w:pPr>
            <w:r>
              <w:rPr>
                <w:rFonts w:ascii="Arial" w:cs="Arial" w:eastAsia="Arial" w:hAnsi="Arial"/>
                <w:sz w:val="18"/>
                <w:szCs w:val="18"/>
                <w:color w:val="auto"/>
                <w:w w:val="94"/>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22,556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18,873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20%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Revenue increased $5.9 million, or 34%, for the three months ended September 30, 2018 compared to the same period in 2017 primarily due to a 23% volume increase in genomic classifiers and an increase in the accrual rate for our Afirma genomic classifiers. In the three months ended September 30, 2018, we also recognized $0.3 million of biopharmaceutical service revenue and $0.5 million of revenue for Percepta, the volume for which is included in the number of genomic classifiers reported. We also make adjustments, as necessary, for tests accrued in prior quarters as collections are made if the amount we expect to ultimately collect changes. The adjustment for tests accrued in prior quarters increased revenue by $0.5 million and $0.2 million for the three months ended June 30, 2018 and 2017, respectively, a net increase of $0.3 million between the periods.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Revenue increased $13.9 million, or 27%, for the nine months ended September 30, 2018 compared to the same period in 2017 primarily due to a 20% volume increase in genomic classifiers and an increase in the accrual rate for our Afirma genomic classifiers. In the nine months ended September 30, 2018, we also recognized $1.1 million of revenue for Percepta, the volume for which is included in the number of genomic classifiers reported, and $0.7 million of biopharmaceutical service revenue. We also make adjustments, as necessary, for tests accrued in prior quarters as collections are made if the amount we expect to ultimately collect changes. The adjustment for tests accrued in prior quarters increased revenue by $1.7 million and $1.2 million for the nine months ended September 30, 2018 and 2017, respectively, a net increase of $0.5 million between the periods.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Comparison of the three and nine months ended September 30, 2018 and 2017 is as follows (in thousands of dollars, except percentages):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6"/>
              </w:rPr>
              <w:t>Three Months Ended 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760" w:type="dxa"/>
            <w:vAlign w:val="bottom"/>
            <w:tcBorders>
              <w:bottom w:val="single" w:sz="8" w:color="auto"/>
            </w:tcBorders>
          </w:tcPr>
          <w:p>
            <w:pPr>
              <w:spacing w:after="0"/>
              <w:rPr>
                <w:sz w:val="16"/>
                <w:szCs w:val="16"/>
                <w:color w:val="auto"/>
              </w:rPr>
            </w:pPr>
          </w:p>
        </w:tc>
      </w:tr>
      <w:tr>
        <w:trPr>
          <w:trHeight w:val="264"/>
        </w:trPr>
        <w:tc>
          <w:tcPr>
            <w:tcW w:w="3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jc w:val="center"/>
              <w:ind w:right="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jc w:val="right"/>
              <w:ind w:right="352"/>
              <w:spacing w:after="0"/>
              <w:rPr>
                <w:sz w:val="20"/>
                <w:szCs w:val="20"/>
                <w:color w:val="auto"/>
              </w:rPr>
            </w:pPr>
            <w:r>
              <w:rPr>
                <w:rFonts w:ascii="Arial" w:cs="Arial" w:eastAsia="Arial" w:hAnsi="Arial"/>
                <w:sz w:val="14"/>
                <w:szCs w:val="14"/>
                <w:b w:val="1"/>
                <w:bCs w:val="1"/>
                <w:color w:val="auto"/>
              </w:rPr>
              <w:t>%</w:t>
            </w:r>
          </w:p>
        </w:tc>
      </w:tr>
      <w:tr>
        <w:trPr>
          <w:trHeight w:val="250"/>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Laboratory costs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4,957</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52"/>
              <w:spacing w:after="0"/>
              <w:rPr>
                <w:sz w:val="20"/>
                <w:szCs w:val="20"/>
                <w:color w:val="auto"/>
              </w:rPr>
            </w:pPr>
            <w:r>
              <w:rPr>
                <w:rFonts w:ascii="Arial" w:cs="Arial" w:eastAsia="Arial" w:hAnsi="Arial"/>
                <w:sz w:val="18"/>
                <w:szCs w:val="18"/>
                <w:color w:val="auto"/>
                <w:w w:val="94"/>
              </w:rPr>
              <w:t>34%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13,941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10,295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3,646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Sample collection costs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94"/>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52"/>
              <w:spacing w:after="0"/>
              <w:rPr>
                <w:sz w:val="20"/>
                <w:szCs w:val="20"/>
                <w:color w:val="auto"/>
              </w:rPr>
            </w:pPr>
            <w:r>
              <w:rPr>
                <w:rFonts w:ascii="Arial" w:cs="Arial" w:eastAsia="Arial" w:hAnsi="Arial"/>
                <w:sz w:val="18"/>
                <w:szCs w:val="18"/>
                <w:color w:val="auto"/>
                <w:w w:val="94"/>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2,773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License fees and royalties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95"/>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52"/>
              <w:spacing w:after="0"/>
              <w:rPr>
                <w:sz w:val="20"/>
                <w:szCs w:val="20"/>
                <w:color w:val="auto"/>
              </w:rPr>
            </w:pPr>
            <w:r>
              <w:rPr>
                <w:rFonts w:ascii="Arial" w:cs="Arial" w:eastAsia="Arial" w:hAnsi="Arial"/>
                <w:sz w:val="18"/>
                <w:szCs w:val="18"/>
                <w:color w:val="auto"/>
                <w:w w:val="95"/>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94"/>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Allocations</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72"/>
              <w:spacing w:after="0"/>
              <w:rPr>
                <w:sz w:val="20"/>
                <w:szCs w:val="20"/>
                <w:color w:val="auto"/>
              </w:rPr>
            </w:pPr>
            <w:r>
              <w:rPr>
                <w:rFonts w:ascii="Arial" w:cs="Arial" w:eastAsia="Arial" w:hAnsi="Arial"/>
                <w:sz w:val="18"/>
                <w:szCs w:val="18"/>
                <w:color w:val="auto"/>
                <w:w w:val="92"/>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1,317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r>
      <w:tr>
        <w:trPr>
          <w:trHeight w:val="257"/>
        </w:trPr>
        <w:tc>
          <w:tcPr>
            <w:tcW w:w="3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7,169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4"/>
              </w:rPr>
              <w:t>15%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24,374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20,426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3,948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Cost of revenue increased $1.1 million, or 15%, for the three months ended September 30, 2018 compared to the same period in 2017. Reported genomic classifiers volume increased 23% and cytopathology volume was flat for the three months ended September 30, 2018 compared to the same period in 2017. The increase in laboratory costs is due primarily to the increase in reported genomic classifiers volume. The increase in sample collection costs is primarily related to the increase in the overall volume of samples received, including the recent launch of our Percepta Bronchial Genomic Classifier. The increase in compensation expense is mainly due to an average laboratory headcount increase of 8%. The decrease in license fees and royalties is due to the completed transition to the Afirma GSC in the third quarter of 2018, for which we do not pay license fees as we did in connection with the Afirma GEC. In total, we expect savings from license fees to be used to pay laboratory costs for our GSC test. The increase in other expenses is primarily due to equipment maintenance costs.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Cost of revenue increased $3.9 million, or 19%, for the nine months ended September 30, 2018 compared to the same period in 2017. Reported genomic classifiers volume increased 20% and cytopathology volume declined 3%. Commencing in the second half of 2017, we began transitioning customers to our next-generation Afirma GSC, while running dual platforms to support the transition from its predecessor, the Afirma GEC. As a result, we have experienced higher costs per test to support running dual platforms in our laboratory. We completed the transition to the Afirma GSC in the third quarter of 2018. The increase in laboratory costs is due primarily to the transition to the Afirma GSC and to the increase in reported genomic volume. The increase in sample collection costs is primarily related to the increase in the overall volume of samples received, including the recent launch of our Percepta Bronchial Genomic Classifier. The increase in compensation expense is mainly due to an average laboratory headcount increase of 10%. The decrease in license fees and royalties is due to the completed transition to the Afirma GSC in the third quarter of 2018, for which we do not pay license fees as we did in connection with the Afirma GEC. In total, we expect savings from license fees to be used to pay laboratory costs for our GSC test. The increase in depreciation and amortization expense is due to depreciation for a full nine months in 2018 for equipment that was placed into service in the second and third quarters of 2017. The increase in other expenses is primarily due to equipment maintenance costs and laboratory supplies.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Comparison of the three and nine months ended September 30, 2018 and 2017 is as follows (in thousands of dollars, except percentages):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32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6"/>
              </w:rPr>
              <w:t>Three Months Ended September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760" w:type="dxa"/>
            <w:vAlign w:val="bottom"/>
            <w:tcBorders>
              <w:bottom w:val="single" w:sz="8" w:color="auto"/>
            </w:tcBorders>
          </w:tcPr>
          <w:p>
            <w:pPr>
              <w:spacing w:after="0"/>
              <w:rPr>
                <w:sz w:val="24"/>
                <w:szCs w:val="24"/>
                <w:color w:val="auto"/>
              </w:rPr>
            </w:pPr>
          </w:p>
        </w:tc>
      </w:tr>
      <w:tr>
        <w:trPr>
          <w:trHeight w:val="264"/>
        </w:trPr>
        <w:tc>
          <w:tcPr>
            <w:tcW w:w="10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jc w:val="center"/>
              <w:ind w:right="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jc w:val="right"/>
              <w:ind w:right="352"/>
              <w:spacing w:after="0"/>
              <w:rPr>
                <w:sz w:val="20"/>
                <w:szCs w:val="20"/>
                <w:color w:val="auto"/>
              </w:rPr>
            </w:pPr>
            <w:r>
              <w:rPr>
                <w:rFonts w:ascii="Arial" w:cs="Arial" w:eastAsia="Arial" w:hAnsi="Arial"/>
                <w:sz w:val="14"/>
                <w:szCs w:val="14"/>
                <w:b w:val="1"/>
                <w:bCs w:val="1"/>
                <w:color w:val="auto"/>
              </w:rPr>
              <w:t>%</w:t>
            </w:r>
          </w:p>
        </w:tc>
      </w:tr>
      <w:tr>
        <w:trPr>
          <w:trHeight w:val="250"/>
        </w:trPr>
        <w:tc>
          <w:tcPr>
            <w:tcW w:w="32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Compensation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1,981</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72"/>
              <w:spacing w:after="0"/>
              <w:rPr>
                <w:sz w:val="20"/>
                <w:szCs w:val="20"/>
                <w:color w:val="auto"/>
              </w:rPr>
            </w:pPr>
            <w:r>
              <w:rPr>
                <w:rFonts w:ascii="Arial" w:cs="Arial" w:eastAsia="Arial" w:hAnsi="Arial"/>
                <w:sz w:val="18"/>
                <w:szCs w:val="18"/>
                <w:color w:val="auto"/>
                <w:w w:val="92"/>
              </w:rPr>
              <w:t>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6,298</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6,212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10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1"/>
              </w:rPr>
              <w:t>Direct research and development expense</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94"/>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43"/>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52"/>
              <w:spacing w:after="0"/>
              <w:rPr>
                <w:sz w:val="20"/>
                <w:szCs w:val="20"/>
                <w:color w:val="auto"/>
              </w:rPr>
            </w:pPr>
            <w:r>
              <w:rPr>
                <w:rFonts w:ascii="Arial" w:cs="Arial" w:eastAsia="Arial" w:hAnsi="Arial"/>
                <w:sz w:val="18"/>
                <w:szCs w:val="18"/>
                <w:color w:val="auto"/>
                <w:w w:val="95"/>
              </w:rPr>
              <w:t>(36)%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10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72"/>
              <w:spacing w:after="0"/>
              <w:rPr>
                <w:sz w:val="20"/>
                <w:szCs w:val="20"/>
                <w:color w:val="auto"/>
              </w:rPr>
            </w:pPr>
            <w:r>
              <w:rPr>
                <w:rFonts w:ascii="Arial" w:cs="Arial" w:eastAsia="Arial" w:hAnsi="Arial"/>
                <w:sz w:val="18"/>
                <w:szCs w:val="18"/>
                <w:color w:val="auto"/>
                <w:w w:val="92"/>
              </w:rPr>
              <w:t>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Other expenses</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52"/>
              <w:spacing w:after="0"/>
              <w:rPr>
                <w:sz w:val="20"/>
                <w:szCs w:val="20"/>
                <w:color w:val="auto"/>
              </w:rPr>
            </w:pPr>
            <w:r>
              <w:rPr>
                <w:rFonts w:ascii="Arial" w:cs="Arial" w:eastAsia="Arial" w:hAnsi="Arial"/>
                <w:sz w:val="18"/>
                <w:szCs w:val="18"/>
                <w:color w:val="auto"/>
                <w:w w:val="95"/>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10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Allocations</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center"/>
              <w:ind w:right="72"/>
              <w:spacing w:after="0"/>
              <w:rPr>
                <w:sz w:val="20"/>
                <w:szCs w:val="20"/>
                <w:color w:val="auto"/>
              </w:rPr>
            </w:pPr>
            <w:r>
              <w:rPr>
                <w:rFonts w:ascii="Arial" w:cs="Arial" w:eastAsia="Arial" w:hAnsi="Arial"/>
                <w:sz w:val="18"/>
                <w:szCs w:val="18"/>
                <w:color w:val="auto"/>
                <w:w w:val="88"/>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32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3,419</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center"/>
              <w:ind w:right="52"/>
              <w:spacing w:after="0"/>
              <w:rPr>
                <w:sz w:val="20"/>
                <w:szCs w:val="20"/>
                <w:color w:val="auto"/>
              </w:rPr>
            </w:pPr>
            <w:r>
              <w:rPr>
                <w:rFonts w:ascii="Arial" w:cs="Arial" w:eastAsia="Arial" w:hAnsi="Arial"/>
                <w:sz w:val="18"/>
                <w:szCs w:val="18"/>
                <w:color w:val="auto"/>
                <w:w w:val="94"/>
              </w:rPr>
              <w:t>12%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11,695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10,679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0"/>
        </w:trPr>
        <w:tc>
          <w:tcPr>
            <w:tcW w:w="10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Research and development expense increased $0.4 million, or 12%, for the three months ended September 30, 2018 compared to the same period in 2017. The increase in direct research and development expense was primarily attributable to one-time sequencing costs and materials and supplies purchased for research and development experiments. The increase in compensation expense was primarily due to a higher incentive bonus.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development expense increased $1.0 million, or 10%, for the nine months ended September 30, 2018 compared to the same period in 2017, primarily attributable to one-time sequencing costs associated with research and development projects. Compensation expense increased slightly, primarily due to higher incentive bonus and severance costs, partially offset by lower stock compensation and salary expense. The increase in direct research and development expense was due to one-time sequencing costs and materials and supplies purchased for research and development experiments. The decrease in other expenses is primarily due to lower equipment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Comparison of the three and nine months ended September 30, 2018 and 2017 is as follows (in thousands of dollars, except percentages):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6"/>
              </w:rPr>
              <w:t>Three Months Ended 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760" w:type="dxa"/>
            <w:vAlign w:val="bottom"/>
            <w:tcBorders>
              <w:bottom w:val="single" w:sz="8" w:color="auto"/>
            </w:tcBorders>
          </w:tcPr>
          <w:p>
            <w:pPr>
              <w:spacing w:after="0"/>
              <w:rPr>
                <w:sz w:val="16"/>
                <w:szCs w:val="16"/>
                <w:color w:val="auto"/>
              </w:rPr>
            </w:pPr>
          </w:p>
        </w:tc>
      </w:tr>
      <w:tr>
        <w:trPr>
          <w:trHeight w:val="264"/>
        </w:trPr>
        <w:tc>
          <w:tcPr>
            <w:tcW w:w="3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jc w:val="center"/>
              <w:ind w:right="5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jc w:val="right"/>
              <w:ind w:right="352"/>
              <w:spacing w:after="0"/>
              <w:rPr>
                <w:sz w:val="20"/>
                <w:szCs w:val="20"/>
                <w:color w:val="auto"/>
              </w:rPr>
            </w:pPr>
            <w:r>
              <w:rPr>
                <w:rFonts w:ascii="Arial" w:cs="Arial" w:eastAsia="Arial" w:hAnsi="Arial"/>
                <w:sz w:val="14"/>
                <w:szCs w:val="14"/>
                <w:b w:val="1"/>
                <w:bCs w:val="1"/>
                <w:color w:val="auto"/>
              </w:rPr>
              <w:t>%</w:t>
            </w:r>
          </w:p>
        </w:tc>
      </w:tr>
      <w:tr>
        <w:trPr>
          <w:trHeight w:val="250"/>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 expense: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6,161</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4,321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1,840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53"/>
              <w:spacing w:after="0"/>
              <w:rPr>
                <w:sz w:val="20"/>
                <w:szCs w:val="20"/>
                <w:color w:val="auto"/>
              </w:rPr>
            </w:pPr>
            <w:r>
              <w:rPr>
                <w:rFonts w:ascii="Arial" w:cs="Arial" w:eastAsia="Arial" w:hAnsi="Arial"/>
                <w:sz w:val="18"/>
                <w:szCs w:val="18"/>
                <w:color w:val="auto"/>
                <w:w w:val="94"/>
              </w:rPr>
              <w:t>43%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19,540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13,056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6,484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marketing expense</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53"/>
              <w:spacing w:after="0"/>
              <w:rPr>
                <w:sz w:val="20"/>
                <w:szCs w:val="20"/>
                <w:color w:val="auto"/>
              </w:rPr>
            </w:pPr>
            <w:r>
              <w:rPr>
                <w:rFonts w:ascii="Arial" w:cs="Arial" w:eastAsia="Arial" w:hAnsi="Arial"/>
                <w:sz w:val="18"/>
                <w:szCs w:val="18"/>
                <w:color w:val="auto"/>
                <w:w w:val="95"/>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Genzyme co-promotion expense</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center"/>
              <w:ind w:right="53"/>
              <w:spacing w:after="0"/>
              <w:rPr>
                <w:sz w:val="20"/>
                <w:szCs w:val="20"/>
                <w:color w:val="auto"/>
              </w:rPr>
            </w:pPr>
            <w:r>
              <w:rPr>
                <w:rFonts w:ascii="Arial" w:cs="Arial" w:eastAsia="Arial" w:hAnsi="Arial"/>
                <w:sz w:val="18"/>
                <w:szCs w:val="18"/>
                <w:color w:val="auto"/>
                <w:w w:val="95"/>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1,596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center"/>
              <w:ind w:right="53"/>
              <w:spacing w:after="0"/>
              <w:rPr>
                <w:sz w:val="20"/>
                <w:szCs w:val="20"/>
                <w:color w:val="auto"/>
              </w:rPr>
            </w:pPr>
            <w:r>
              <w:rPr>
                <w:rFonts w:ascii="Arial" w:cs="Arial" w:eastAsia="Arial" w:hAnsi="Arial"/>
                <w:sz w:val="18"/>
                <w:szCs w:val="18"/>
                <w:color w:val="auto"/>
                <w:w w:val="94"/>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4,919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3,180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55 %</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Allocations</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center"/>
              <w:ind w:right="53"/>
              <w:spacing w:after="0"/>
              <w:rPr>
                <w:sz w:val="20"/>
                <w:szCs w:val="20"/>
                <w:color w:val="auto"/>
              </w:rPr>
            </w:pPr>
            <w:r>
              <w:rPr>
                <w:rFonts w:ascii="Arial" w:cs="Arial" w:eastAsia="Arial" w:hAnsi="Arial"/>
                <w:sz w:val="18"/>
                <w:szCs w:val="18"/>
                <w:color w:val="auto"/>
                <w:w w:val="94"/>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57"/>
        </w:trPr>
        <w:tc>
          <w:tcPr>
            <w:tcW w:w="328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10,081</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7,885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2,196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center"/>
              <w:ind w:right="53"/>
              <w:spacing w:after="0"/>
              <w:rPr>
                <w:sz w:val="20"/>
                <w:szCs w:val="20"/>
                <w:color w:val="auto"/>
              </w:rPr>
            </w:pPr>
            <w:r>
              <w:rPr>
                <w:rFonts w:ascii="Arial" w:cs="Arial" w:eastAsia="Arial" w:hAnsi="Arial"/>
                <w:sz w:val="18"/>
                <w:szCs w:val="18"/>
                <w:color w:val="auto"/>
                <w:w w:val="94"/>
              </w:rPr>
              <w:t>28%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31,247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23,215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8,032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Selling and marketing expense increased $2.2 million, or 28%, for the three months ended September 30, 2018 compared to the same period in 2017. The increase in compensation expense is due to a 38% increase in average headcount and higher incentive compensation. The decrease in direct marketing expense is due to lower trade show and advertising costs, partially offset by higher speaker program fees. The decrease in professional fees is due to lower consulting costs. The increase in other expenses is primarily due to travel and entertainment expenses related to the increase in headcount. The increase in allocations is due to the increase in headcount.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and marketing expense increased $8.0 million, or 35%, for the nine months ended September 30, 2018 compared to the same period in 2017. The increase in compensation expense is due to a 35% increase in average headcount and higher incentive compensation. The decrease in direct marketing expense is primarily due to a corporate rebranding initiative in the three months ended March 31, 2017 and lower trade show costs, partially offset by higher speaker program fees. The increase in other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4"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is primarily due to travel and entertainment expenses related to the increase in headcount. The increase in allocations is due to the increase in headcount.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Comparison of the three and nine months ended September 30, 2018 and 2017 is as follows (in thousands of dollars, except percentages):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97"/>
              </w:rPr>
              <w:t>Three Months Ended 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760" w:type="dxa"/>
            <w:vAlign w:val="bottom"/>
            <w:tcBorders>
              <w:bottom w:val="single" w:sz="8" w:color="auto"/>
            </w:tcBorders>
          </w:tcPr>
          <w:p>
            <w:pPr>
              <w:spacing w:after="0"/>
              <w:rPr>
                <w:sz w:val="16"/>
                <w:szCs w:val="16"/>
                <w:color w:val="auto"/>
              </w:rPr>
            </w:pPr>
          </w:p>
        </w:tc>
      </w:tr>
      <w:tr>
        <w:trPr>
          <w:trHeight w:val="264"/>
        </w:trPr>
        <w:tc>
          <w:tcPr>
            <w:tcW w:w="3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jc w:val="center"/>
              <w:ind w:right="7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jc w:val="right"/>
              <w:ind w:right="352"/>
              <w:spacing w:after="0"/>
              <w:rPr>
                <w:sz w:val="20"/>
                <w:szCs w:val="20"/>
                <w:color w:val="auto"/>
              </w:rPr>
            </w:pPr>
            <w:r>
              <w:rPr>
                <w:rFonts w:ascii="Arial" w:cs="Arial" w:eastAsia="Arial" w:hAnsi="Arial"/>
                <w:sz w:val="14"/>
                <w:szCs w:val="14"/>
                <w:b w:val="1"/>
                <w:bCs w:val="1"/>
                <w:color w:val="auto"/>
              </w:rPr>
              <w:t>%</w:t>
            </w:r>
          </w:p>
        </w:tc>
      </w:tr>
      <w:tr>
        <w:trPr>
          <w:trHeight w:val="236"/>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3,933</w:t>
            </w: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center"/>
              <w:ind w:right="72"/>
              <w:spacing w:after="0"/>
              <w:rPr>
                <w:sz w:val="20"/>
                <w:szCs w:val="20"/>
                <w:color w:val="auto"/>
              </w:rPr>
            </w:pPr>
            <w:r>
              <w:rPr>
                <w:rFonts w:ascii="Arial" w:cs="Arial" w:eastAsia="Arial" w:hAnsi="Arial"/>
                <w:sz w:val="18"/>
                <w:szCs w:val="18"/>
                <w:color w:val="auto"/>
                <w:w w:val="94"/>
              </w:rPr>
              <w:t>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11,592</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11,464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right="92"/>
              <w:spacing w:after="0"/>
              <w:rPr>
                <w:sz w:val="20"/>
                <w:szCs w:val="20"/>
                <w:color w:val="auto"/>
              </w:rPr>
            </w:pPr>
            <w:r>
              <w:rPr>
                <w:rFonts w:ascii="Arial" w:cs="Arial" w:eastAsia="Arial" w:hAnsi="Arial"/>
                <w:sz w:val="18"/>
                <w:szCs w:val="18"/>
                <w:color w:val="auto"/>
                <w:w w:val="94"/>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Occupancy expenses</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center"/>
              <w:ind w:right="92"/>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1,600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right="92"/>
              <w:spacing w:after="0"/>
              <w:rPr>
                <w:sz w:val="20"/>
                <w:szCs w:val="20"/>
                <w:color w:val="auto"/>
              </w:rPr>
            </w:pPr>
            <w:r>
              <w:rPr>
                <w:rFonts w:ascii="Arial" w:cs="Arial" w:eastAsia="Arial" w:hAnsi="Arial"/>
                <w:sz w:val="18"/>
                <w:szCs w:val="18"/>
                <w:color w:val="auto"/>
                <w:w w:val="92"/>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2,508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Allocations</w:t>
            </w:r>
          </w:p>
        </w:tc>
        <w:tc>
          <w:tcPr>
            <w:tcW w:w="2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ind w:right="72"/>
              <w:spacing w:after="0"/>
              <w:rPr>
                <w:sz w:val="20"/>
                <w:szCs w:val="20"/>
                <w:color w:val="auto"/>
              </w:rPr>
            </w:pPr>
            <w:r>
              <w:rPr>
                <w:rFonts w:ascii="Arial" w:cs="Arial" w:eastAsia="Arial" w:hAnsi="Arial"/>
                <w:sz w:val="18"/>
                <w:szCs w:val="18"/>
                <w:color w:val="auto"/>
                <w:w w:val="94"/>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57"/>
        </w:trPr>
        <w:tc>
          <w:tcPr>
            <w:tcW w:w="328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5,742</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5,520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center"/>
              <w:ind w:right="92"/>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17,318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17,731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 increased $0.2 million, or 4%, for the three months ended September 30, 2018 compared to the same period in 2017. The increase in compensation expense was mainly due to higher incentive compensation, partially offset by lower salary expenses from a 4% decrease in average headcount.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General and administrative expense decreased $0.4 million, or, 2%, for the nine months ended September 30, 2018 compared to the same period in 2017. The increase in compensation expense was mainly due to higher incentive compensation, partially offset by lower salary expenses from a 3% decrease in average headcount. The increase in occupancy expenses is primarily due to higher maintenance and utilities charges.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decreased $0.3 million, or 39%, for the three months ended September 30, 2018 compared to the same period in 2017 due to a decrease in the effective interest rate to 8.05% under the Term Loan Advance, as of September 30, 2018, as compared to 12.30% as of September 30, 2017, under the credit agreement that was in place at that time.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decreased $1.0 million, or 41%, for the nine months ended September 30, 2018 compared to the same period in 2017 due to a decrease in the effective interest rate to 8.05% under the Term Loan Advance, as of September 30, 2018, as compared to 12.30% as of September 30, 2017, under the credit agreement that was in place at that time.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net, increased $0.2 million for the three months ended September 30, 2018 compared to the same period in 2017 primarily due to higher interest income from our money market investments.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Other income, net, increased $0.4 million for the nine months ended September 30, 2018 compared to the same period in 2017 primarily due to the tax benefit from the legal settlement regarding short-swing profits and higher interest income from our money market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incurred net losses since our inception. For the nine months ended September 30, 2018, we had a net loss of $19.9 million, and as of September 30, 2018, we had an accumulated deficit of $231.0 million. We expect to incur additional losses in the future and may never achieve revenue sufficient to offset our expenses.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believe our existing cash and cash equivalents of $77.8 million as of September 30, 2018, our available revolving line of credit, and our revenue during the next 12 months will be sufficient to meet our anticipated cash requirements for at least the next 12 months. We expect that our near- and longer-term liquidity requirements will continue to consist of costs to run our laboratories, research and development expenses, selling and marketing expenses, general and administrative expenses, working capital, costs to service our Loan and Security Agreement, capital expenditures and general corporate expenses associated with the growth of our business. However, we may also use cash to acquire or invest in complementary businesses, technologies, services or products that would 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pursuant to the terms of our Loan and Security Agreement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 of Common Stock</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July 30, 2018, we issued and sold 5,750,000 shares of common stock in a registered public offering, including the underwriters’ exercise in full of their option to purchase an additional 750,000 shares, at a price to the public of $10.25 per share. Our net proceeds from the offering were approximately $55.0 million, after deducting underwriting discounts and commissions and estimated offering expenses of $3.9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November 3, 2017, we entered into the Loan and Security Agreement with Silicon Valley Bank. The Loan and Security Agreement allows us to borrow up to $35.0 million, with a $25.0 million term, or Term Loan, and a revolving line of credit of up to $10.0 million, or the Revolving Line of Credit, subject to, with respect to the Revolving Line of Credit, a borrowing base of 85% of eligible accounts receivable. The Term Loan was advanced upon the closing of the Loan and Security Agreement. Borrowings under the Loan and Security Agreement mature in October 2022. The Term Loan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 We are also required to pay an annual facility fee on the Revolving Line of Credit of $25,000. The effective interest rate was 8.05% as of September 30, 2018.</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may prepay the outstanding principal amount under the Term Loan plus accrued and unpaid interest and, if the Term Loan is repaid in full, a prepayment premium. The prepayment premium will equal (i) $750,000, if the prepayment is made on or before November 3, 2018, (ii) $500,000, if the prepayment is made after November 3, 2018 and on or prior to November 3, 2019 and (iii) $250,000, if the prepayment is made after November 3, 2019. In addition, a final payment on the Term Loan in the amount of $1.2 million is due upon the earlier of the maturity date of the Term Loan or its payment in full.</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Loan and Security Agreement contains customary representations, warranties, and events of default such as a material adverse change in our business, operations or financial conditions, as well as affirmative and negative covenants. The negative covenants include, among other provisions, covenants that limit or restrict our ability to incur liens, make investments, incur indebtedness, merge with or acquire other entities, dispose of assets, make dividends or other distributions to holders of our equity interests, engage in any new line of business, or enter into certain transactions with affiliates, in each case subject to certain exceptions. As of September 30, 2018, the principal balance outstanding was $25.0 million and we were in compliance with debt covenants.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Loan and Security Agreement also requires us to comply with certain financial covenants, including achieving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obligations under the Loan and Security Agreement are secured by substantially all of our assets (excluding intellectual property), subject to certain customary exceptions.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nine months ended September 30, 2018 and 2017 (in thousands of dollars):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8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(18,099)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57,670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970</w:t>
            </w:r>
          </w:p>
        </w:tc>
      </w:tr>
      <w:tr>
        <w:trPr>
          <w:trHeight w:val="27"/>
        </w:trPr>
        <w:tc>
          <w:tcPr>
            <w:tcW w:w="8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used in operating activities for the nine months ended September 30, 2018 was $12.3 million. The net loss of $19.9 million includes non-cash charges of $4.4 million of stock-based compensation expense and $3.0 million of depreciation and amortization, which includes $0.8 million of intangible asset amortization. Cash provided as a result of changes in operating assets and liabilities was flat, comprised of a decrease in supplies of $1.9 million, an increase in accrued liabilities and deferred rent of $0.8 million and decrease in accounts receivable of $0.5 million, offset by a decrease in accounts payable of $2.6 million and an increase in other assets of $0.5 million.</w:t>
      </w:r>
    </w:p>
    <w:p>
      <w:pPr>
        <w:spacing w:after="0" w:line="188"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Cash used in operating activities for the nine months ended September 30, 2017 was $18.1 million. The net loss of $22.6 million includes non-cash charges of $4.8 million of stock-based compensation expense and $2.8 million of depreciation and amortization, which includes $0.8 million of intangible asset amortization. Cash used as a result of changes in operating assets and liabilities of $3.3 million was primarily due to an increase in accounts receivable of $2.9 million, and a net decrease in accounts payable, accrued liabilities and deferred rent of $0.3 million, primarily from the payment of annual bonuses.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Cash used in investing activities for the nine months ended September 30, 2018 was $1.4 million for the acquisition of property and equipment.</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in investing activities for the nine months ended September 30, 2017 was $1.0 million, mainly comprising $1.5 million for the acquisition of property and equipment, partially offset by $0.4 million of proceeds from the sale of 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provided by financing activities for the nine months ended September 30, 2018 was $57.7 million, consisting of $55.0 million in net proceeds from the issuance of common stock in a public offering in the second quarter of 2018, $2.4 million in proceeds from the exercise of options to purchase our common stock and purchase of stock under our Employee Stock Purchase Plan, or ESPP, and $0.4 million in proceeds from a legal settlement, partially offset by capital lease payments of $0.2 million during the period.</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Cash provided by financing activities for the nine months ended September 30, 2017 was $1.0 million, consisting of $1.0 million in proceeds from the purchase of stock under our ESPP and exercise of options to purchase our common stock and $0.2 million in cost reimbursements received related to our issuance of common stock in a public offering in the fourth quarter of 2016, offset by capital lease payments of $0.2 million during the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material changes during the interim period in the contractual obligations presented in our Form 10-K for the year ended December 31, 2017 filed with the Securities and Exchange Commission on February 27,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In February 2016, the FASB issued ASU No. 2016-2,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ASU is aimed at making leasing activities more transparent and comparable, and requires substantially all leases be recognized by lessees on their balance sheet as a right-of-use asset and corresponding lease liability, including leases currently accounted for as operating leases. The ASU will be effective for interim and annual periods beginning after December 15, 2018. Additionally, the FASB issued ASU, No.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which offers an additional transition method whereby entities may apply the new leases standard at the adoption date and recognize a cumulative-effect adjustment to the opening balance of retained earnings rather than application of the new leases standard at the beginning of the earliest period presented in the financial statements. We expect to adopt this standard beginning in 2019 and do not expect that this standard will have a material impact on its results of operations or cash flows, but that it will have a material impact on our assets and liabilities. We have accumulated a list of our leases and are currently in the process of quantifying the impact of adopting this ASU.</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 - Stock Compensation (Topic 718): Improvements to Nonemployee Share 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Under this ASU, the accounting for share - based payments to nonemployees and employees will be substantially aligned, primarily by</w:t>
      </w:r>
      <w:r>
        <w:rPr>
          <w:rFonts w:ascii="Arial" w:cs="Arial" w:eastAsia="Arial" w:hAnsi="Arial"/>
          <w:sz w:val="18"/>
          <w:szCs w:val="18"/>
          <w:i w:val="1"/>
          <w:iCs w:val="1"/>
          <w:color w:val="auto"/>
        </w:rPr>
        <w:t xml:space="preserve"> </w:t>
      </w:r>
      <w:r>
        <w:rPr>
          <w:rFonts w:ascii="Arial" w:cs="Arial" w:eastAsia="Arial" w:hAnsi="Arial"/>
          <w:sz w:val="18"/>
          <w:szCs w:val="18"/>
          <w:color w:val="auto"/>
        </w:rPr>
        <w:t>permitting the measurement of nonemployee awards to be fixed at the grant date. This ASU is effective for all interim and annual reporting periods beginning on or after December 15, 2018, with early adoption permitted. We do not expect the adoption to have a material impact to the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exposed to market risks in the ordinary course of our business. These risks primarily relate to interest rates. We had cash and cash equivalents of $77.8 million as of September 30, 2018 which include bank deposits and money market funds. Such interest-bearing instruments carry a degree of risk; however, a hypothetical 10% change in interest rates during any of the periods presented would not have had a material impact on our unaudited interim condensed financial statements. Under our Loan and Security Agreement, we pay interest on any outstanding balances under this agreement based on a variable market rate. A significant change in these market rates may adversely affect our operating results.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identified in connection with the evaluation identified above that occurred during the three months ended September 30, 2018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with a history of losses, and we expect to incur net losses for the foreseeable future and may never achieve or sustain profitability.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incurred net losses since our inception. For the nine months ended September 30, 2018, we had a net loss of $19.9 million and as of September 30, 2018, we had an accumulated deficit of $231.0 million. We expect to incur additional losses in the future, and we may never achieve revenue sufficient to offset our expenses. Over the next couple of years, we expect to continue to devote substantially all of our resources to increase adoption of, and reimbursement for our Afirma tests, Percepta, our lung cancer test which we launched in April 2015, Envisia, our test for idiopathic pulmonary fibrosis, or IPF, which we launched in October 2016, and the development of additional tests. We may never achieve or sustain profitability, and our failure to achieve and sustain profitability in the future could cause the market price of our common stock to decline.</w:t>
      </w:r>
    </w:p>
    <w:p>
      <w:pPr>
        <w:spacing w:after="0" w:line="17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Our financial results currently depend mainly on sales of our Afirma tests, and we will need to generate sufficient revenue from this and other diagnostic solutions to grow our business.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Most of our revenue to date has been derived from the sale of our Afirma tests, which are used in the diagnosis of thyroid cancer. Over the next few years, we expect to continue to derive a substantial portion of our revenue from sales of our Afirma tests. In the third quarter of 2017, we began recognizing revenue from the sale of our Percepta test, used in the diagnosis of lung cancer. We also launched our Envisia test to help improve the diagnosis of interstitial lung disease, specifically IPF, in October 2016, but have not recognized revenue from Envisia to-date. Once genomic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solutions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and Percepta tests, or successfully obtain coverage and reimbursement for our Envisia test or develop and commercialize other solutions, our revenue and our ability to achieve and sustain profitability would be impaired, and the market price of our common stock could decline.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If we are not able to successfully transition to our next-generation Afirma GSC, our business, operating results and competitive position could be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harmed.</w:t>
      </w:r>
    </w:p>
    <w:p>
      <w:pPr>
        <w:spacing w:after="0" w:line="2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in the process of transitioning our customers to our next-generation Afirma Genomic Sequencing Classifier, or GSC, that uses a new technology platform for the Afirma genomic classifier testing. There are risks associated with this transition that include, but are not limited to, operational implementation, reimbursement, and customer adoption risks. If we are unable to effectively transition to the new platform, our business, financial condition and results of operations could be adversely affected and our reputation and competitive position could be harmed.</w:t>
      </w:r>
    </w:p>
    <w:p>
      <w:pPr>
        <w:spacing w:after="0" w:line="17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 for tests performed on patients covered by Medicare and UnitedHealthcare was 28% and 12%, respectively, of our revenue for the nine months ended September 30, 2018, compared with 26% and 14%, respectively, for the nine months ended September 30, 2017.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the Afirma Gene Expression Classifier, or GEC. Afirma GSC is now covered by Noridian Healthcare Solutions, the current MAC for our jurisdiction, through the Molecular Diagnostics Services Program, or MolDX program, administered by Palmetto GBA, under a Local Coverage Determination, or LCD.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Noridian Healthcare Solutions issued an LCD for Percepta effective for services performed on or after May 2017. This coverage policy requires us to establish and maintain a Certification and Training Registry program and make Percepta available only to certain Medicare patients through physicians who participate in this program. Failure by us or physicians to comply with the requirements of the Certification and Training Registry program could lead to loss of Medicare coverage for Percepta, which could have an adverse effect on our revenue.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submitted the dossier of clinical evidence needed to obtain Medicare coverage for the Envisia Genomic Classifier through the MolDX technical assessment process, and received a draft LCD for it in August 2018. We expect the final policy to be effected in early 2019, but there can be no assurances that Envisia will obtain Medicare coverage in 2019 or in subsequent years.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 five-year rotational basis, Medicare requests bids for its regional MAC services. Any future changes in the MAC processing or coding for Medicare claims for the Afirma classifier or Percepta could result in a change in the coverage or reimbursement rates for such products, or the loss of coverage, and could also result in increased difficulties in obtaining and maintaining coverage for the Envisia classifier.</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March 1, 2015, an American Medical Association Current Procedural Terminology code, or CPT code, 81545 for the Afirma GEC was issued. On January 1, 2018, the Medicare Clinical Laboratory Fee Schedule payment rate for the Afirma classifier increased from $3,220 to $3,600. This rate is based on the volume-weighted median of private payer rates based on final payments made between January 1 and June 30, 2016, which we reported to the Centers for Medicare &amp; Medicaid Services, or CMS, in 2017 as required under the Protecting Access to Medicare Act of 2014, or PAMA. This payment rate will be effective through December 31, 2020. There can be no assurance that the rate will not decrease in the future following the next reporting period under PAMA.</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submit claims to Medicare for Percepta using an unlisted code and were paid at the rate of $3,220 in 2017 under the MolDX program. A specific CPT code assigned to Percepta may be required to go through the national payment determination process, and there can be no assurance that the Medicare payment rate the test receives through this process will not be lower than the current payment rate for Percepta. There can also be no assurance that the Medicare payment rate for Percepta will not be reduced when it is set based on volume-weighted median of private payer rates after the next reporting period under PAMA.</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there is a decrease in the Medicare payment rate for our tests, our revenue from Medicare will decrease and the payment rates for some of our commercial payers may also decrease if they tie their allowable rates to the Medicare rate. These changes could have an adverse effect on our business, financial condition and results of operations.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have entered into contracts with certain third-party payers that establish in-network allowable rates of reimbursement for our Afirma tests, payers may suspend or discontinue reimbursement at any time, may require or increase co-payments from patients, or may reduce the reimbursement rates paid to us. Reductions in private payer amounts could decrease the Medicare payment rates for our tests under PAMA. Any such actions could have a negative effect on our revenue.</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208" w:lineRule="exact"/>
        <w:rPr>
          <w:sz w:val="20"/>
          <w:szCs w:val="20"/>
          <w:color w:val="auto"/>
        </w:rPr>
      </w:pPr>
    </w:p>
    <w:p>
      <w:pPr>
        <w:ind w:left="2020" w:hanging="715"/>
        <w:spacing w:after="0"/>
        <w:tabs>
          <w:tab w:leader="none" w:pos="2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65" w:lineRule="exact"/>
        <w:rPr>
          <w:rFonts w:ascii="Arial" w:cs="Arial" w:eastAsia="Arial" w:hAnsi="Arial"/>
          <w:sz w:val="18"/>
          <w:szCs w:val="18"/>
          <w:color w:val="auto"/>
        </w:rPr>
      </w:pPr>
    </w:p>
    <w:p>
      <w:pPr>
        <w:ind w:left="2020" w:hanging="715"/>
        <w:spacing w:after="0"/>
        <w:tabs>
          <w:tab w:leader="none" w:pos="2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pre-authorized and appropriate for the specific patient;</w:t>
      </w:r>
    </w:p>
    <w:p>
      <w:pPr>
        <w:spacing w:after="0" w:line="265" w:lineRule="exact"/>
        <w:rPr>
          <w:rFonts w:ascii="Arial" w:cs="Arial" w:eastAsia="Arial" w:hAnsi="Arial"/>
          <w:sz w:val="18"/>
          <w:szCs w:val="18"/>
          <w:color w:val="auto"/>
        </w:rPr>
      </w:pPr>
    </w:p>
    <w:p>
      <w:pPr>
        <w:ind w:left="2020" w:hanging="715"/>
        <w:spacing w:after="0"/>
        <w:tabs>
          <w:tab w:leader="none" w:pos="2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65" w:lineRule="exact"/>
        <w:rPr>
          <w:rFonts w:ascii="Arial" w:cs="Arial" w:eastAsia="Arial" w:hAnsi="Arial"/>
          <w:sz w:val="18"/>
          <w:szCs w:val="18"/>
          <w:color w:val="auto"/>
        </w:rPr>
      </w:pPr>
    </w:p>
    <w:p>
      <w:pPr>
        <w:ind w:left="2020" w:hanging="715"/>
        <w:spacing w:after="0"/>
        <w:tabs>
          <w:tab w:leader="none" w:pos="2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65" w:lineRule="exact"/>
        <w:rPr>
          <w:rFonts w:ascii="Arial" w:cs="Arial" w:eastAsia="Arial" w:hAnsi="Arial"/>
          <w:sz w:val="18"/>
          <w:szCs w:val="18"/>
          <w:color w:val="auto"/>
        </w:rPr>
      </w:pPr>
    </w:p>
    <w:p>
      <w:pPr>
        <w:ind w:left="2020" w:hanging="715"/>
        <w:spacing w:after="0"/>
        <w:tabs>
          <w:tab w:leader="none" w:pos="2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3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do not have a contracted rate of reimbursement with many payers for the Afirma or Percepta tests, and we do not have any contracted reimbursement with any payers with respect to the Envisia test. Without a contracted rate for reimbursement, our claims are often denied upon submission, and we must appeal the claims. The appeals process is time consuming and expensive, and may not result in payment. In cases where there is no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expect to continue to focus substantial resources on increasing adoption, coverage and reimbursement for the Afirma classifiers, the Percepta classifier and the Envisia classifier as well as any other future tests we may develop. We believe it will take several years to achieve coverage and contracted reimbursement with a majority of third-party payers. However,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 for our tests, the payment rates for some of our commercial payers may also decrease if they tie their allowable rates to the Medicare rate.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our tests.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Afirma genomic classifier is included in most physician practice guidelines in the United States for the assessment of patients with thyroid nodules. However, historical practice recommended a full or partial thyroidectomy in cases where cytopathology results were indeterminate to confirm a diagnosis. Our lung products are not yet integrated into practice guidelines and physicians may be reluctant to order tests that are not recommended in these guidelines. Because our diagnostic services are performed by our certified laboratory under the Clinical Laboratory Improvement Amendments of 1988, or CLIA, rather than by the local laboratory or pathology practice, pathologists may be reluctant to support our testing services as well. Guidelines that include our classifiers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tests.</w:t>
      </w:r>
    </w:p>
    <w:p>
      <w:pPr>
        <w:spacing w:after="0" w:line="36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In addition, Congressional efforts to repeal the ACA could result in an increase in uninsured patients. These events may result in patients delaying or forgoing medical checkups or treatment due to their inability to pay for our tests, which could have an adverse effect on our revenue.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Due to how we recognize revenue, our quarterly operating results are likely to fluctuate.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research analysts and for investors to accurately forecast our revenue and operating results. If our revenue or operating results fall below expectations, the price of our common stock would likely decline.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rely on sole suppliers for critical supply of reagents, equipment, chips and other materials that we use to perform our tests.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supplies with expiration dates that occur before use which would adversely affect our losses and cash flow position. As we introduce any new test, we may experience supply issues as we ramp test volume.</w:t>
      </w:r>
    </w:p>
    <w:p>
      <w:pPr>
        <w:spacing w:after="0" w:line="18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rely on Thyroid Cytopathology Partners, or TCP, to provide cytopathology professional diagnoses on thyroid fine needle aspiration, or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through October 31, 2022, and thereafter automatically renews every year unless either party provides notice of intent not to renew at least 12 months prior to the end of the then-current term.</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adversely affect our operations. If we are unable to manage our growth effectively, it may be difficult for us to execute our business strategy and our business could be harmed.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support demand for our commercial tests, our business could suffer.</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9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ACA, enacted in March 2010, made changes that significantly affected the pharmaceutical and medical device industries and clinical laboratories. Effective January 1, 2013, the ACA included a 2.3% excise tax on the sale of certain medical devices sold outside of the retail setting. Although a moratorium has been imposed on this excise tax for 2016 through 2019, the excise tax is scheduled to be restored in 2020.</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beginning of 2017, the U.S. Congress and the Administration took actions to repeal the ACA and indicated an intent to replace it with another act and efforts to repeal or amend the ACA are ongoing. We cannot predict if, or when, the ACA will be repealed or amended, and cannot predict the impact that an amendment or repeal of the ACA will have on our business.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involves the use of a range of rates that fell between zero and 80% of the calculated California-specific Medicare rate and the calculation of a weighted average (based on units billed) of such rates.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CMS bundles payments for clinical laboratory diagnostic tests together with other services performed during hospital outpatient visits under the Hospital Outpatient Prospective Payment System. CMS currently maintains an exemption for molecular pathology tests from this bundling provision. It is possible that this exemption could be removed by CMS in future rule making, which might result in lower reimbursement for tests performed in this setting.</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PAMA includes a substantial new payment system for clinical laboratory tests under the CLFS. Under PAMA, laboratories that receive the majority of their Medicare revenues from payments made under the CLFS and the Physician Fee Schedule would report on triennial bases (or annually for advanced diagnostic laboratory tests, or ADLTs), private payer rates and volumes for their tests with specific CPT codes based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There can be no assurance that the payment rate for Afirma will not decrease in the future or that the payment rates for Percepta or Envisia will not be adversely affected by the PAMA law and regulations.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our Afirma genomic classifier as well as our Percepta and Envisia classifiers would be considered ADLTs under PAMA. The initial payment rate (for a period not to exceed nine months) under PAMA for a new ADLT (an ADLT for which payment has not been made under the CLFS prior to January 1, 2018) will be set at the “actual list charge” for the test as reported by the laboratory. Insofar as the actual list charge substantially exceeds private payer rates (by more than 30%), CMS will have the ability to recoup excess payments made during the initial nine-month payment period. We can determine whether to seek ADLT status for our tests, but there can be no assurance that our tests will be designated ADLTs or that the payment rates for our tests will not be adversely affected by such designation.</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There have also been recent and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2016, Congress passed the 21st Century Cures Act, which, among other things, revised the process for LCDs. Starting on June 11, 2017, a MAC is required to, among other things, publish a summary of the evidence that it considered when developing an LCD, including a list of sources, and an explanation of the rationale that supports the MAC’s determinations. We cannot predict whether these revisions will delay future LCDs and result in impeded coverage for our test products, which could have a material negative impact on revenue.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Because of Medicare billing rules, we may not receive reimbursement for all tests provided to Medicare patients.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Under previous Medicare billing rules, hospitals were required to bill for our tests when performed on Medicare beneficiaries who were hospital outpatients at the time of tissue specimen collection when these tests were ordered less than 14 days following the date of the patient's discharge.</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Effective January 1, 2018, CMS revised its billing rules to allow the performing laboratory to bill Medicare directly for molecular pathology tests performed on specimens collected from hospital outpatients, even when those tests are ordered less than 14 days after the date of discharge, if certain conditions are met. We believe that our Afirma, Percepta, and Envisia classifiers should be covered by this policy. Accordingly, we bill Medicare for these tests when we perform them on specimens collected from hospital outpatients and meet the conditions set forth in CMS's revised billing rules.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 While we believe the impact of these revisions are favorable to us, we cannot predict with certainty the impact on our business. CMS may change this regulatory policy in the future, which could negatively impact our business.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Clinical laboratory tests have long been subject to comprehensive regulations under CLIA, as well as by applicable state laws. Most laboratory developed tests, or LDTs, are not currently subject to regulation under the FDA's enforcement discretion policy, although reagents, instruments, software or components provided by third parties and used to perform LDTs may be subject to regulation. While the FDA maintains its authority to regulate LDTs, it has chosen to exercise its enforcement discretion not to enforce the premarket review and other applicable medical device requirements for LDTs. We believe that the Afirma, Percepta and Envisia classifiers are LDTs that fall under the FDA's enforcement discretion policy. In October 2014, the FDA issued draft guidance, entitled "Framework for Regulatory Oversight of LDTs," proposing a risk-based framework of oversight and a phased-in enforcement of premarket review requirements for most LDTs. In 2016, the FDA announced that it would not be finalizing the guidance.</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2017, the FDA issued a "Discussion Paper on Laboratory Developed Tests" following input it received from multiple stakeholders who had commented on its 2014 draft guidance. The FDA specifically states in its Discussion Paper that the proposals contained in the document do not represent a final version of the LDT draft guidance documents and are only designed to provide a possible approach to spark further dialogue. The suggested LDT framework could grandfather many types of LDTs without requiring new premarket review or quality management requirements. It also suggests a four-year phased implementation of the premarket review requirements for some types of tests.</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March 2017, a draft bill titled "The Diagnostics Accuracy and Innovation Act" was released for discussion. The bill proposes a risk-based approach to regulate LDTs and creates a new in vitro clinical test category, which includes LDTs, and a regulatory structure under the FDA. As proposed, the bill grandfathers existing tests and gives companies five years to augment test development pipelines to ensure new tests have the data necessary for FDA approval. We cannot predict whether this draft bill will become legislation and cannot quantify the effect of this draft bill on our business.</w:t>
      </w:r>
    </w:p>
    <w:p>
      <w:pPr>
        <w:spacing w:after="0" w:line="15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the FDA were to require us to seek clearance or approval for our existing tests or any of our future products for clinical use, we may not be able to obtain such approvals on a timely basis, or at all. While we believe our current tests would likely qualify for the “grandfathered” tests treatment, there can be no assurance of what the FDA might ultimately require if it issued final guidance. If premarket reviews were required, our business could be negatively impacted if we were required to stop selling our products pending their clearance or approval. In addition, the launch of any new products that we develop could be delayed by the implementation of future FDA guidance. The cost of complying with premarket review requirements, including obtaining clinical data, could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Some of the materials we use for our tests and that we may use for future tests are labeled for research use-only, or RUO, or investigational-use only, or IUO. In November 2013, the FDA finalized guidance regarding the sale and use of products labeled RUO or IUO. Among other things, the guidance advises that the FDA continues to be concerned about distribution of research or investigational-use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 in question. The FDA has advised that if evidence demonstrates that a product is inappropriately labeled for research or investigational-use only, the device would be considered misbranded and adulterated within the meaning of the Federal Food, Drug and Cosmetic Act. Some of the reagents, instruments, software or components obtained by us from suppliers for use in our products are currently labeled as RUO or IUO. If the FDA were to determine that any of these reagents, instruments, software or components are improperly labeled RUO or IUO and undertake enforcement actions, some of our suppliers might cease selling these reagents, instruments, software or components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principal competition for our tests comes from traditional methods used by physicians to diagnose and manage patient care decisions. For example, with our Afirma genomic classifier, practice guidelines in the United States have historically recommended that patients with indeterminate diagnoses from cytopathology results be considered for surgery to remove all 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 of the thyroid to rule out cancer. This practice has been the standard of care in the United States for many years, and we need to continue to educate physicians about the benefits of the Afirma genomic classifier to change clinical practice.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Rosetta Genomics Ltd., and others who are developing new products or technologies that may compete with our tests. In the future, we may also face competition from companies developing new products or technologies.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With the Percepta and Envisia tests, we believe our primary competition will similarly come from traditional methods used by physicians to diagnose the related diseases. For the Percepta test, we expect competition from companies focused on lung cancer such as Biodesix, Oncocyte Corporation and Oncimmune. We also anticipate facing potential competition from companies offering or developing approaches for assessing malignancy risk in patients with lung nodules using alternative samples, such as blood, urine or sputum. However, such “liquid biopsies” are often used earlier in the diagnostic paradigm — for instance, to screen for cancer — or to gauge risk of recurrence or response to treatment.</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loss of members of our senior management team or our inability to attract and retain key personnel could adversely affect our business.</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As a public company located in the San Francisco Bay Area, we also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Additionally, our success depends on our ability to attract and retain qualified sales people. We recently significantly expanded our sales force as we invest in our multi-product sales strategy, which includes assignment of a single contact to successfully develop and implement relationships with our customers. There can be no assurance that we will be successful in maintaining and growing our business. Additionally, as we increase our sales channels for new tests we commercialize, including the Percepta and Envisia tests, we may have difficulties recruiting and training additional sales personnel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or retaining qualified salespeople, which could cause a delay or decline in the rate of adoption of our tests.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Billing for our diagnostic tests is complex, and we must dedicate substantial time and resources to the billing process to be paid.</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52" w:lineRule="exact"/>
        <w:rPr>
          <w:sz w:val="20"/>
          <w:szCs w:val="20"/>
          <w:color w:val="auto"/>
        </w:rPr>
      </w:pPr>
    </w:p>
    <w:p>
      <w:pPr>
        <w:ind w:left="2020" w:hanging="391"/>
        <w:spacing w:after="0"/>
        <w:tabs>
          <w:tab w:leader="none" w:pos="2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265" w:lineRule="exact"/>
        <w:rPr>
          <w:rFonts w:ascii="Arial" w:cs="Arial" w:eastAsia="Arial" w:hAnsi="Arial"/>
          <w:sz w:val="18"/>
          <w:szCs w:val="18"/>
          <w:color w:val="auto"/>
        </w:rPr>
      </w:pPr>
    </w:p>
    <w:p>
      <w:pPr>
        <w:ind w:left="2040" w:hanging="411"/>
        <w:spacing w:after="0"/>
        <w:tabs>
          <w:tab w:leader="none" w:pos="2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306" w:lineRule="exact"/>
        <w:rPr>
          <w:rFonts w:ascii="Arial" w:cs="Arial" w:eastAsia="Arial" w:hAnsi="Arial"/>
          <w:sz w:val="18"/>
          <w:szCs w:val="18"/>
          <w:color w:val="auto"/>
        </w:rPr>
      </w:pPr>
    </w:p>
    <w:p>
      <w:pPr>
        <w:ind w:left="2020" w:hanging="391"/>
        <w:spacing w:after="0"/>
        <w:tabs>
          <w:tab w:leader="none" w:pos="2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 of government audits related to billing Medicare;</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65" w:lineRule="exact"/>
        <w:rPr>
          <w:rFonts w:ascii="Arial" w:cs="Arial" w:eastAsia="Arial" w:hAnsi="Arial"/>
          <w:sz w:val="18"/>
          <w:szCs w:val="18"/>
          <w:color w:val="auto"/>
        </w:rPr>
      </w:pPr>
    </w:p>
    <w:p>
      <w:pPr>
        <w:ind w:left="980" w:firstLine="649"/>
        <w:spacing w:after="0" w:line="324" w:lineRule="auto"/>
        <w:tabs>
          <w:tab w:leader="none" w:pos="20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 including the need for prior authorization and/or advanced notification;</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billing codes used for our tests;</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3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use standard industry billing codes, known as CPT codes, to bill for cytopathology. In addition, we use the CPT code 81545 to bill for our Afirma classifier. CPT codes do not exist for our other proprietary molecular diagnostic tests. Therefore, until such time that we are assigned and are able to use a designated CPT code specific to Percepta and Envisia, we use “unlisted” codes for claim submissions, which can lead to delays in payors adjudicating our claims or denying payment altogether. Moreover,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such as the 81545 code for the Afirma GEC that became effective January 1, 2016,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16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determination, there is a risk that we may be required to return some portion of prior payments we have received. Additionally, the ACA established a requirement for providers and suppliers to report and return any overpayments received from government payors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We rely on a third-party provider to transmit claims to payers, and any delay in transmitting claims could have an adverse effect on our revenue.</w:t>
      </w:r>
    </w:p>
    <w:p>
      <w:pPr>
        <w:spacing w:after="0" w:line="26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b w:val="1"/>
          <w:bCs w:val="1"/>
          <w:i w:val="1"/>
          <w:iCs w:val="1"/>
          <w:color w:val="auto"/>
        </w:rPr>
        <w:t>Our future success will depend in part on our ability to successfully transition from our relationship with Genzyme to co-promote Afirma in the United States.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sell Afirma in the United States through our internal sales team and, until recently, also through a co-promotion agreement with Genzyme Corporation, which we terminated effective September 9, 2016. In connection with the transition, we have hired additional sales personnel to sell our Afirma tests. If we are unsuccessful in transitioning the sales and marketing of the Afirma test from Genzyme solely to our internal sales and marketing personnel, we may experience declining test volumes and associated declines in revenue. We may not be able to market or sell the Afirma test effectively enough to maintain or increase demand for the test, or without significant additional sales and marketing efforts and expense. Our failure to do so successfully without the benefit of Genzyme’s efforts could have an adverse effect on our business, financial condition and results of operations.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If our internal sales force is less successful than anticipated, our business expansion plans could suffer and our ability to generate revenues could be diminished. In addition, we have limited history selling our molecular diagnostics tests on a direct basis and our limited history makes forecasting difficult.</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our internal sales force is not successful, or new additions to our sales team fail to gain traction among our customers, we may not be able to increase market awareness and sales of our molecular diagnostic tests. If we fail to establish our molecular diagnostic tests in the marketplace, it could have a negative effect on our ability to sell subsequent molecular diagnostic tests and hinder the desired expansion of our business. We have growing, however limited, historical experience forecasting the direct sales of our molecular diagnostics products. Our ability to produce test volumes that meet customer demand is dependent upon our ability to forecast accurately and plan production capacities accordingly.</w:t>
      </w:r>
    </w:p>
    <w:p>
      <w:pPr>
        <w:spacing w:after="0" w:line="17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After launching new products, we still must complete studies that meet the clinical evidence required to obtain reimbursement.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develop and commercialize diagnostic tests, we need to:</w:t>
      </w:r>
    </w:p>
    <w:p>
      <w:pPr>
        <w:spacing w:after="0" w:line="252" w:lineRule="exact"/>
        <w:rPr>
          <w:sz w:val="20"/>
          <w:szCs w:val="20"/>
          <w:color w:val="auto"/>
        </w:rPr>
      </w:pPr>
    </w:p>
    <w:p>
      <w:pPr>
        <w:ind w:left="2020" w:hanging="391"/>
        <w:spacing w:after="0"/>
        <w:tabs>
          <w:tab w:leader="none" w:pos="2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2020" w:hanging="391"/>
        <w:spacing w:after="0"/>
        <w:tabs>
          <w:tab w:leader="none" w:pos="2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3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197" w:lineRule="exact"/>
        <w:rPr>
          <w:sz w:val="20"/>
          <w:szCs w:val="20"/>
          <w:color w:val="auto"/>
        </w:rPr>
      </w:pPr>
    </w:p>
    <w:p>
      <w:pPr>
        <w:ind w:left="2020" w:hanging="391"/>
        <w:spacing w:after="0"/>
        <w:tabs>
          <w:tab w:leader="none" w:pos="2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65" w:lineRule="exact"/>
        <w:rPr>
          <w:rFonts w:ascii="Arial" w:cs="Arial" w:eastAsia="Arial" w:hAnsi="Arial"/>
          <w:sz w:val="18"/>
          <w:szCs w:val="18"/>
          <w:color w:val="auto"/>
        </w:rPr>
      </w:pPr>
    </w:p>
    <w:p>
      <w:pPr>
        <w:ind w:left="980" w:firstLine="649"/>
        <w:spacing w:after="0" w:line="324" w:lineRule="auto"/>
        <w:tabs>
          <w:tab w:leader="none" w:pos="20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secure sufficient numbers of samples at an acceptable cost and on an acceptable timeframe to conduct analytical and clinical studies; or</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cannot enter into new clinical study collaborations, our product development and subsequent commercialization could be delayed.</w:t>
      </w:r>
    </w:p>
    <w:p>
      <w:pPr>
        <w:spacing w:after="0" w:line="2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acquired Allegro Diagnostics Corp. in September 2014, and we may pursue additional acquisitions of complementary businesses or assets, as well as technology licensing arrangements as part of our business strategy. We also may pursue strategic alliances that leverage our core technology and industry experience to expand our offerings or distribution, or make investments in other companies. To date, we have limited experience with respect to acquisitions and the formation of strategic alliances and joint ventures. We may not be able to integrate acquisitions successfully into our existing business, and we could assume unknown or contingent liabilities. In addition, we may not realize the expected benefits of an acquisition or investment. Any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Loan and Security Agreement with Silicon Valley Bank contains covenants that could limit our ability to sell debt securities or obtain additional debt financing arrangements, which could affect our ability to finance acquisitions or investments other than through the issuance of stock.</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Our Loan and Security Agreement provides our lender with a first-priority liens against substantially all of our assets, excluding our intellectual property, and contains financial covenants and other restrictions on our actions, which could limit our operational flexibility and otherwise adversely affect our financial condition.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Loan and Security Agreement restricts our ability to, among other things,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loan and security agreement requires us to achieve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 Our ability to comply with these and other covenants is dependent upon a number of factors, some of which are beyond our control.</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failure to comply with the financial covenants, or the occurrence of other events specified in our loan and security agreement, could result in an event of default under the loan and security agreement, which would give our lenders the right to terminate their commitments to provide additional loans under the loan and security agreement and to declare all borrowings outstanding, together with accrued and unpaid interest and fees, to be immediately due and payable. In addition, we have granted our lenders first-priority liens against all of our assets, excluding our intellectual property, as collateral. Failure to comply with the covenants or other restrictions in the loan and security agreement could result in a default.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common stock.</w:t>
      </w:r>
    </w:p>
    <w:p>
      <w:pPr>
        <w:spacing w:after="0" w:line="19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and state licensing requirements, we could lose the ability to perform our tests or experience disruptions to our business.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personal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are also required to maintain state licenses to conduct testing in our laboratories. California, New York, Texas, among other states’ laws, require that we maintain a license and comply with state regulation as a clinical laboratory. Other states may have similar requirements or may adopt similar requirements in the future. In addition, both of our clinical laboratories are required to be licensed on a test-specific basis by New York State. We have received approval for the Afirma and Percepta tests. We will be required to obtain approval for other tests we may offer in the future. If we were to lose our CLIA certificate or California license for our South San Francisco laboratory, whether as a result of revocation, suspension or limitation, we would no longer be able to perform our molecular tests, which would eliminate our primary source of revenue and harm our business. If we fail to meet the state licensing requirements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97" w:lineRule="exact"/>
        <w:rPr>
          <w:sz w:val="20"/>
          <w:szCs w:val="20"/>
          <w:color w:val="auto"/>
        </w:rPr>
      </w:pPr>
    </w:p>
    <w:p>
      <w:pPr>
        <w:jc w:val="both"/>
        <w:ind w:left="980" w:firstLine="649"/>
        <w:spacing w:after="0" w:line="325" w:lineRule="auto"/>
        <w:tabs>
          <w:tab w:leader="none" w:pos="20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75" w:lineRule="exact"/>
        <w:rPr>
          <w:rFonts w:ascii="Arial" w:cs="Arial" w:eastAsia="Arial" w:hAnsi="Arial"/>
          <w:sz w:val="17"/>
          <w:szCs w:val="17"/>
          <w:color w:val="auto"/>
        </w:rPr>
      </w:pPr>
    </w:p>
    <w:p>
      <w:pPr>
        <w:ind w:left="2020" w:hanging="391"/>
        <w:spacing w:after="0"/>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Medicare billing and payment regulations applicable to clinical laboratories;</w:t>
      </w:r>
    </w:p>
    <w:p>
      <w:pPr>
        <w:spacing w:after="0" w:line="265" w:lineRule="exact"/>
        <w:rPr>
          <w:rFonts w:ascii="Arial" w:cs="Arial" w:eastAsia="Arial" w:hAnsi="Arial"/>
          <w:sz w:val="18"/>
          <w:szCs w:val="18"/>
          <w:color w:val="auto"/>
        </w:rPr>
      </w:pPr>
    </w:p>
    <w:p>
      <w:pPr>
        <w:jc w:val="both"/>
        <w:ind w:left="980" w:firstLine="649"/>
        <w:spacing w:after="0" w:line="336" w:lineRule="auto"/>
        <w:tabs>
          <w:tab w:leader="none" w:pos="20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64" w:lineRule="exact"/>
        <w:rPr>
          <w:rFonts w:ascii="Arial" w:cs="Arial" w:eastAsia="Arial" w:hAnsi="Arial"/>
          <w:sz w:val="17"/>
          <w:szCs w:val="17"/>
          <w:color w:val="auto"/>
        </w:rPr>
      </w:pPr>
    </w:p>
    <w:p>
      <w:pPr>
        <w:jc w:val="both"/>
        <w:ind w:left="980" w:firstLine="649"/>
        <w:spacing w:after="0" w:line="306" w:lineRule="auto"/>
        <w:tabs>
          <w:tab w:leader="none" w:pos="20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6" w:lineRule="exact"/>
        <w:rPr>
          <w:rFonts w:ascii="Arial" w:cs="Arial" w:eastAsia="Arial" w:hAnsi="Arial"/>
          <w:sz w:val="18"/>
          <w:szCs w:val="18"/>
          <w:color w:val="auto"/>
        </w:rPr>
      </w:pPr>
    </w:p>
    <w:p>
      <w:pPr>
        <w:jc w:val="both"/>
        <w:ind w:left="980" w:firstLine="649"/>
        <w:spacing w:after="0" w:line="364" w:lineRule="auto"/>
        <w:tabs>
          <w:tab w:leader="none" w:pos="20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148" w:lineRule="exact"/>
        <w:rPr>
          <w:rFonts w:ascii="Arial" w:cs="Arial" w:eastAsia="Arial" w:hAnsi="Arial"/>
          <w:sz w:val="16"/>
          <w:szCs w:val="16"/>
          <w:color w:val="auto"/>
        </w:rPr>
      </w:pPr>
    </w:p>
    <w:p>
      <w:pPr>
        <w:ind w:left="980" w:firstLine="649"/>
        <w:spacing w:after="0" w:line="324" w:lineRule="auto"/>
        <w:tabs>
          <w:tab w:leader="none" w:pos="20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who knowingly presents, or causes to be presented, a false, fictitious, or fraudulent claim for payment to the federal government;</w:t>
      </w:r>
    </w:p>
    <w:p>
      <w:pPr>
        <w:spacing w:after="0" w:line="170" w:lineRule="exact"/>
        <w:rPr>
          <w:rFonts w:ascii="Arial" w:cs="Arial" w:eastAsia="Arial" w:hAnsi="Arial"/>
          <w:sz w:val="18"/>
          <w:szCs w:val="18"/>
          <w:color w:val="auto"/>
        </w:rPr>
      </w:pPr>
    </w:p>
    <w:p>
      <w:pPr>
        <w:jc w:val="both"/>
        <w:ind w:left="980" w:right="20" w:firstLine="649"/>
        <w:spacing w:after="0" w:line="311" w:lineRule="auto"/>
        <w:tabs>
          <w:tab w:leader="none" w:pos="20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81" w:lineRule="exact"/>
        <w:rPr>
          <w:rFonts w:ascii="Arial" w:cs="Arial" w:eastAsia="Arial" w:hAnsi="Arial"/>
          <w:sz w:val="18"/>
          <w:szCs w:val="18"/>
          <w:color w:val="auto"/>
        </w:rPr>
      </w:pPr>
    </w:p>
    <w:p>
      <w:pPr>
        <w:ind w:left="980" w:firstLine="649"/>
        <w:spacing w:after="0" w:line="324" w:lineRule="auto"/>
        <w:tabs>
          <w:tab w:leader="none" w:pos="20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70" w:lineRule="exact"/>
        <w:rPr>
          <w:rFonts w:ascii="Arial" w:cs="Arial" w:eastAsia="Arial" w:hAnsi="Arial"/>
          <w:sz w:val="18"/>
          <w:szCs w:val="18"/>
          <w:color w:val="auto"/>
        </w:rPr>
      </w:pPr>
    </w:p>
    <w:p>
      <w:pPr>
        <w:ind w:left="980" w:right="20" w:firstLine="649"/>
        <w:spacing w:after="0" w:line="324" w:lineRule="auto"/>
        <w:tabs>
          <w:tab w:leader="none" w:pos="20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70" w:lineRule="exact"/>
        <w:rPr>
          <w:rFonts w:ascii="Arial" w:cs="Arial" w:eastAsia="Arial" w:hAnsi="Arial"/>
          <w:sz w:val="18"/>
          <w:szCs w:val="18"/>
          <w:color w:val="auto"/>
        </w:rPr>
      </w:pPr>
    </w:p>
    <w:p>
      <w:pPr>
        <w:jc w:val="both"/>
        <w:ind w:left="980" w:firstLine="649"/>
        <w:spacing w:after="0" w:line="336" w:lineRule="auto"/>
        <w:tabs>
          <w:tab w:leader="none" w:pos="201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64" w:lineRule="exact"/>
        <w:rPr>
          <w:rFonts w:ascii="Arial" w:cs="Arial" w:eastAsia="Arial" w:hAnsi="Arial"/>
          <w:sz w:val="17"/>
          <w:szCs w:val="17"/>
          <w:color w:val="auto"/>
        </w:rPr>
      </w:pPr>
    </w:p>
    <w:p>
      <w:pPr>
        <w:jc w:val="both"/>
        <w:ind w:left="980" w:firstLine="649"/>
        <w:spacing w:after="0" w:line="311" w:lineRule="auto"/>
        <w:tabs>
          <w:tab w:leader="none" w:pos="20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181" w:lineRule="exact"/>
        <w:rPr>
          <w:rFonts w:ascii="Arial" w:cs="Arial" w:eastAsia="Arial" w:hAnsi="Arial"/>
          <w:sz w:val="18"/>
          <w:szCs w:val="18"/>
          <w:color w:val="auto"/>
        </w:rPr>
      </w:pPr>
    </w:p>
    <w:p>
      <w:pPr>
        <w:ind w:left="2020" w:hanging="391"/>
        <w:spacing w:after="0"/>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Foreign Corrupt Practices Act of 1977, and other similar laws, which apply to our international activities;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980" w:firstLine="649"/>
        <w:spacing w:after="0" w:line="324" w:lineRule="auto"/>
        <w:tabs>
          <w:tab w:leader="none" w:pos="20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unclaimed property (escheat) laws and regulations, which may require us to turn over to governmental authorities the property of others held by us that has been unclaimed for a specified period of time; and</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enforcing our intellectual property rights.</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9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208" w:lineRule="exact"/>
        <w:rPr>
          <w:sz w:val="20"/>
          <w:szCs w:val="20"/>
          <w:color w:val="auto"/>
        </w:rPr>
      </w:pPr>
    </w:p>
    <w:p>
      <w:pPr>
        <w:ind w:left="980" w:right="20" w:firstLine="649"/>
        <w:spacing w:after="0" w:line="324" w:lineRule="auto"/>
        <w:tabs>
          <w:tab w:leader="none" w:pos="20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solutions in various countries;</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complexities associated with managing multiple payer reimbursement regimes, government payers or patient self-pay systems;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2020" w:hanging="391"/>
        <w:spacing w:after="0"/>
        <w:tabs>
          <w:tab w:leader="none" w:pos="2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logistics and regulations associated with shipping tissue samples, including infrastructure conditions and transportation delays;</w:t>
      </w:r>
    </w:p>
    <w:p>
      <w:pPr>
        <w:spacing w:after="0" w:line="288" w:lineRule="exact"/>
        <w:rPr>
          <w:rFonts w:ascii="Arial" w:cs="Arial" w:eastAsia="Arial" w:hAnsi="Arial"/>
          <w:sz w:val="16"/>
          <w:szCs w:val="16"/>
          <w:color w:val="auto"/>
        </w:rPr>
      </w:pPr>
    </w:p>
    <w:p>
      <w:pPr>
        <w:ind w:left="980" w:firstLine="649"/>
        <w:spacing w:after="0" w:line="324" w:lineRule="auto"/>
        <w:tabs>
          <w:tab w:leader="none" w:pos="20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management of supplies, sample logistics, billing and promotional activities;</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65" w:lineRule="exact"/>
        <w:rPr>
          <w:rFonts w:ascii="Arial" w:cs="Arial" w:eastAsia="Arial" w:hAnsi="Arial"/>
          <w:sz w:val="18"/>
          <w:szCs w:val="18"/>
          <w:color w:val="auto"/>
        </w:rPr>
      </w:pPr>
    </w:p>
    <w:p>
      <w:pPr>
        <w:ind w:left="980" w:right="20" w:firstLine="649"/>
        <w:spacing w:after="0" w:line="324" w:lineRule="auto"/>
        <w:tabs>
          <w:tab w:leader="none" w:pos="20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70" w:lineRule="exact"/>
        <w:rPr>
          <w:rFonts w:ascii="Arial" w:cs="Arial" w:eastAsia="Arial" w:hAnsi="Arial"/>
          <w:sz w:val="18"/>
          <w:szCs w:val="18"/>
          <w:color w:val="auto"/>
        </w:rPr>
      </w:pPr>
    </w:p>
    <w:p>
      <w:pPr>
        <w:ind w:left="980" w:firstLine="649"/>
        <w:spacing w:after="0" w:line="324" w:lineRule="auto"/>
        <w:tabs>
          <w:tab w:leader="none" w:pos="20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70" w:lineRule="exact"/>
        <w:rPr>
          <w:rFonts w:ascii="Arial" w:cs="Arial" w:eastAsia="Arial" w:hAnsi="Arial"/>
          <w:sz w:val="18"/>
          <w:szCs w:val="18"/>
          <w:color w:val="auto"/>
        </w:rPr>
      </w:pPr>
    </w:p>
    <w:p>
      <w:pPr>
        <w:ind w:left="980" w:firstLine="649"/>
        <w:spacing w:after="0" w:line="357" w:lineRule="auto"/>
        <w:tabs>
          <w:tab w:leader="none" w:pos="20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If we are sued for product liability or errors and omissions liability, we could face substantial liabilities that exceed our resources.</w:t>
      </w:r>
    </w:p>
    <w:p>
      <w:pPr>
        <w:spacing w:after="0" w:line="23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Percepta and Envisia tests, as well as tests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8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b w:val="1"/>
          <w:bCs w:val="1"/>
          <w:i w:val="1"/>
          <w:iCs w:val="1"/>
          <w:color w:val="auto"/>
        </w:rPr>
        <w:t>If a catastrophe strikes either of our laboratories or if either of our laboratories becomes inoperable for any other reason, we will be unable to perform our testing services and our business will be harmed.</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perform all of the Afirma, Percepta and Envisia genomic classifier testing at our laboratory in South San Francisco, California, near major earthquake faults known for seismic activity. Our laboratory in Austin, Texas accepts and stores the majority of our Afirma FNA samples pending transfer to our California laboratory for genomic test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9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expect continued capital expenditures and operating losses over the next few years as we expand our infrastructure, commercial operations and research and development activities. We may seek to raise additional capital through equity offerings,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85" w:lineRule="exact"/>
        <w:rPr>
          <w:sz w:val="20"/>
          <w:szCs w:val="20"/>
          <w:color w:val="auto"/>
        </w:rPr>
      </w:pPr>
    </w:p>
    <w:p>
      <w:pPr>
        <w:ind w:right="80" w:firstLine="648"/>
        <w:spacing w:after="0" w:line="381"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0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ordinary course of our business, we and our third-party service providers collect and store sensitive data, including legally protected health information, personally identifiable information about our patients,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federal, state, and international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In addition, we are subject to various state laws, including the California Consumer Privacy Act, or CCPA, which was enacted in California in 2018 and components of which are scheduled to go into effect on January 1, 2020. The CCPA will, among other things, require covered companies to provide disclosures to California consumers concerning the collection and sale of personal information, and will give such consumers the right to opt-out of certain sales of personal information. Amendments to the CCPA have been made since its enactment, and it remains unclear what, if any, further amendments will be made to this legislation or how it will be interpreted. We cannot yet predict the impact of the CCPA on our business or operations, but it may require us to modify our data processing practices and policies and to incur substantial costs and expenses in an effort to comply.</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Recent developments in Europe have created compliance uncertainty regarding the processing of personal data from Europe. For example, the General Data Protection Regulation, or GDPR, which became effective in the European Union on May 25, 2018, applies to our activities conducted from an establishment in the EU or related to products and services that we offer to European Union users. The GDPR creates new compliance obligations applicable to our business, which could cause us to change our business practices, and increases financial penalties for noncompliance (including possible fines of up to 4% of global annual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turnover for the preceding financial year or €20 million (whichever is higher) for the most serious infringements). As a result, we may need to modify the way we treat such information.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products in the future.</w:t>
      </w:r>
    </w:p>
    <w:p>
      <w:pPr>
        <w:spacing w:after="0" w:line="24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22 issued patents that expire between 2029 and 2032 related to methods used in the Afirma diagnostic platform, in addition to 15 pending U.S. utility patent applications, and one U.S. provisional patent applications. Some of these U.S. utility patent applications have pending foreign counterparts. We also exclusively licensed intellectual property, including rights to five issued patents that will expire between 2030 and 2035, and three pending U.S. utility patent applications in the thyroid space that would expire between 2030 and 2033 once issued, related to methods that are used in the Afirma diagnostic test, some of which have foreign counterparts. In the lung diagnostic space, we have exclusively licensed intellectual property rights to twelve pending patent applications and eight issued patents. Patents issuing from the licensed portfolio will expire between 2024 and 2028. In addition, we own a pending Patent Cooperation Treaty, or PCT, patent application, a pending U.S. utility patent application and pending foreign counterpart patent applications in Australia, Canada, China, Europe, Japan, and South Korea related to our Percepta test. We also own one U.S. patent application and one counterpart European patent application related to another lung disease, and two pending U.S. patent applications, five patent applications abroad, and one PCT patent application related to Envisia. Any patents granted from our current lung cancer patent applications will expire no earlier than 2035 and those from the interstitial lung disease patent applications will expire no earlier than 2034.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not registered certain of our trademarks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 and may result in increased future tax liability to us.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have incurred net losses since our inception and may never achieve profitability. As of the fiscal year ended December 31, 2017, we had U.S. federal and state net operating losses, or NOLs, of approximately $196.1 million and $91.8 million, respectively. The federal and state NOL carryforwards will begin to expire, if not utilized, beginning in 2028. These NOL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carryforwards could expire unused and be unavailable to offset future income tax liabilities. Under the newly enacted federal income tax law, federal NOLs incurred in tax years beginning after December 31, 2017 may be carried forward indefinitely, but the deductibility of such federal NOLs is limited. It is uncertain if and to what extent various states will conform to the newly enacted federal tax law.</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2017, the U.S. government enacted comprehensive tax legislation that includes significant changes to the taxation of business entities. These changes include, among others, (i) a permanent reduction to the corporate income tax rate, (ii) a partial limitation on the deductibility of business interest expense, (iii) a shift of the U.S. taxation of multinational corporations from a tax on worldwide income to a territorial system (along with certain rules designed to prevent erosion of the U.S. income tax base) and (iv) a one-time tax on accumulated offshore earnings held in cash and illiquid assets, with the latter taxed at a lower rate.</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Notwithstanding the reduction in the corporate income tax rate, the overall impact of this tax reform is uncertain, and our business and financial condition could be adversely affected. In addition, it is uncertain if and to what extent various states will conform to the newly enacted federal tax law.</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review our goodwill and intangible assets for impairment when events or changes in circumstances indicate the carrying value may not be recoverable, such as declines in stock price, market capitalization, or cash flows and slower growth rates in our industry. Goodwill is required to be tested for impairment at least annually. If we are required to record a significant charge in our financial statements during the period in which any impairment of our goodwill or intangible assets is determined, that would negatively affect our operating results.</w:t>
      </w:r>
    </w:p>
    <w:p>
      <w:pPr>
        <w:spacing w:after="0" w:line="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affect our reported operating results.</w:t>
      </w:r>
    </w:p>
    <w:p>
      <w:pPr>
        <w:spacing w:after="0" w:line="1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financial statements are subject to change and if our estimates or judgments relating to our critical accounting policies prove to be incorrect, our operating results could be adversely affected.</w:t>
      </w:r>
    </w:p>
    <w:p>
      <w:pPr>
        <w:spacing w:after="0" w:line="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our financial statements and related notes. We base our estimates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Critical accounting policies and estimates used in preparing our financial statements include those related to revenue recognition, finite-lived intangible assets, goodwill, and stock-based compensation expense.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8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Our independent registered public accounting firm will be required to issue an attestation report on the effectiveness of our internal control over financial reporting when we cease being an emerging growth company on December 31, 2018.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88"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We are a smaller reporting company and an emerging growth company and may elect to comply with reduced public company reporting requirements applicable to smaller reporting companies or emerging growth companies, which could make our common stock less attractive to investors.</w:t>
      </w:r>
    </w:p>
    <w:p>
      <w:pPr>
        <w:spacing w:after="0" w:line="10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16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also an emerging growth company, as defined under the Securities Act of 1933, or the Securities Act. We will remain an emerging growth company until December 31, 2018.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However, we previously irrevocably elected not to avail ourselves of this exemption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new or revised accounting standards and, therefore, will be subject to the same new or revised accounting standards as other public companies that are not emerging growth companies. If some investors find our common stock less attractive as a result of any choices to reduce future disclosure we may make, there may be a less active trading market for our common stock and our stock price may be more volatile.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 including governmental payers;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our revenue, due in part to the way in which we recognize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if the trading volume of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 million shares of undesignated preferred stock;</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60" w:type="dxa"/>
            <w:vAlign w:val="bottom"/>
            <w:gridSpan w:val="4"/>
            <w:vMerge w:val="restart"/>
          </w:tcPr>
          <w:p>
            <w:pPr>
              <w:ind w:left="1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2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40" w:type="dxa"/>
            <w:vAlign w:val="bottom"/>
            <w:gridSpan w:val="2"/>
          </w:tcPr>
          <w:p>
            <w:pPr>
              <w:spacing w:after="0"/>
              <w:rPr>
                <w:sz w:val="17"/>
                <w:szCs w:val="17"/>
                <w:color w:val="auto"/>
              </w:rPr>
            </w:pPr>
          </w:p>
        </w:tc>
        <w:tc>
          <w:tcPr>
            <w:tcW w:w="400" w:type="dxa"/>
            <w:vAlign w:val="bottom"/>
          </w:tcPr>
          <w:p>
            <w:pPr>
              <w:jc w:val="right"/>
              <w:spacing w:after="0" w:line="202" w:lineRule="exact"/>
              <w:rPr>
                <w:rFonts w:ascii="Arial" w:cs="Arial" w:eastAsia="Arial" w:hAnsi="Arial"/>
                <w:sz w:val="18"/>
                <w:szCs w:val="18"/>
                <w:color w:val="0000FF"/>
                <w:w w:val="90"/>
              </w:rPr>
            </w:pPr>
            <w:hyperlink w:anchor="page55">
              <w:r>
                <w:rPr>
                  <w:rFonts w:ascii="Arial" w:cs="Arial" w:eastAsia="Arial" w:hAnsi="Arial"/>
                  <w:sz w:val="18"/>
                  <w:szCs w:val="18"/>
                  <w:color w:val="0000FF"/>
                  <w:w w:val="90"/>
                </w:rPr>
                <w:t>31.</w:t>
              </w:r>
              <w:r>
                <w:rPr>
                  <w:rFonts w:ascii="Arial" w:cs="Arial" w:eastAsia="Arial" w:hAnsi="Arial"/>
                  <w:sz w:val="18"/>
                  <w:szCs w:val="18"/>
                  <w:u w:val="single" w:color="auto"/>
                  <w:color w:val="0000FF"/>
                  <w:w w:val="90"/>
                </w:rPr>
                <w:t>1*</w:t>
              </w:r>
            </w:hyperlink>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80" w:type="dxa"/>
            <w:vAlign w:val="bottom"/>
            <w:gridSpan w:val="6"/>
          </w:tcPr>
          <w:p>
            <w:pPr>
              <w:spacing w:after="0" w:line="202" w:lineRule="exact"/>
              <w:rPr>
                <w:rFonts w:ascii="Arial" w:cs="Arial" w:eastAsia="Arial" w:hAnsi="Arial"/>
                <w:sz w:val="18"/>
                <w:szCs w:val="18"/>
                <w:color w:val="0000FF"/>
                <w:w w:val="92"/>
              </w:rPr>
            </w:pPr>
            <w:hyperlink w:anchor="page55">
              <w:r>
                <w:rPr>
                  <w:rFonts w:ascii="Arial" w:cs="Arial" w:eastAsia="Arial" w:hAnsi="Arial"/>
                  <w:sz w:val="18"/>
                  <w:szCs w:val="18"/>
                  <w:color w:val="0000FF"/>
                  <w:w w:val="92"/>
                </w:rPr>
                <w:t>Certification of Principal Executive Officer pursuant to Rules 13a-14(a) and 15d-14(a), as adopted pursuant to Section 302 of</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55">
              <w:r>
                <w:rPr>
                  <w:rFonts w:ascii="Arial" w:cs="Arial" w:eastAsia="Arial" w:hAnsi="Arial"/>
                  <w:sz w:val="18"/>
                  <w:szCs w:val="18"/>
                  <w:color w:val="0000FF"/>
                  <w:w w:val="90"/>
                </w:rPr>
                <w:t>the Sarbanes-Oxley Act of 2002</w:t>
              </w:r>
            </w:hyperlink>
          </w:p>
        </w:tc>
        <w:tc>
          <w:tcPr>
            <w:tcW w:w="6700" w:type="dxa"/>
            <w:vAlign w:val="bottom"/>
            <w:tcBorders>
              <w:top w:val="single" w:sz="8" w:color="0000FF"/>
            </w:tcBorders>
            <w:gridSpan w:val="3"/>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gridSpan w:val="2"/>
          </w:tcPr>
          <w:p>
            <w:pPr>
              <w:spacing w:after="0"/>
              <w:rPr>
                <w:sz w:val="21"/>
                <w:szCs w:val="21"/>
                <w:color w:val="auto"/>
              </w:rPr>
            </w:pPr>
          </w:p>
        </w:tc>
        <w:tc>
          <w:tcPr>
            <w:tcW w:w="400" w:type="dxa"/>
            <w:vAlign w:val="bottom"/>
            <w:tcBorders>
              <w:bottom w:val="single" w:sz="8" w:color="0000FF"/>
            </w:tcBorders>
          </w:tcPr>
          <w:p>
            <w:pPr>
              <w:jc w:val="right"/>
              <w:spacing w:after="0"/>
              <w:rPr>
                <w:rFonts w:ascii="Arial" w:cs="Arial" w:eastAsia="Arial" w:hAnsi="Arial"/>
                <w:sz w:val="18"/>
                <w:szCs w:val="18"/>
                <w:color w:val="0000FF"/>
                <w:w w:val="90"/>
              </w:rPr>
            </w:pPr>
            <w:hyperlink w:anchor="page56">
              <w:r>
                <w:rPr>
                  <w:rFonts w:ascii="Arial" w:cs="Arial" w:eastAsia="Arial" w:hAnsi="Arial"/>
                  <w:sz w:val="18"/>
                  <w:szCs w:val="18"/>
                  <w:color w:val="0000FF"/>
                  <w:w w:val="90"/>
                </w:rPr>
                <w:t>31.</w:t>
              </w:r>
              <w:r>
                <w:rPr>
                  <w:rFonts w:ascii="Arial" w:cs="Arial" w:eastAsia="Arial" w:hAnsi="Arial"/>
                  <w:sz w:val="18"/>
                  <w:szCs w:val="18"/>
                  <w:u w:val="single" w:color="auto"/>
                  <w:color w:val="0000FF"/>
                  <w:w w:val="90"/>
                </w:rPr>
                <w:t>2*</w:t>
              </w:r>
            </w:hyperlink>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8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Certification of Principal Financial Officer pursuant to Rule 13a-14(a)/15d-14(a), as adopted pursuant to Section 302 of the</w:t>
              </w:r>
            </w:hyperlink>
          </w:p>
        </w:tc>
        <w:tc>
          <w:tcPr>
            <w:tcW w:w="3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180" w:type="dxa"/>
            <w:vAlign w:val="bottom"/>
            <w:gridSpan w:val="6"/>
          </w:tcPr>
          <w:p>
            <w:pPr>
              <w:spacing w:after="0" w:line="196" w:lineRule="exact"/>
              <w:rPr>
                <w:rFonts w:ascii="Arial" w:cs="Arial" w:eastAsia="Arial" w:hAnsi="Arial"/>
                <w:sz w:val="18"/>
                <w:szCs w:val="18"/>
                <w:color w:val="0000FF"/>
              </w:rPr>
            </w:pPr>
            <w:hyperlink w:anchor="page56">
              <w:r>
                <w:rPr>
                  <w:rFonts w:ascii="Arial" w:cs="Arial" w:eastAsia="Arial" w:hAnsi="Arial"/>
                  <w:sz w:val="18"/>
                  <w:szCs w:val="18"/>
                  <w:color w:val="0000FF"/>
                </w:rPr>
                <w:t>Sarbanes-Oxley Act of 2002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3"/>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180" w:type="dxa"/>
            <w:vAlign w:val="bottom"/>
            <w:gridSpan w:val="6"/>
          </w:tcPr>
          <w:p>
            <w:pPr>
              <w:spacing w:after="0"/>
              <w:rPr>
                <w:rFonts w:ascii="Arial" w:cs="Arial" w:eastAsia="Arial" w:hAnsi="Arial"/>
                <w:sz w:val="18"/>
                <w:szCs w:val="18"/>
                <w:color w:val="0000FF"/>
                <w:w w:val="95"/>
              </w:rPr>
            </w:pPr>
            <w:hyperlink w:anchor="page57">
              <w:r>
                <w:rPr>
                  <w:rFonts w:ascii="Arial" w:cs="Arial" w:eastAsia="Arial" w:hAnsi="Arial"/>
                  <w:sz w:val="18"/>
                  <w:szCs w:val="18"/>
                  <w:color w:val="0000FF"/>
                  <w:w w:val="95"/>
                </w:rPr>
                <w:t>Certification of Principal Executive Officer pursuant to 18 U.S.C. § 1350 (Section 906 of the Sarbanes-Oxley Act of 2002)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3"/>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180" w:type="dxa"/>
            <w:vAlign w:val="bottom"/>
            <w:gridSpan w:val="6"/>
          </w:tcPr>
          <w:p>
            <w:pPr>
              <w:spacing w:after="0"/>
              <w:rPr>
                <w:rFonts w:ascii="Arial" w:cs="Arial" w:eastAsia="Arial" w:hAnsi="Arial"/>
                <w:sz w:val="18"/>
                <w:szCs w:val="18"/>
                <w:color w:val="0000FF"/>
                <w:w w:val="95"/>
              </w:rPr>
            </w:pPr>
            <w:hyperlink w:anchor="page58">
              <w:r>
                <w:rPr>
                  <w:rFonts w:ascii="Arial" w:cs="Arial" w:eastAsia="Arial" w:hAnsi="Arial"/>
                  <w:sz w:val="18"/>
                  <w:szCs w:val="18"/>
                  <w:color w:val="0000FF"/>
                  <w:w w:val="95"/>
                </w:rPr>
                <w:t>Certification of Principal Financial Officer pursuant to 18 U.S.C. § 1350 (Section 906 of the Sarbanes-Oxley Act of 2002)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0" w:type="dxa"/>
            <w:vAlign w:val="bottom"/>
            <w:gridSpan w:val="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18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180" w:type="dxa"/>
            <w:vAlign w:val="bottom"/>
            <w:gridSpan w:val="6"/>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70"/>
        </w:trPr>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18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70"/>
        </w:trPr>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1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70"/>
        </w:trPr>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18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70"/>
        </w:trPr>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18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r>
        <w:trPr>
          <w:trHeight w:val="351"/>
        </w:trPr>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180" w:type="dxa"/>
            <w:vAlign w:val="bottom"/>
            <w:gridSpan w:val="6"/>
            <w:vMerge w:val="restart"/>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7"/>
        </w:trPr>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18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840" w:right="500" w:hanging="1400"/>
        <w:spacing w:after="0" w:line="279" w:lineRule="auto"/>
        <w:tabs>
          <w:tab w:leader="none" w:pos="18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accordance with Item 601(b)(32)(ii) of Regulation S-K and SEC Release No. 34-47986, the certifications furnished in Exhibits 32.1 and 32.2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240" w:top="122" w:right="6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29,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VERACYTE, INC.</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Keith Kennedy</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Bonnie H. Anderson, certify that:</w:t>
      </w:r>
    </w:p>
    <w:p>
      <w:pPr>
        <w:spacing w:after="0" w:line="225" w:lineRule="exact"/>
        <w:rPr>
          <w:sz w:val="20"/>
          <w:szCs w:val="20"/>
          <w:color w:val="auto"/>
        </w:rPr>
      </w:pPr>
    </w:p>
    <w:p>
      <w:pPr>
        <w:ind w:left="1340" w:hanging="684"/>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September 30, 2018;</w:t>
      </w:r>
    </w:p>
    <w:p>
      <w:pPr>
        <w:spacing w:after="0" w:line="265" w:lineRule="exact"/>
        <w:rPr>
          <w:rFonts w:ascii="Arial" w:cs="Arial" w:eastAsia="Arial" w:hAnsi="Arial"/>
          <w:sz w:val="18"/>
          <w:szCs w:val="18"/>
          <w:color w:val="auto"/>
        </w:rPr>
      </w:pPr>
    </w:p>
    <w:p>
      <w:pPr>
        <w:ind w:left="1340" w:hanging="684"/>
        <w:spacing w:after="0"/>
        <w:tabs>
          <w:tab w:leader="none" w:pos="1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70" w:lineRule="exact"/>
        <w:rPr>
          <w:sz w:val="20"/>
          <w:szCs w:val="20"/>
          <w:color w:val="auto"/>
        </w:rPr>
      </w:pPr>
    </w:p>
    <w:p>
      <w:pPr>
        <w:ind w:right="460" w:firstLine="656"/>
        <w:spacing w:after="0" w:line="357" w:lineRule="auto"/>
        <w:tabs>
          <w:tab w:leader="none" w:pos="13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1340" w:hanging="684"/>
        <w:spacing w:after="0"/>
        <w:tabs>
          <w:tab w:leader="none" w:pos="1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980" w:hanging="675"/>
        <w:spacing w:after="0"/>
        <w:tabs>
          <w:tab w:leader="none" w:pos="1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73"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980" w:hanging="675"/>
        <w:spacing w:after="0"/>
        <w:tabs>
          <w:tab w:leader="none" w:pos="1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w:t>
      </w:r>
    </w:p>
    <w:p>
      <w:pPr>
        <w:spacing w:after="0" w:line="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320" w:firstLine="645"/>
        <w:spacing w:after="0" w:line="395" w:lineRule="auto"/>
        <w:tabs>
          <w:tab w:leader="none" w:pos="1993" w:val="left"/>
        </w:tabs>
        <w:numPr>
          <w:ilvl w:val="0"/>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980" w:hanging="675"/>
        <w:spacing w:after="0"/>
        <w:tabs>
          <w:tab w:leader="none" w:pos="1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w:t>
      </w:r>
    </w:p>
    <w:p>
      <w:pPr>
        <w:spacing w:after="0" w:line="7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520" w:firstLine="656"/>
        <w:spacing w:after="0" w:line="395" w:lineRule="auto"/>
        <w:tabs>
          <w:tab w:leader="none" w:pos="132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660" w:right="220" w:firstLine="645"/>
        <w:spacing w:after="0" w:line="357" w:lineRule="auto"/>
        <w:tabs>
          <w:tab w:leader="none" w:pos="1979"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60" w:right="240" w:firstLine="645"/>
        <w:spacing w:after="0" w:line="324" w:lineRule="auto"/>
        <w:tabs>
          <w:tab w:leader="none" w:pos="1989"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October 29, 2018</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Bonnie H. Anderson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Kennedy, certify that:</w:t>
      </w:r>
    </w:p>
    <w:p>
      <w:pPr>
        <w:spacing w:after="0" w:line="225" w:lineRule="exact"/>
        <w:rPr>
          <w:sz w:val="20"/>
          <w:szCs w:val="20"/>
          <w:color w:val="auto"/>
        </w:rPr>
      </w:pPr>
    </w:p>
    <w:p>
      <w:pPr>
        <w:ind w:left="1340" w:hanging="684"/>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Veracyte, Inc. for the quarter ended September 30, 2018;</w:t>
      </w:r>
    </w:p>
    <w:p>
      <w:pPr>
        <w:spacing w:after="0" w:line="265" w:lineRule="exact"/>
        <w:rPr>
          <w:rFonts w:ascii="Arial" w:cs="Arial" w:eastAsia="Arial" w:hAnsi="Arial"/>
          <w:sz w:val="18"/>
          <w:szCs w:val="18"/>
          <w:color w:val="auto"/>
        </w:rPr>
      </w:pPr>
    </w:p>
    <w:p>
      <w:pPr>
        <w:ind w:left="1340" w:hanging="684"/>
        <w:spacing w:after="0"/>
        <w:tabs>
          <w:tab w:leader="none" w:pos="1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70" w:lineRule="exact"/>
        <w:rPr>
          <w:sz w:val="20"/>
          <w:szCs w:val="20"/>
          <w:color w:val="auto"/>
        </w:rPr>
      </w:pPr>
    </w:p>
    <w:p>
      <w:pPr>
        <w:ind w:right="460" w:firstLine="656"/>
        <w:spacing w:after="0" w:line="357" w:lineRule="auto"/>
        <w:tabs>
          <w:tab w:leader="none" w:pos="1328"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1340" w:hanging="684"/>
        <w:spacing w:after="0"/>
        <w:tabs>
          <w:tab w:leader="none" w:pos="1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980" w:hanging="675"/>
        <w:spacing w:after="0"/>
        <w:tabs>
          <w:tab w:leader="none" w:pos="1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73"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980" w:hanging="675"/>
        <w:spacing w:after="0"/>
        <w:tabs>
          <w:tab w:leader="none" w:pos="1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w:t>
      </w:r>
    </w:p>
    <w:p>
      <w:pPr>
        <w:spacing w:after="0" w:line="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320" w:firstLine="645"/>
        <w:spacing w:after="0" w:line="395" w:lineRule="auto"/>
        <w:tabs>
          <w:tab w:leader="none" w:pos="1993" w:val="left"/>
        </w:tabs>
        <w:numPr>
          <w:ilvl w:val="0"/>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980" w:hanging="675"/>
        <w:spacing w:after="0"/>
        <w:tabs>
          <w:tab w:leader="none" w:pos="1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w:t>
      </w:r>
    </w:p>
    <w:p>
      <w:pPr>
        <w:spacing w:after="0" w:line="7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520" w:firstLine="656"/>
        <w:spacing w:after="0" w:line="395" w:lineRule="auto"/>
        <w:tabs>
          <w:tab w:leader="none" w:pos="132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660" w:right="220" w:firstLine="645"/>
        <w:spacing w:after="0" w:line="357" w:lineRule="auto"/>
        <w:tabs>
          <w:tab w:leader="none" w:pos="1979"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60" w:right="240" w:firstLine="645"/>
        <w:spacing w:after="0" w:line="324" w:lineRule="auto"/>
        <w:tabs>
          <w:tab w:leader="none" w:pos="1989"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October 29, 2018</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Keith Kennedy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connection with the quarterly report of Veracyte, Inc. (the “Company”) on Form 10-Q for the quarter ended September 30, 2018,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1" w:lineRule="exact"/>
        <w:rPr>
          <w:sz w:val="20"/>
          <w:szCs w:val="20"/>
          <w:color w:val="auto"/>
        </w:rPr>
      </w:pPr>
    </w:p>
    <w:p>
      <w:pPr>
        <w:ind w:left="2000" w:hanging="695"/>
        <w:spacing w:after="0"/>
        <w:tabs>
          <w:tab w:leader="none" w:pos="2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2000" w:hanging="695"/>
        <w:spacing w:after="0"/>
        <w:tabs>
          <w:tab w:leader="none" w:pos="2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October 29, 2018</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Bonnie H. Anderson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connection with the quarterly report of Veracyte, Inc. (the “Company”) on Form 10-Q for the quarter ended September 30, 2018,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1" w:lineRule="exact"/>
        <w:rPr>
          <w:sz w:val="20"/>
          <w:szCs w:val="20"/>
          <w:color w:val="auto"/>
        </w:rPr>
      </w:pPr>
    </w:p>
    <w:p>
      <w:pPr>
        <w:ind w:left="2000" w:hanging="695"/>
        <w:spacing w:after="0"/>
        <w:tabs>
          <w:tab w:leader="none" w:pos="2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65" w:lineRule="exact"/>
        <w:rPr>
          <w:rFonts w:ascii="Arial" w:cs="Arial" w:eastAsia="Arial" w:hAnsi="Arial"/>
          <w:sz w:val="18"/>
          <w:szCs w:val="18"/>
          <w:color w:val="auto"/>
        </w:rPr>
      </w:pPr>
    </w:p>
    <w:p>
      <w:pPr>
        <w:ind w:left="2000" w:hanging="695"/>
        <w:spacing w:after="0"/>
        <w:tabs>
          <w:tab w:leader="none" w:pos="2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October 29, 2018</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Keith Kennedy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3"/>
    </w:lvl>
  </w:abstractNum>
  <w:abstractNum w:abstractNumId="23">
    <w:nsid w:val="3A95F874"/>
    <w:multiLevelType w:val="hybridMultilevel"/>
    <w:lvl w:ilvl="0">
      <w:lvlJc w:val="left"/>
      <w:lvlText w:val="%1)"/>
      <w:numFmt w:val="lowerLetter"/>
      <w:start w:val="1"/>
    </w:lvl>
  </w:abstractNum>
  <w:abstractNum w:abstractNumId="24">
    <w:nsid w:val="8138641"/>
    <w:multiLevelType w:val="hybridMultilevel"/>
    <w:lvl w:ilvl="0">
      <w:lvlJc w:val="left"/>
      <w:lvlText w:val="%1)"/>
      <w:numFmt w:val="lowerLetter"/>
      <w:start w:val="2"/>
    </w:lvl>
  </w:abstractNum>
  <w:abstractNum w:abstractNumId="25">
    <w:nsid w:val="1E7FF521"/>
    <w:multiLevelType w:val="hybridMultilevel"/>
    <w:lvl w:ilvl="0">
      <w:lvlJc w:val="left"/>
      <w:lvlText w:val="%1)"/>
      <w:numFmt w:val="lowerLetter"/>
      <w:start w:val="3"/>
    </w:lvl>
  </w:abstractNum>
  <w:abstractNum w:abstractNumId="26">
    <w:nsid w:val="7C3DBD3D"/>
    <w:multiLevelType w:val="hybridMultilevel"/>
    <w:lvl w:ilvl="0">
      <w:lvlJc w:val="left"/>
      <w:lvlText w:val="%1."/>
      <w:numFmt w:val="decimal"/>
      <w:start w:val="5"/>
    </w:lvl>
    <w:lvl w:ilvl="1">
      <w:lvlJc w:val="left"/>
      <w:lvlText w:val="%2)"/>
      <w:numFmt w:val="lowerLetter"/>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3"/>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2"/>
    </w:lvl>
  </w:abstractNum>
  <w:abstractNum w:abstractNumId="31">
    <w:nsid w:val="3006C83E"/>
    <w:multiLevelType w:val="hybridMultilevel"/>
    <w:lvl w:ilvl="0">
      <w:lvlJc w:val="left"/>
      <w:lvlText w:val="%1)"/>
      <w:numFmt w:val="lowerLetter"/>
      <w:start w:val="3"/>
    </w:lvl>
  </w:abstractNum>
  <w:abstractNum w:abstractNumId="32">
    <w:nsid w:val="614FD4A1"/>
    <w:multiLevelType w:val="hybridMultilevel"/>
    <w:lvl w:ilvl="0">
      <w:lvlJc w:val="left"/>
      <w:lvlText w:val="%1."/>
      <w:numFmt w:val="decimal"/>
      <w:start w:val="5"/>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2019-12-28T19:07:45Z</dcterms:created>
  <dcterms:modified xsi:type="dcterms:W3CDTF">2019-12-28T19:07:45Z</dcterms:modified>
</cp:coreProperties>
</file>