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78740</wp:posOffset>
            </wp:positionV>
            <wp:extent cx="22205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165735</wp:posOffset>
            </wp:positionV>
            <wp:extent cx="2220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6" w:lineRule="exact"/>
        <w:rPr>
          <w:sz w:val="24"/>
          <w:szCs w:val="24"/>
          <w:color w:val="auto"/>
        </w:rPr>
      </w:pPr>
    </w:p>
    <w:p>
      <w:pPr>
        <w:ind w:left="380" w:hanging="33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80" w:hanging="336"/>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2" w:lineRule="exact"/>
        <w:rPr>
          <w:sz w:val="24"/>
          <w:szCs w:val="24"/>
          <w:color w:val="auto"/>
        </w:rPr>
      </w:pPr>
    </w:p>
    <w:tbl>
      <w:tblPr>
        <w:tblLayout w:type="fixed"/>
        <w:tblInd w:w="3880" w:type="dxa"/>
        <w:tblCellMar>
          <w:top w:w="0" w:type="dxa"/>
          <w:left w:w="0" w:type="dxa"/>
          <w:bottom w:w="0" w:type="dxa"/>
          <w:right w:w="0" w:type="dxa"/>
        </w:tblCellMar>
      </w:tblPr>
      <w:tr>
        <w:trPr>
          <w:trHeight w:val="23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25"/>
        </w:trPr>
        <w:tc>
          <w:tcPr>
            <w:tcW w:w="35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Commission File Number 001-36156</w:t>
            </w:r>
          </w:p>
        </w:tc>
      </w:tr>
      <w:tr>
        <w:trPr>
          <w:trHeight w:val="106"/>
        </w:trPr>
        <w:tc>
          <w:tcPr>
            <w:tcW w:w="26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bl>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365"/>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28"/>
                <w:szCs w:val="28"/>
                <w:b w:val="1"/>
                <w:bCs w:val="1"/>
                <w:color w:val="auto"/>
              </w:rPr>
              <w:t>VERACYTE, INC.</w:t>
            </w: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891"/>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r>
      <w:tr>
        <w:trPr>
          <w:trHeight w:val="265"/>
        </w:trPr>
        <w:tc>
          <w:tcPr>
            <w:tcW w:w="2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2620" w:type="dxa"/>
            <w:vAlign w:val="bottom"/>
          </w:tcPr>
          <w:p>
            <w:pPr>
              <w:spacing w:after="0"/>
              <w:rPr>
                <w:sz w:val="23"/>
                <w:szCs w:val="23"/>
                <w:color w:val="auto"/>
              </w:rPr>
            </w:pPr>
          </w:p>
        </w:tc>
      </w:tr>
      <w:tr>
        <w:trPr>
          <w:trHeight w:val="334"/>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640" w:type="dxa"/>
            <w:vAlign w:val="bottom"/>
            <w:gridSpan w:val="3"/>
          </w:tcPr>
          <w:p>
            <w:pPr>
              <w:jc w:val="center"/>
              <w:ind w:left="5231"/>
              <w:spacing w:after="0"/>
              <w:rPr>
                <w:sz w:val="20"/>
                <w:szCs w:val="20"/>
                <w:color w:val="auto"/>
              </w:rPr>
            </w:pPr>
            <w:r>
              <w:rPr>
                <w:rFonts w:ascii="Times New Roman" w:cs="Times New Roman" w:eastAsia="Times New Roman" w:hAnsi="Times New Roman"/>
                <w:sz w:val="18"/>
                <w:szCs w:val="18"/>
                <w:b w:val="1"/>
                <w:bCs w:val="1"/>
                <w:color w:val="auto"/>
                <w:w w:val="96"/>
              </w:rPr>
              <w:t>20-5455398</w:t>
            </w:r>
          </w:p>
        </w:tc>
      </w:tr>
      <w:tr>
        <w:trPr>
          <w:trHeight w:val="226"/>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5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32"/>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5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84"/>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6000 Shoreline Court, Suite 300</w:t>
            </w:r>
          </w:p>
        </w:tc>
      </w:tr>
      <w:tr>
        <w:trPr>
          <w:trHeight w:val="215"/>
        </w:trPr>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South San Francisco, California 94080</w:t>
            </w:r>
          </w:p>
        </w:tc>
      </w:tr>
      <w:tr>
        <w:trPr>
          <w:trHeight w:val="232"/>
        </w:trPr>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120" w:type="dxa"/>
            <w:vAlign w:val="bottom"/>
            <w:gridSpan w:val="2"/>
          </w:tcPr>
          <w:p>
            <w:pPr>
              <w:jc w:val="center"/>
              <w:ind w:right="2411"/>
              <w:spacing w:after="0"/>
              <w:rPr>
                <w:sz w:val="20"/>
                <w:szCs w:val="20"/>
                <w:color w:val="auto"/>
              </w:rPr>
            </w:pPr>
            <w:r>
              <w:rPr>
                <w:rFonts w:ascii="Times New Roman" w:cs="Times New Roman" w:eastAsia="Times New Roman" w:hAnsi="Times New Roman"/>
                <w:sz w:val="18"/>
                <w:szCs w:val="18"/>
                <w:color w:val="auto"/>
                <w:w w:val="98"/>
              </w:rPr>
              <w:t>(Address of principal executive offices, zip code)</w:t>
            </w:r>
          </w:p>
        </w:tc>
      </w:tr>
      <w:tr>
        <w:trPr>
          <w:trHeight w:val="406"/>
        </w:trPr>
        <w:tc>
          <w:tcPr>
            <w:tcW w:w="2560" w:type="dxa"/>
            <w:vAlign w:val="bottom"/>
          </w:tcPr>
          <w:p>
            <w:pPr>
              <w:spacing w:after="0"/>
              <w:rPr>
                <w:sz w:val="24"/>
                <w:szCs w:val="24"/>
                <w:color w:val="auto"/>
              </w:rPr>
            </w:pPr>
          </w:p>
        </w:tc>
        <w:tc>
          <w:tcPr>
            <w:tcW w:w="402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rPr>
              <w:t>(650) 243-6300</w:t>
            </w:r>
          </w:p>
        </w:tc>
        <w:tc>
          <w:tcPr>
            <w:tcW w:w="2620" w:type="dxa"/>
            <w:vAlign w:val="bottom"/>
          </w:tcPr>
          <w:p>
            <w:pPr>
              <w:spacing w:after="0"/>
              <w:rPr>
                <w:sz w:val="24"/>
                <w:szCs w:val="24"/>
                <w:color w:val="auto"/>
              </w:rPr>
            </w:pP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91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176530</wp:posOffset>
            </wp:positionV>
            <wp:extent cx="2220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520" w:type="dxa"/>
            <w:vAlign w:val="bottom"/>
          </w:tcPr>
          <w:p>
            <w:pPr>
              <w:spacing w:after="0"/>
              <w:rPr>
                <w:sz w:val="20"/>
                <w:szCs w:val="20"/>
                <w:color w:val="auto"/>
              </w:rPr>
            </w:pPr>
          </w:p>
        </w:tc>
        <w:tc>
          <w:tcPr>
            <w:tcW w:w="42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c>
          <w:tcPr>
            <w:tcW w:w="3500" w:type="dxa"/>
            <w:vAlign w:val="bottom"/>
          </w:tcPr>
          <w:p>
            <w:pPr>
              <w:spacing w:after="0"/>
              <w:rPr>
                <w:sz w:val="20"/>
                <w:szCs w:val="20"/>
                <w:color w:val="auto"/>
              </w:rPr>
            </w:pPr>
          </w:p>
        </w:tc>
      </w:tr>
      <w:tr>
        <w:trPr>
          <w:trHeight w:val="544"/>
        </w:trPr>
        <w:tc>
          <w:tcPr>
            <w:tcW w:w="352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5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25"/>
        </w:trPr>
        <w:tc>
          <w:tcPr>
            <w:tcW w:w="3520" w:type="dxa"/>
            <w:vAlign w:val="bottom"/>
            <w:tcBorders>
              <w:top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8"/>
              </w:rPr>
              <w:t>Common Stock, par value, $0.001 per share</w:t>
            </w: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VCYT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282" w:lineRule="exact"/>
        <w:rPr>
          <w:sz w:val="24"/>
          <w:szCs w:val="24"/>
          <w:color w:val="auto"/>
        </w:rPr>
      </w:pPr>
    </w:p>
    <w:p>
      <w:pPr>
        <w:ind w:right="20" w:firstLine="439"/>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ind w:right="80" w:firstLine="439"/>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654685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226"/>
        </w:trPr>
        <w:tc>
          <w:tcPr>
            <w:tcW w:w="224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266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340" w:type="dxa"/>
            <w:vAlign w:val="bottom"/>
          </w:tcPr>
          <w:p>
            <w:pPr>
              <w:jc w:val="center"/>
              <w:ind w:left="1231"/>
              <w:spacing w:after="0"/>
              <w:rPr>
                <w:sz w:val="20"/>
                <w:szCs w:val="20"/>
                <w:color w:val="auto"/>
              </w:rPr>
            </w:pPr>
            <w:r>
              <w:rPr>
                <w:rFonts w:ascii="Times New Roman" w:cs="Times New Roman" w:eastAsia="Times New Roman" w:hAnsi="Times New Roman"/>
                <w:sz w:val="18"/>
                <w:szCs w:val="18"/>
                <w:color w:val="auto"/>
                <w:w w:val="97"/>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26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2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7" w:lineRule="exact"/>
        <w:rPr>
          <w:sz w:val="20"/>
          <w:szCs w:val="20"/>
          <w:color w:val="auto"/>
        </w:rPr>
      </w:pPr>
    </w:p>
    <w:p>
      <w:pPr>
        <w:ind w:right="280" w:firstLine="35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360" w:right="228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October 30, 2026, there were 80,695,480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855345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4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7"/>
        </w:trPr>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00" w:type="dxa"/>
            <w:vAlign w:val="bottom"/>
            <w:gridSpan w:val="8"/>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VERACYTE, INC.</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20" w:type="dxa"/>
            <w:vAlign w:val="bottom"/>
            <w:gridSpan w:val="7"/>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20" w:type="dxa"/>
            <w:vAlign w:val="bottom"/>
            <w:gridSpan w:val="3"/>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3240" w:type="dxa"/>
            <w:vAlign w:val="bottom"/>
            <w:tcBorders>
              <w:bottom w:val="single" w:sz="8" w:color="0000FF"/>
            </w:tcBorders>
            <w:gridSpan w:val="13"/>
          </w:tcPr>
          <w:p>
            <w:pPr>
              <w:spacing w:after="0" w:line="171" w:lineRule="exact"/>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6120" w:type="dxa"/>
            <w:vAlign w:val="bottom"/>
            <w:gridSpan w:val="10"/>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Item 1. Condensed Consolidated Financial Statements (Unaudited)</w:t>
            </w:r>
          </w:p>
        </w:tc>
        <w:tc>
          <w:tcPr>
            <w:tcW w:w="4500" w:type="dxa"/>
            <w:vAlign w:val="bottom"/>
            <w:gridSpan w:val="8"/>
          </w:tcPr>
          <w:p>
            <w:pPr>
              <w:spacing w:after="0"/>
              <w:rPr>
                <w:sz w:val="17"/>
                <w:szCs w:val="17"/>
                <w:color w:val="auto"/>
              </w:rPr>
            </w:pPr>
          </w:p>
        </w:tc>
        <w:tc>
          <w:tcPr>
            <w:tcW w:w="17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 as of September 30, 2026 and December 31, 2025</w:t>
            </w:r>
          </w:p>
        </w:tc>
        <w:tc>
          <w:tcPr>
            <w:tcW w:w="2560" w:type="dxa"/>
            <w:vAlign w:val="bottom"/>
            <w:gridSpan w:val="6"/>
          </w:tcPr>
          <w:p>
            <w:pPr>
              <w:spacing w:after="0"/>
              <w:rPr>
                <w:sz w:val="19"/>
                <w:szCs w:val="19"/>
                <w:color w:val="auto"/>
              </w:rPr>
            </w:pPr>
          </w:p>
        </w:tc>
        <w:tc>
          <w:tcPr>
            <w:tcW w:w="172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40" w:type="dxa"/>
            <w:vAlign w:val="bottom"/>
            <w:gridSpan w:val="21"/>
          </w:tcPr>
          <w:p>
            <w:pPr>
              <w:spacing w:after="0" w:line="18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 Periods Ended</w:t>
            </w:r>
          </w:p>
        </w:tc>
        <w:tc>
          <w:tcPr>
            <w:tcW w:w="1720" w:type="dxa"/>
            <w:vAlign w:val="bottom"/>
            <w:gridSpan w:val="2"/>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tcBorders>
              <w:top w:val="single" w:sz="8" w:color="0000FF"/>
              <w:bottom w:val="single" w:sz="8" w:color="0000FF"/>
            </w:tcBorders>
            <w:gridSpan w:val="8"/>
          </w:tcPr>
          <w:p>
            <w:pPr>
              <w:spacing w:after="0" w:line="140" w:lineRule="exact"/>
              <w:rPr>
                <w:sz w:val="20"/>
                <w:szCs w:val="20"/>
                <w:color w:val="auto"/>
              </w:rPr>
            </w:pPr>
            <w:r>
              <w:rPr>
                <w:rFonts w:ascii="Times New Roman" w:cs="Times New Roman" w:eastAsia="Times New Roman" w:hAnsi="Times New Roman"/>
                <w:sz w:val="16"/>
                <w:szCs w:val="16"/>
                <w:color w:val="0000FF"/>
              </w:rPr>
              <w:t>September 30, 2026 and 2025</w:t>
            </w:r>
          </w:p>
        </w:tc>
        <w:tc>
          <w:tcPr>
            <w:tcW w:w="4720" w:type="dxa"/>
            <w:vAlign w:val="bottom"/>
            <w:tcBorders>
              <w:top w:val="single" w:sz="8" w:color="0000FF"/>
            </w:tcBorders>
            <w:gridSpan w:val="9"/>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0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40" w:type="dxa"/>
            <w:vAlign w:val="bottom"/>
            <w:gridSpan w:val="21"/>
          </w:tcPr>
          <w:p>
            <w:pPr>
              <w:spacing w:after="0" w:line="200"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 Periods</w:t>
            </w:r>
          </w:p>
        </w:tc>
        <w:tc>
          <w:tcPr>
            <w:tcW w:w="1720" w:type="dxa"/>
            <w:vAlign w:val="bottom"/>
            <w:gridSpan w:val="2"/>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tcBorders>
              <w:top w:val="single" w:sz="8" w:color="0000FF"/>
              <w:bottom w:val="single" w:sz="8" w:color="0000FF"/>
            </w:tcBorders>
            <w:gridSpan w:val="9"/>
          </w:tcPr>
          <w:p>
            <w:pPr>
              <w:spacing w:after="0" w:line="140" w:lineRule="exact"/>
              <w:rPr>
                <w:sz w:val="20"/>
                <w:szCs w:val="20"/>
                <w:color w:val="auto"/>
              </w:rPr>
            </w:pPr>
            <w:r>
              <w:rPr>
                <w:rFonts w:ascii="Times New Roman" w:cs="Times New Roman" w:eastAsia="Times New Roman" w:hAnsi="Times New Roman"/>
                <w:sz w:val="16"/>
                <w:szCs w:val="16"/>
                <w:color w:val="0000FF"/>
              </w:rPr>
              <w:t>Ended September 30, 2026 and 2025</w:t>
            </w:r>
          </w:p>
        </w:tc>
        <w:tc>
          <w:tcPr>
            <w:tcW w:w="4640" w:type="dxa"/>
            <w:vAlign w:val="bottom"/>
            <w:tcBorders>
              <w:top w:val="single" w:sz="8" w:color="0000FF"/>
            </w:tcBorders>
            <w:gridSpan w:val="10"/>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0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40" w:type="dxa"/>
            <w:vAlign w:val="bottom"/>
            <w:gridSpan w:val="21"/>
          </w:tcPr>
          <w:p>
            <w:pPr>
              <w:spacing w:after="0" w:line="200"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 Periods Ended</w:t>
            </w:r>
          </w:p>
        </w:tc>
        <w:tc>
          <w:tcPr>
            <w:tcW w:w="1720" w:type="dxa"/>
            <w:vAlign w:val="bottom"/>
            <w:gridSpan w:val="2"/>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tcBorders>
              <w:top w:val="single" w:sz="8" w:color="0000FF"/>
              <w:bottom w:val="single" w:sz="8" w:color="0000FF"/>
            </w:tcBorders>
            <w:gridSpan w:val="8"/>
          </w:tcPr>
          <w:p>
            <w:pPr>
              <w:spacing w:after="0" w:line="140" w:lineRule="exact"/>
              <w:rPr>
                <w:sz w:val="20"/>
                <w:szCs w:val="20"/>
                <w:color w:val="auto"/>
              </w:rPr>
            </w:pPr>
            <w:r>
              <w:rPr>
                <w:rFonts w:ascii="Times New Roman" w:cs="Times New Roman" w:eastAsia="Times New Roman" w:hAnsi="Times New Roman"/>
                <w:sz w:val="16"/>
                <w:szCs w:val="16"/>
                <w:color w:val="0000FF"/>
              </w:rPr>
              <w:t>September 30, 2026 and 2025</w:t>
            </w:r>
          </w:p>
        </w:tc>
        <w:tc>
          <w:tcPr>
            <w:tcW w:w="5420" w:type="dxa"/>
            <w:vAlign w:val="bottom"/>
            <w:tcBorders>
              <w:top w:val="single" w:sz="8" w:color="0000FF"/>
            </w:tcBorders>
            <w:gridSpan w:val="12"/>
          </w:tcPr>
          <w:p>
            <w:pPr>
              <w:spacing w:after="0"/>
              <w:rPr>
                <w:sz w:val="15"/>
                <w:szCs w:val="15"/>
                <w:color w:val="auto"/>
              </w:rPr>
            </w:pPr>
          </w:p>
        </w:tc>
        <w:tc>
          <w:tcPr>
            <w:tcW w:w="15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0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40" w:type="dxa"/>
            <w:vAlign w:val="bottom"/>
            <w:gridSpan w:val="21"/>
          </w:tcPr>
          <w:p>
            <w:pPr>
              <w:spacing w:after="0" w:line="200"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 Periods Ended September 30,</w:t>
            </w:r>
          </w:p>
        </w:tc>
        <w:tc>
          <w:tcPr>
            <w:tcW w:w="1720" w:type="dxa"/>
            <w:vAlign w:val="bottom"/>
            <w:gridSpan w:val="2"/>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5"/>
          </w:tcPr>
          <w:p>
            <w:pPr>
              <w:spacing w:after="0" w:line="140" w:lineRule="exact"/>
              <w:rPr>
                <w:sz w:val="20"/>
                <w:szCs w:val="20"/>
                <w:color w:val="auto"/>
              </w:rPr>
            </w:pPr>
            <w:r>
              <w:rPr>
                <w:rFonts w:ascii="Times New Roman" w:cs="Times New Roman" w:eastAsia="Times New Roman" w:hAnsi="Times New Roman"/>
                <w:sz w:val="16"/>
                <w:szCs w:val="16"/>
                <w:color w:val="0000FF"/>
              </w:rPr>
              <w:t>2026 and 2025</w:t>
            </w:r>
          </w:p>
        </w:tc>
        <w:tc>
          <w:tcPr>
            <w:tcW w:w="5860" w:type="dxa"/>
            <w:vAlign w:val="bottom"/>
            <w:tcBorders>
              <w:top w:val="single" w:sz="8" w:color="0000FF"/>
            </w:tcBorders>
            <w:gridSpan w:val="13"/>
          </w:tcPr>
          <w:p>
            <w:pPr>
              <w:spacing w:after="0"/>
              <w:rPr>
                <w:sz w:val="13"/>
                <w:szCs w:val="13"/>
                <w:color w:val="auto"/>
              </w:rPr>
            </w:pPr>
          </w:p>
        </w:tc>
        <w:tc>
          <w:tcPr>
            <w:tcW w:w="1820" w:type="dxa"/>
            <w:vAlign w:val="bottom"/>
            <w:gridSpan w:val="3"/>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2080" w:type="dxa"/>
            <w:vAlign w:val="bottom"/>
            <w:tcBorders>
              <w:left w:val="single" w:sz="8" w:color="0000FF"/>
            </w:tcBorders>
            <w:gridSpan w:val="2"/>
            <w:shd w:val="clear" w:color="auto" w:fill="0000FF"/>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7"/>
              </w:rPr>
              <w:t>Item 3. Quantitative and Qualitative Disclosures About Market Risk</w:t>
            </w:r>
          </w:p>
        </w:tc>
        <w:tc>
          <w:tcPr>
            <w:tcW w:w="2080" w:type="dxa"/>
            <w:vAlign w:val="bottom"/>
            <w:gridSpan w:val="2"/>
          </w:tcPr>
          <w:p>
            <w:pPr>
              <w:spacing w:after="0"/>
              <w:rPr>
                <w:sz w:val="17"/>
                <w:szCs w:val="17"/>
                <w:color w:val="auto"/>
              </w:rPr>
            </w:pPr>
          </w:p>
        </w:tc>
        <w:tc>
          <w:tcPr>
            <w:tcW w:w="2340" w:type="dxa"/>
            <w:vAlign w:val="bottom"/>
            <w:gridSpan w:val="5"/>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4420" w:type="dxa"/>
            <w:vAlign w:val="bottom"/>
            <w:tcBorders>
              <w:left w:val="single" w:sz="8" w:color="0000FF"/>
            </w:tcBorders>
            <w:gridSpan w:val="7"/>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6"/>
              </w:rPr>
              <w:t>Item 4. Controls and Procedures</w:t>
            </w:r>
          </w:p>
        </w:tc>
        <w:tc>
          <w:tcPr>
            <w:tcW w:w="2540" w:type="dxa"/>
            <w:vAlign w:val="bottom"/>
            <w:gridSpan w:val="7"/>
          </w:tcPr>
          <w:p>
            <w:pPr>
              <w:spacing w:after="0"/>
              <w:rPr>
                <w:sz w:val="17"/>
                <w:szCs w:val="17"/>
                <w:color w:val="auto"/>
              </w:rPr>
            </w:pPr>
          </w:p>
        </w:tc>
        <w:tc>
          <w:tcPr>
            <w:tcW w:w="4420" w:type="dxa"/>
            <w:vAlign w:val="bottom"/>
            <w:gridSpan w:val="7"/>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6"/>
              </w:rPr>
              <w:t>PART II. — OTHER INFORMATION</w:t>
            </w:r>
          </w:p>
        </w:tc>
        <w:tc>
          <w:tcPr>
            <w:tcW w:w="6420" w:type="dxa"/>
            <w:vAlign w:val="bottom"/>
            <w:gridSpan w:val="12"/>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5"/>
              </w:rPr>
              <w:t>Item 1. Legal Proceedings</w:t>
            </w:r>
          </w:p>
        </w:tc>
        <w:tc>
          <w:tcPr>
            <w:tcW w:w="7400" w:type="dxa"/>
            <w:vAlign w:val="bottom"/>
            <w:gridSpan w:val="15"/>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400" w:type="dxa"/>
            <w:vAlign w:val="bottom"/>
            <w:gridSpan w:val="15"/>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Item 3. Defaults Upon Senior Securities</w:t>
            </w:r>
          </w:p>
        </w:tc>
        <w:tc>
          <w:tcPr>
            <w:tcW w:w="1980" w:type="dxa"/>
            <w:vAlign w:val="bottom"/>
            <w:gridSpan w:val="4"/>
          </w:tcPr>
          <w:p>
            <w:pPr>
              <w:spacing w:after="0"/>
              <w:rPr>
                <w:sz w:val="17"/>
                <w:szCs w:val="17"/>
                <w:color w:val="auto"/>
              </w:rPr>
            </w:pPr>
          </w:p>
        </w:tc>
        <w:tc>
          <w:tcPr>
            <w:tcW w:w="4420" w:type="dxa"/>
            <w:vAlign w:val="bottom"/>
            <w:gridSpan w:val="7"/>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6400" w:type="dxa"/>
            <w:vAlign w:val="bottom"/>
            <w:gridSpan w:val="11"/>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960" w:type="dxa"/>
            <w:vAlign w:val="bottom"/>
            <w:gridSpan w:val="1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Item 5. Other Information</w:t>
            </w:r>
          </w:p>
        </w:tc>
        <w:tc>
          <w:tcPr>
            <w:tcW w:w="440" w:type="dxa"/>
            <w:vAlign w:val="bottom"/>
          </w:tcPr>
          <w:p>
            <w:pPr>
              <w:spacing w:after="0"/>
              <w:rPr>
                <w:sz w:val="17"/>
                <w:szCs w:val="17"/>
                <w:color w:val="auto"/>
              </w:rPr>
            </w:pPr>
          </w:p>
        </w:tc>
        <w:tc>
          <w:tcPr>
            <w:tcW w:w="6960" w:type="dxa"/>
            <w:vAlign w:val="bottom"/>
            <w:gridSpan w:val="14"/>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400" w:type="dxa"/>
            <w:vAlign w:val="bottom"/>
            <w:gridSpan w:val="1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Item 6. Exhibits</w:t>
            </w:r>
          </w:p>
        </w:tc>
        <w:tc>
          <w:tcPr>
            <w:tcW w:w="700" w:type="dxa"/>
            <w:vAlign w:val="bottom"/>
            <w:gridSpan w:val="3"/>
          </w:tcPr>
          <w:p>
            <w:pPr>
              <w:spacing w:after="0"/>
              <w:rPr>
                <w:sz w:val="17"/>
                <w:szCs w:val="17"/>
                <w:color w:val="auto"/>
              </w:rPr>
            </w:pPr>
          </w:p>
        </w:tc>
        <w:tc>
          <w:tcPr>
            <w:tcW w:w="7400" w:type="dxa"/>
            <w:vAlign w:val="bottom"/>
            <w:gridSpan w:val="15"/>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100" w:type="dxa"/>
            <w:vAlign w:val="bottom"/>
            <w:gridSpan w:val="18"/>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9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7"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This Quarterly Report on Form 10-Q, or this report, contains forward-looking statements within the meaning of the Private Securities Litigation Reform Act of 1995. All statements contained in this report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18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“estimate,” “continue,” “ongoing,” “anticipate,” “intend,” “could,” “would,” “project,” “plan,” “expect” or the negative of these terms or similar expressions that convey uncertainty of future events or outcomes, although not all forward-looking statements contain these words. These are statements that relate to future events and include, but are not limited to, statements about:</w:t>
      </w:r>
    </w:p>
    <w:p>
      <w:pPr>
        <w:spacing w:after="0" w:line="194" w:lineRule="exact"/>
        <w:rPr>
          <w:sz w:val="20"/>
          <w:szCs w:val="20"/>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that may impact our financial results;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total revenue and total test volume;</w:t>
      </w:r>
    </w:p>
    <w:p>
      <w:pPr>
        <w:spacing w:after="0" w:line="32"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future research and development, general and administrative and selling and marketing expenses and the anticipated uses of our funds;</w:t>
      </w:r>
    </w:p>
    <w:p>
      <w:pPr>
        <w:spacing w:after="0" w:line="3" w:lineRule="exact"/>
        <w:rPr>
          <w:rFonts w:ascii="Times New Roman" w:cs="Times New Roman" w:eastAsia="Times New Roman" w:hAnsi="Times New Roman"/>
          <w:sz w:val="18"/>
          <w:szCs w:val="18"/>
          <w:color w:val="auto"/>
        </w:rPr>
      </w:pPr>
    </w:p>
    <w:p>
      <w:pPr>
        <w:jc w:val="both"/>
        <w:ind w:left="640" w:hanging="315"/>
        <w:spacing w:after="0" w:line="25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macroeconomic conditions, including inflation, volatile interest rates and foreign exchange fluctuations; geopolitical developments, including regional and global conflicts, such as the ongoing conflict in the Middle East and the war in Ukraine; and government actions, including evolving policies and legislation, tariffs, energy, trade and supply chain disruptions, and market volatility resulting from the above on our business;</w:t>
      </w:r>
    </w:p>
    <w:p>
      <w:pPr>
        <w:spacing w:after="0" w:line="5" w:lineRule="exact"/>
        <w:rPr>
          <w:rFonts w:ascii="Times New Roman" w:cs="Times New Roman" w:eastAsia="Times New Roman" w:hAnsi="Times New Roman"/>
          <w:sz w:val="17"/>
          <w:szCs w:val="17"/>
          <w:color w:val="auto"/>
        </w:rPr>
      </w:pPr>
    </w:p>
    <w:p>
      <w:pPr>
        <w:ind w:left="640" w:hanging="315"/>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ongoing development of the TrueMRD platform and the addition of minimal residual detection capabilities to our diagnostics platform;</w:t>
      </w:r>
    </w:p>
    <w:p>
      <w:pPr>
        <w:spacing w:after="0" w:line="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integration of acquisitions, including Convergent Genomics, Inc., and the ability to achieve anticipated milestones;</w:t>
      </w:r>
    </w:p>
    <w:p>
      <w:pPr>
        <w:spacing w:after="0" w:line="32"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success of our transition to offering more of our tests as in vitro diagnostic, or IVD, tests on multiple platforms worldwide;</w:t>
      </w:r>
    </w:p>
    <w:p>
      <w:pPr>
        <w:spacing w:after="0" w:line="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receive quality reagents and other raw materials from certain single-source suppliers;</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launch tests, and enter into supply agreements, with manufacturers of alternative systems;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partnerships and agreements;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timing, outcome or success of clinical trials or studies;</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capital expenditures, our anticipated cash needs and our estimates regarding our capital requirements and profitability;</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our ability to execute on our strategy;</w:t>
      </w:r>
    </w:p>
    <w:p>
      <w:pPr>
        <w:spacing w:after="0" w:line="45" w:lineRule="exact"/>
        <w:rPr>
          <w:rFonts w:ascii="Times New Roman" w:cs="Times New Roman" w:eastAsia="Times New Roman" w:hAnsi="Times New Roman"/>
          <w:sz w:val="18"/>
          <w:szCs w:val="18"/>
          <w:color w:val="auto"/>
        </w:rPr>
      </w:pPr>
    </w:p>
    <w:p>
      <w:pPr>
        <w:ind w:left="640" w:hanging="315"/>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Medicare, other government payer, and other commercial third-party payer reimbursement at acceptable levels and our expectations regarding the timing of reimbursement and changes or implementation of government regulations or reimbursement policies;</w:t>
      </w:r>
    </w:p>
    <w:p>
      <w:pPr>
        <w:spacing w:after="0" w:line="17" w:lineRule="exact"/>
        <w:rPr>
          <w:rFonts w:ascii="Times New Roman" w:cs="Times New Roman" w:eastAsia="Times New Roman" w:hAnsi="Times New Roman"/>
          <w:sz w:val="18"/>
          <w:szCs w:val="18"/>
          <w:color w:val="auto"/>
        </w:rPr>
      </w:pPr>
    </w:p>
    <w:p>
      <w:pPr>
        <w:ind w:left="640" w:hanging="315"/>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estimated number of patients eligible for our tests and the attributes and potential benefits of our tests and any future tests we may develop to patients, physicians, and payers;</w:t>
      </w: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drive demand for and reimbursement of our tests;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policies, guidance agency interpretations and judicial decisions; and</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in our competitive position.</w:t>
      </w:r>
    </w:p>
    <w:p>
      <w:pPr>
        <w:spacing w:after="0" w:line="298"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report. 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report and are subject to a number of risks, uncertainties and assumptions described in the section titled “Risk Factors” in Part I, Item 1A of our Annual Report on Form 10-K for the year ended December 31, 2025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Statements-(Unaudited)</w:t>
      </w: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49"/>
        </w:trPr>
        <w:tc>
          <w:tcPr>
            <w:tcW w:w="73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362,578</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44,660</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Supplies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20,546</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10,281</w:t>
            </w:r>
          </w:p>
        </w:tc>
        <w:tc>
          <w:tcPr>
            <w:tcW w:w="0" w:type="dxa"/>
            <w:vAlign w:val="bottom"/>
          </w:tcPr>
          <w:p>
            <w:pPr>
              <w:spacing w:after="0"/>
              <w:rPr>
                <w:sz w:val="1"/>
                <w:szCs w:val="1"/>
                <w:color w:val="auto"/>
              </w:rPr>
            </w:pPr>
          </w:p>
        </w:tc>
      </w:tr>
      <w:tr>
        <w:trPr>
          <w:trHeight w:val="204"/>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467,878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488,376</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22,192</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operating leases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36,599</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89,148</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855,575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767,154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0" w:type="dxa"/>
            <w:vAlign w:val="bottom"/>
          </w:tcPr>
          <w:p>
            <w:pPr>
              <w:spacing w:after="0"/>
              <w:rPr>
                <w:sz w:val="1"/>
                <w:szCs w:val="1"/>
                <w:color w:val="auto"/>
              </w:rPr>
            </w:pPr>
          </w:p>
        </w:tc>
      </w:tr>
      <w:tr>
        <w:trPr>
          <w:trHeight w:val="233"/>
        </w:trPr>
        <w:tc>
          <w:tcPr>
            <w:tcW w:w="7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1,573,256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1,406,019</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3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9,710</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48,801</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acquisition-related contingent consideration</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0" w:type="dxa"/>
            <w:vAlign w:val="bottom"/>
          </w:tcPr>
          <w:p>
            <w:pPr>
              <w:spacing w:after="0"/>
              <w:rPr>
                <w:sz w:val="1"/>
                <w:szCs w:val="1"/>
                <w:color w:val="auto"/>
              </w:rPr>
            </w:pPr>
          </w:p>
        </w:tc>
      </w:tr>
      <w:tr>
        <w:trPr>
          <w:trHeight w:val="208"/>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59,937</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 net of current portion</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35,603</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139,992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96,443</w:t>
            </w:r>
          </w:p>
        </w:tc>
        <w:tc>
          <w:tcPr>
            <w:tcW w:w="0" w:type="dxa"/>
            <w:vAlign w:val="bottom"/>
          </w:tcPr>
          <w:p>
            <w:pPr>
              <w:spacing w:after="0"/>
              <w:rPr>
                <w:sz w:val="1"/>
                <w:szCs w:val="1"/>
                <w:color w:val="auto"/>
              </w:rPr>
            </w:pPr>
          </w:p>
        </w:tc>
      </w:tr>
      <w:tr>
        <w:trPr>
          <w:trHeight w:val="19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Preferred stock, $0.001 par value; 5,000,000 shares authorized, no shares issued and outstanding as of</w:t>
            </w:r>
          </w:p>
        </w:tc>
        <w:tc>
          <w:tcPr>
            <w:tcW w:w="180" w:type="dxa"/>
            <w:vAlign w:val="bottom"/>
            <w:shd w:val="clear" w:color="auto" w:fill="CCEEFF"/>
          </w:tcPr>
          <w:p>
            <w:pPr>
              <w:spacing w:after="0"/>
              <w:rPr>
                <w:sz w:val="14"/>
                <w:szCs w:val="14"/>
                <w:color w:val="auto"/>
              </w:rPr>
            </w:pPr>
          </w:p>
        </w:tc>
        <w:tc>
          <w:tcPr>
            <w:tcW w:w="1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September 30, 2026 and December 31, 2025</w:t>
            </w:r>
          </w:p>
        </w:tc>
        <w:tc>
          <w:tcPr>
            <w:tcW w:w="180" w:type="dxa"/>
            <w:vAlign w:val="bottom"/>
            <w:shd w:val="clear" w:color="auto" w:fill="CCEEFF"/>
          </w:tcPr>
          <w:p>
            <w:pPr>
              <w:spacing w:after="0"/>
              <w:rPr>
                <w:sz w:val="18"/>
                <w:szCs w:val="18"/>
                <w:color w:val="auto"/>
              </w:rPr>
            </w:pPr>
          </w:p>
        </w:tc>
        <w:tc>
          <w:tcPr>
            <w:tcW w:w="17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38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color w:val="auto"/>
              </w:rPr>
              <w:t>Common stock, $0.001 par value; 125,000,000 shares authorized, 80,655,975 and 79,359,005 shares issued and</w:t>
            </w:r>
          </w:p>
        </w:tc>
        <w:tc>
          <w:tcPr>
            <w:tcW w:w="18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September 30, 2026 and December 31, 2025, respectively</w:t>
            </w:r>
          </w:p>
        </w:tc>
        <w:tc>
          <w:tcPr>
            <w:tcW w:w="1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1,733,174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1,695,339</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(377,630)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(8,212)</w:t>
            </w:r>
          </w:p>
        </w:tc>
        <w:tc>
          <w:tcPr>
            <w:tcW w:w="0" w:type="dxa"/>
            <w:vAlign w:val="bottom"/>
          </w:tcPr>
          <w:p>
            <w:pPr>
              <w:spacing w:after="0"/>
              <w:rPr>
                <w:sz w:val="1"/>
                <w:szCs w:val="1"/>
                <w:color w:val="auto"/>
              </w:rPr>
            </w:pPr>
          </w:p>
        </w:tc>
      </w:tr>
      <w:tr>
        <w:trPr>
          <w:trHeight w:val="204"/>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1,433,264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1,309,576</w:t>
            </w:r>
          </w:p>
        </w:tc>
        <w:tc>
          <w:tcPr>
            <w:tcW w:w="0" w:type="dxa"/>
            <w:vAlign w:val="bottom"/>
          </w:tcPr>
          <w:p>
            <w:pPr>
              <w:spacing w:after="0"/>
              <w:rPr>
                <w:sz w:val="1"/>
                <w:szCs w:val="1"/>
                <w:color w:val="auto"/>
              </w:rPr>
            </w:pPr>
          </w:p>
        </w:tc>
      </w:tr>
      <w:tr>
        <w:trPr>
          <w:trHeight w:val="23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1,573,256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1,406,019</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6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4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146,419</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127,756</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427,171</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357,328</w:t>
            </w: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10,479</w:t>
            </w:r>
          </w:p>
        </w:tc>
      </w:tr>
      <w:tr>
        <w:trPr>
          <w:trHeight w:val="210"/>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8,702</w:t>
            </w:r>
          </w:p>
        </w:tc>
      </w:tr>
      <w:tr>
        <w:trPr>
          <w:trHeight w:val="208"/>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151,754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441,146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376,509</w:t>
            </w:r>
          </w:p>
        </w:tc>
      </w:tr>
      <w:tr>
        <w:trPr>
          <w:trHeight w:val="19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94,444</w:t>
            </w: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6,186</w:t>
            </w: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7,361</w:t>
            </w:r>
          </w:p>
        </w:tc>
      </w:tr>
      <w:tr>
        <w:trPr>
          <w:trHeight w:val="210"/>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7,959</w:t>
            </w:r>
          </w:p>
        </w:tc>
      </w:tr>
      <w:tr>
        <w:trPr>
          <w:trHeight w:val="208"/>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revenue</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124,334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115,950</w:t>
            </w:r>
          </w:p>
        </w:tc>
      </w:tr>
      <w:tr>
        <w:trPr>
          <w:trHeight w:val="204"/>
        </w:trPr>
        <w:tc>
          <w:tcPr>
            <w:tcW w:w="4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107,104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91,282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316,812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260,559</w:t>
            </w:r>
          </w:p>
        </w:tc>
      </w:tr>
      <w:tr>
        <w:trPr>
          <w:trHeight w:val="19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49,965</w:t>
            </w: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74,225</w:t>
            </w: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93,417</w:t>
            </w: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assets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20,505</w:t>
            </w:r>
          </w:p>
        </w:tc>
      </w:tr>
      <w:tr>
        <w:trPr>
          <w:trHeight w:val="210"/>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1,865</w:t>
            </w:r>
          </w:p>
        </w:tc>
      </w:tr>
      <w:tr>
        <w:trPr>
          <w:trHeight w:val="208"/>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68,336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254,617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239,977</w:t>
            </w:r>
          </w:p>
        </w:tc>
      </w:tr>
      <w:tr>
        <w:trPr>
          <w:trHeight w:val="20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62,195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20,582</w:t>
            </w:r>
          </w:p>
        </w:tc>
      </w:tr>
      <w:tr>
        <w:trPr>
          <w:trHeight w:val="21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(loss), net</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w:t>
            </w:r>
          </w:p>
        </w:tc>
      </w:tr>
      <w:tr>
        <w:trPr>
          <w:trHeight w:val="204"/>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27,567</w:t>
            </w:r>
          </w:p>
        </w:tc>
      </w:tr>
      <w:tr>
        <w:trPr>
          <w:trHeight w:val="21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r>
      <w:tr>
        <w:trPr>
          <w:trHeight w:val="208"/>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85,700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25,204</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9"/>
        </w:trPr>
        <w:tc>
          <w:tcPr>
            <w:tcW w:w="44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Earnings per share:</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0"/>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used to compute earnings per common share:</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80,500,406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78,725,139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80,006,663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78,384,184</w:t>
            </w:r>
          </w:p>
        </w:tc>
      </w:tr>
      <w:tr>
        <w:trPr>
          <w:trHeight w:val="208"/>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82,783,915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79,691,703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82,204,307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79,946,386</w:t>
            </w:r>
          </w:p>
        </w:tc>
      </w:tr>
    </w:tbl>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342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4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5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25,204</w:t>
            </w:r>
          </w:p>
        </w:tc>
      </w:tr>
      <w:tr>
        <w:trPr>
          <w:trHeight w:val="210"/>
        </w:trPr>
        <w:tc>
          <w:tcPr>
            <w:tcW w:w="4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currency translation adjustments</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19,575</w:t>
            </w:r>
          </w:p>
        </w:tc>
      </w:tr>
      <w:tr>
        <w:trPr>
          <w:trHeight w:val="210"/>
        </w:trPr>
        <w:tc>
          <w:tcPr>
            <w:tcW w:w="45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Release of accumulated translation adjustment</w:t>
            </w:r>
          </w:p>
        </w:tc>
        <w:tc>
          <w:tcPr>
            <w:tcW w:w="10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8,295</w:t>
            </w:r>
          </w:p>
        </w:tc>
      </w:tr>
      <w:tr>
        <w:trPr>
          <w:trHeight w:val="208"/>
        </w:trPr>
        <w:tc>
          <w:tcPr>
            <w:tcW w:w="45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27,870</w:t>
            </w:r>
          </w:p>
        </w:tc>
      </w:tr>
      <w:tr>
        <w:trPr>
          <w:trHeight w:val="20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02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31,381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85,851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53,074</w:t>
            </w:r>
          </w:p>
        </w:tc>
      </w:tr>
      <w:tr>
        <w:trPr>
          <w:trHeight w:val="20"/>
        </w:trPr>
        <w:tc>
          <w:tcPr>
            <w:tcW w:w="4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0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2026</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80,364</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1,719,695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(323,433)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1,388,403</w:t>
            </w:r>
          </w:p>
        </w:tc>
        <w:tc>
          <w:tcPr>
            <w:tcW w:w="0" w:type="dxa"/>
            <w:vAlign w:val="bottom"/>
          </w:tcPr>
          <w:p>
            <w:pPr>
              <w:spacing w:after="0"/>
              <w:rPr>
                <w:sz w:val="1"/>
                <w:szCs w:val="1"/>
                <w:color w:val="auto"/>
              </w:rPr>
            </w:pPr>
          </w:p>
        </w:tc>
      </w:tr>
      <w:tr>
        <w:trPr>
          <w:trHeight w:val="160"/>
        </w:trPr>
        <w:tc>
          <w:tcPr>
            <w:tcW w:w="32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on exercise of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plan (ESPP)</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13,478</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31,503</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33"/>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2026</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1,733,174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1,433,264</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79,359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1,695,339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(377,630)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1,309,576</w:t>
            </w:r>
          </w:p>
        </w:tc>
        <w:tc>
          <w:tcPr>
            <w:tcW w:w="0" w:type="dxa"/>
            <w:vAlign w:val="bottom"/>
          </w:tcPr>
          <w:p>
            <w:pPr>
              <w:spacing w:after="0"/>
              <w:rPr>
                <w:sz w:val="1"/>
                <w:szCs w:val="1"/>
                <w:color w:val="auto"/>
              </w:rPr>
            </w:pPr>
          </w:p>
        </w:tc>
      </w:tr>
      <w:tr>
        <w:trPr>
          <w:trHeight w:val="160"/>
        </w:trPr>
        <w:tc>
          <w:tcPr>
            <w:tcW w:w="32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10,672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10,674</w:t>
            </w: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plan (ESPP)</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(17,462)</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39,550</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85,700</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33"/>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2026</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1,733,174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1,433,264</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20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28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2025</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78,599</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1,670,853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1,221,057</w:t>
            </w:r>
          </w:p>
        </w:tc>
        <w:tc>
          <w:tcPr>
            <w:tcW w:w="0" w:type="dxa"/>
            <w:vAlign w:val="bottom"/>
          </w:tcPr>
          <w:p>
            <w:pPr>
              <w:spacing w:after="0"/>
              <w:rPr>
                <w:sz w:val="1"/>
                <w:szCs w:val="1"/>
                <w:color w:val="auto"/>
              </w:rPr>
            </w:pPr>
          </w:p>
        </w:tc>
      </w:tr>
      <w:tr>
        <w:trPr>
          <w:trHeight w:val="160"/>
        </w:trPr>
        <w:tc>
          <w:tcPr>
            <w:tcW w:w="32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on exercise of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4,386</w:t>
            </w:r>
          </w:p>
        </w:tc>
        <w:tc>
          <w:tcPr>
            <w:tcW w:w="0" w:type="dxa"/>
            <w:vAlign w:val="bottom"/>
          </w:tcPr>
          <w:p>
            <w:pPr>
              <w:spacing w:after="0"/>
              <w:rPr>
                <w:sz w:val="1"/>
                <w:szCs w:val="1"/>
                <w:color w:val="auto"/>
              </w:rPr>
            </w:pPr>
          </w:p>
        </w:tc>
      </w:tr>
      <w:tr>
        <w:trPr>
          <w:trHeight w:val="210"/>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10,398</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Release of accumulated translation adjustment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8,295</w:t>
            </w: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79,034</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1,684,587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(418,779)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1,257,667</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77,773</w:t>
            </w:r>
          </w:p>
        </w:tc>
        <w:tc>
          <w:tcPr>
            <w:tcW w:w="100" w:type="dxa"/>
            <w:vAlign w:val="bottom"/>
          </w:tcPr>
          <w:p>
            <w:pPr>
              <w:spacing w:after="0"/>
              <w:rPr>
                <w:sz w:val="18"/>
                <w:szCs w:val="18"/>
                <w:color w:val="auto"/>
              </w:rPr>
            </w:pP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1,655,961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(443,983)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1,175,966</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(14,645)</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31,866</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25,204</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19,575</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Release of accumulated translation adjustment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8,295</w:t>
            </w:r>
          </w:p>
        </w:tc>
        <w:tc>
          <w:tcPr>
            <w:tcW w:w="0" w:type="dxa"/>
            <w:vAlign w:val="bottom"/>
          </w:tcPr>
          <w:p>
            <w:pPr>
              <w:spacing w:after="0"/>
              <w:rPr>
                <w:sz w:val="1"/>
                <w:szCs w:val="1"/>
                <w:color w:val="auto"/>
              </w:rPr>
            </w:pPr>
          </w:p>
        </w:tc>
      </w:tr>
      <w:tr>
        <w:trPr>
          <w:trHeight w:val="233"/>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1,684,587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1,257,667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20" w:type="dxa"/>
            <w:vAlign w:val="bottom"/>
            <w:gridSpan w:val="4"/>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6"/>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85,700</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25,204</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16,117</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32,700</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lease expense</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Revaluation of acquisition-related contingent consideration</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 of foreign currency on operations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(3,845)</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of discount on short-term investments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Impairment loss</w:t>
            </w:r>
          </w:p>
        </w:tc>
        <w:tc>
          <w:tcPr>
            <w:tcW w:w="200" w:type="dxa"/>
            <w:vAlign w:val="bottom"/>
          </w:tcPr>
          <w:p>
            <w:pPr>
              <w:spacing w:after="0"/>
              <w:rPr>
                <w:sz w:val="16"/>
                <w:szCs w:val="16"/>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20,505</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Non-cash loss on deconsolidation of subsidiary</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w:t>
            </w:r>
          </w:p>
        </w:tc>
      </w:tr>
      <w:tr>
        <w:trPr>
          <w:trHeight w:val="192"/>
        </w:trPr>
        <w:tc>
          <w:tcPr>
            <w:tcW w:w="120" w:type="dxa"/>
            <w:vAlign w:val="bottom"/>
          </w:tcPr>
          <w:p>
            <w:pPr>
              <w:spacing w:after="0"/>
              <w:rPr>
                <w:sz w:val="16"/>
                <w:szCs w:val="16"/>
                <w:color w:val="auto"/>
              </w:rPr>
            </w:pPr>
          </w:p>
        </w:tc>
        <w:tc>
          <w:tcPr>
            <w:tcW w:w="7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Supplies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liabilities and deferred revenue</w:t>
            </w: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7,034</w:t>
            </w: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121,299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83,724</w:t>
            </w:r>
          </w:p>
        </w:tc>
      </w:tr>
      <w:tr>
        <w:trPr>
          <w:trHeight w:val="186"/>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acquisitions, net of cash acquired</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(99,998)</w:t>
            </w: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maturity of short-term investments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102,116</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loan receivable</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(5,897)</w:t>
            </w: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(280,980)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w:t>
            </w:r>
          </w:p>
        </w:tc>
      </w:tr>
      <w:tr>
        <w:trPr>
          <w:trHeight w:val="173"/>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6"/>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taxes on vested restricted stock units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(14,645)</w:t>
            </w: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common stock options and employee stock purchases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10,572</w:t>
            </w: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w:t>
            </w:r>
          </w:p>
        </w:tc>
      </w:tr>
      <w:tr>
        <w:trPr>
          <w:trHeight w:val="185"/>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(Decrease) increase in cash, cash equivalents and restricted cash</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75,872</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foreign currency on cash, cash equivalents and restricted cash</w:t>
            </w: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r>
      <w:tr>
        <w:trPr>
          <w:trHeight w:val="185"/>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76,579</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364,226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240,631</w:t>
            </w:r>
          </w:p>
        </w:tc>
      </w:tr>
      <w:tr>
        <w:trPr>
          <w:trHeight w:val="199"/>
        </w:trPr>
        <w:tc>
          <w:tcPr>
            <w:tcW w:w="120" w:type="dxa"/>
            <w:vAlign w:val="bottom"/>
          </w:tcPr>
          <w:p>
            <w:pPr>
              <w:spacing w:after="0"/>
              <w:rPr>
                <w:sz w:val="17"/>
                <w:szCs w:val="17"/>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201,474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317,210</w:t>
            </w:r>
          </w:p>
        </w:tc>
      </w:tr>
      <w:tr>
        <w:trPr>
          <w:trHeight w:val="20"/>
        </w:trPr>
        <w:tc>
          <w:tcPr>
            <w:tcW w:w="120" w:type="dxa"/>
            <w:vAlign w:val="bottom"/>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6"/>
        </w:trPr>
        <w:tc>
          <w:tcPr>
            <w:tcW w:w="120" w:type="dxa"/>
            <w:vAlign w:val="bottom"/>
          </w:tcPr>
          <w:p>
            <w:pPr>
              <w:spacing w:after="0"/>
              <w:rPr>
                <w:sz w:val="14"/>
                <w:szCs w:val="14"/>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cash flow information:</w:t>
            </w: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 included in accounts payable and accrued liability</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tax</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w:t>
            </w:r>
          </w:p>
        </w:tc>
      </w:tr>
      <w:tr>
        <w:trPr>
          <w:trHeight w:val="184"/>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purchase consideration recognized in connection with business acquisition</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10"/>
        </w:trPr>
        <w:tc>
          <w:tcPr>
            <w:tcW w:w="7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3"/>
        </w:trPr>
        <w:tc>
          <w:tcPr>
            <w:tcW w:w="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8"/>
                <w:szCs w:val="18"/>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12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3"/>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199,828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362,578</w:t>
            </w: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w:t>
            </w:r>
          </w:p>
        </w:tc>
      </w:tr>
      <w:tr>
        <w:trPr>
          <w:trHeight w:val="224"/>
        </w:trPr>
        <w:tc>
          <w:tcPr>
            <w:tcW w:w="1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201,474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364,226</w:t>
            </w: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Description of Business and Summary of Significant Accounting Policies</w:t>
      </w:r>
    </w:p>
    <w:p>
      <w:pPr>
        <w:spacing w:after="0" w:line="22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Veracyte, Inc., or Veracyte, or the Company, is a global diagnostics company that provides clinicians with tests for patients with, or potentially facing, a cancer diagnosis. Veracyte's tests are used by clinicians for diagnostic, prognostic, predictive and treatment decisions, as well as the detection of disease recurrence.</w:t>
      </w:r>
    </w:p>
    <w:p>
      <w:pPr>
        <w:spacing w:after="0" w:line="20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Company’s headquarters are in South San Francisco, California, and it has operations in San Diego, California, Morgan Hill, California, Austin, Texas, and Haifa, Israel.</w:t>
      </w:r>
    </w:p>
    <w:p>
      <w:pPr>
        <w:spacing w:after="0" w:line="19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 currently offers tests in prostate cancer (Decipher Prostate); thyroid cancer (Afirma); breast cancer (Prosigna); and bladder cancer (Decipher Bladder and TrueMRD for muscle-invasive bladder cancer, or MIBC).</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serves global markets with two complementary models. In the United States, it offers laboratory developed tests, or LDTs, through its centralized, CLIA certified laboratories in South San Francisco and San Diego, California, supported by its cytopathology expertise in Austin, Texas. Additionally, outside of the United States, the Company provides its Prosigna test to patients through distribution to laboratories and hospitals that can perform the tests locally as an in vitro diagnostic, or IVD, test.</w:t>
      </w:r>
    </w:p>
    <w:p>
      <w:pPr>
        <w:spacing w:after="0" w:line="207"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In September 2026, the Company acquired Convergent Genomics, Inc., a diagnostics company focused on urine-based genomic testing. Refer to Note 4, Business Combination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September 30, 2026, the condensed consolidated statements of operations for the three and nine months ended September 30, 2026 and 2025, the condensed consolidated statements of comprehensive income for the three and nine months ended September 30, 2026 and 2025, the condensed consolidated statements of stockholders' equity for the three and nine months ended September 30, 2026 and 2025, and the condensed consolidated statements of cash flows for the nine months ended September 30, 2026 and 2025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as of December 31, 2025 has been derived from audited financial statements. The results for the three and nine months ended September 30, 2026 are not indicative of the results expected for the full year or any other period. The condensed consolidated financial statements include the accounts of the Company and its wholly-owned subsidiaries. All intercompany accounts and transactions have been eliminated in consolidation. The Company operates in one segment.</w:t>
      </w:r>
    </w:p>
    <w:p>
      <w:pPr>
        <w:spacing w:after="0" w:line="21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Effective August 1, 2025, the Company ceased to have a controlling financial interest in its wholly-owned French subsidiary, Veracyte SAS. Accordingly, the Company derecognized the related assets and liabilities from its condensed consolidated financial statements. Prior to deconsolidation, the operating results and cash flows of Veracyte SAS were included in the Company’s condensed consolidated financial statements.</w:t>
      </w:r>
    </w:p>
    <w:p>
      <w:pPr>
        <w:spacing w:after="0" w:line="17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preparation of unaudited interim financial statements in conformity with U.S.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Significant items subject to such estimates include: revenue recognition; the useful lives of property, plant and equipment; the recoverability of long-lived assets; the incremental borrowing rates for leases; accounting for acquisitions; the estimation of the fair value of intangible assets and contingent consideration; stock-based compensation; income tax uncertainties, including 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valuation allowance for deferred tax assets; credit related losses on investments; and allowance for credit losses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three major financial institutions in the United States. Deposits in these institutions may exceed the amount of insurance provided on such deposits. The Company has not realized any losses on its deposits of cash and cash equivalents other than exchange rate losses related to foreign currency denominated accounts.</w:t>
      </w:r>
    </w:p>
    <w:p>
      <w:pPr>
        <w:spacing w:after="0" w:line="17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kits and CLIA test reagents, IVD products and associated systems, as well as the systems service and service kits, are obtained from single-source suppliers. If these single-source suppliers fail to satisfy the Company’s requirements on a timely basis, or are unable to provide the Company with reagents that perform to specifications, the Company could suffer delays in being able to deliver its diagnostic solutions, suffer a possible loss of revenue, or incur higher costs, any of which could adversely affect its operating results.</w:t>
      </w:r>
    </w:p>
    <w:p>
      <w:pPr>
        <w:spacing w:after="0" w:line="18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Through September 30, 2026, the Company has derived most of its revenue from the sale of Decipher Prostate and Afirma testing. To date, Decipher Prostate and Afirma testing have been delivered primarily to physicians in the United States.</w:t>
      </w:r>
    </w:p>
    <w:p>
      <w:pPr>
        <w:spacing w:after="0" w:line="19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as of September 30, 2026.</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Company’s total third-party payers and other customers in excess of 10% of total revenue and their related revenue as a percentage of total revenue were as follows:</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360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02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1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31"/>
        </w:trPr>
        <w:tc>
          <w:tcPr>
            <w:tcW w:w="40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20" w:firstLine="399"/>
        <w:spacing w:after="0" w:line="275" w:lineRule="auto"/>
        <w:rPr>
          <w:sz w:val="20"/>
          <w:szCs w:val="20"/>
          <w:color w:val="auto"/>
        </w:rPr>
      </w:pPr>
      <w:r>
        <w:rPr>
          <w:rFonts w:ascii="Times New Roman" w:cs="Times New Roman" w:eastAsia="Times New Roman" w:hAnsi="Times New Roman"/>
          <w:sz w:val="18"/>
          <w:szCs w:val="18"/>
          <w:color w:val="auto"/>
        </w:rPr>
        <w:t>In the above table, Medicare Advantage plans are included with their associated private payer amounts and Medicare amounts do not include Medicare Advantage.</w:t>
      </w:r>
    </w:p>
    <w:p>
      <w:pPr>
        <w:spacing w:after="0" w:line="190"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The Company's significant third-party payers in excess of 10% of total accounts receivable and their related accounts receivable balance as a percentage of total accounts receivable were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0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96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9"/>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08"/>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2"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Company considers demand deposits in a bank, money market funds and highly liquid investments with maturities at the time of purchase of three months or less to be cash equivalents.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2" w:lineRule="exact"/>
        <w:rPr>
          <w:sz w:val="20"/>
          <w:szCs w:val="20"/>
          <w:color w:val="auto"/>
        </w:rPr>
      </w:pPr>
    </w:p>
    <w:p>
      <w:pPr>
        <w:jc w:val="both"/>
        <w:ind w:firstLine="319"/>
        <w:spacing w:after="0" w:line="270" w:lineRule="auto"/>
        <w:rPr>
          <w:sz w:val="20"/>
          <w:szCs w:val="20"/>
          <w:color w:val="auto"/>
        </w:rPr>
      </w:pPr>
      <w:r>
        <w:rPr>
          <w:rFonts w:ascii="Times New Roman" w:cs="Times New Roman" w:eastAsia="Times New Roman" w:hAnsi="Times New Roman"/>
          <w:sz w:val="17"/>
          <w:szCs w:val="17"/>
          <w:color w:val="auto"/>
        </w:rPr>
        <w:t>The Company's short-term investments consist of United States treasury securities and certificates of deposit with maturities at the time of purchase that were between three months and one year. The Company classifies these investments as held-to-maturity debt securities, which are reported at amortized cost. Discounts or premiums from the purchase of the securities are recognized as a component of interest income in other income, net in the consolidated statements of operations. Investments are initially recorded net of an allowance for expected credit losses, if any, which are remeasured each period and any impairments are recognized as an expense. Unrealized gains and losses are not recognized in income. As of both September 30, 2026 and December 31, 2025, no allowances for expected credit losses had been recorded and there have been no impairment or credit losses on the Company's short-term investments.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had deposits of $1.6 million included in long-term assets as of both September 30, 2026 and December 31, 2025 restricted from withdrawal and held by banks primarily in the form of collateral for irrevocable standby letters of credit held as security for the Company's leases.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Company first determines whether a set of assets acquired and liabilities assumed constitute a business and should be accounted for as a business combination. If the assets acquired are not a business, the Company accounts for the transaction as an asset acquisition. Business combinations are accounted for by using the acquisition method of accounting. Under the acquisition method, assets acquired, and liabilities assumed are recorded at their respective fair values as of the acquisition date in the Company's consolidated financial statements. The estimated fair value of intangible assets acquired are based on discounted cash flows utilizing certain assumptions including revenues (such as projected testing volumes, growth rates), discount rates and expected economic life/obsolescence factors of the respective assets. The excess of the fair value of consideration transferred over the fair value of the net assets acquired is recorded as goodwill. Contingent consideration obligations incurred in connection with a business combination are recorded at fair value on the acquisition date and remeasured at each subsequent reporting period until the related contingencies are resolved, with the resulting changes in fair value recorded in general and administrative expense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provisions of the Financial Accounting Standards Board, or FASB, Accounting Standards Codification, or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w:t>
      </w:r>
    </w:p>
    <w:p>
      <w:pPr>
        <w:spacing w:after="0" w:line="213"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34"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The Company recognizes testing revenue from the sale of tests performed for customers, including patients and institutions, at the time test results are reported to physicians. Most tests requested by customers are sold without a written agreement; however, the Company determines that an implied contract exists with its customers for whom a physician will order the test. The Company identifies each sale of its test to a customer as a single performance obligation. A stated contract price does not exist and the transaction price for each implied contract with a customer represents variable consideration. The Company uses the expected value method of estimating variable consideration. The Company estimates the variable consideration under the portfolio approach and considers the historical reimbursement data from third-party commercial and governmental payers and patients, as well as known or anticipated reimbursement trends not reflected in the historical data. The Company monitors the estimated amount to be collected in the portfolio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 collections over the expected reimbursement period and compares it with the estimated variable consideration for each payer group and any difference is recognized as an adjustment to estimated revenue after the expected reimbursement period, subject to assessment of the risk of future revenue reversal. For the three and nine months ended September 30, 2026, the Company recorded $2.4 million and $11.1 million, respectively, and for the three and nine months ended September 30, 2025 the Company recorded $1.5 million and $3.7 million, respectively, resulting from cash collections exceeding the estimated variable consideration related to tests reported in previous years, including revenue received from successful appeals of reimbursement denials, net of recoupments.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Company's product revenue primarily consists of the Prosigna IVD breast cancer assay and, to a much lesser extent, related diagnostic kits and services. Product revenue from diagnostic kits is generally recognized upon shipment from the contract manufacturer. Shipping and handling costs incurred for product shipments are included in product revenue. Revenue is presented net of the taxes that are collected from customers and remitted to governmental authorities.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34"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Accounts receivable from biopharmaceutical and other revenue was $2.2 million at September 30, 2026 and $3.6 million at December 31, 2025. Deferred revenue related to these agreements was $0.9 million at September 30, 2026 and $1.2 million at December 31, 2025. Following the restructuring proceedings affecting Veracyte SAS, as of August 2025 Veracyte SAS no longer provides biopharmaceutical services, contract manufacturing or contract development services. Revenue included in biopharmaceutical and other revenue for the three and nine months ended September 30, 2026 and 2025 was as follows (in thousands of dollars):</w:t>
      </w:r>
    </w:p>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60" w:type="dxa"/>
            <w:vAlign w:val="bottom"/>
            <w:tcBorders>
              <w:bottom w:val="single" w:sz="8" w:color="auto"/>
            </w:tcBorders>
          </w:tcPr>
          <w:p>
            <w:pPr>
              <w:spacing w:after="0"/>
              <w:rPr>
                <w:sz w:val="18"/>
                <w:szCs w:val="18"/>
                <w:color w:val="auto"/>
              </w:rPr>
            </w:pPr>
          </w:p>
        </w:tc>
      </w:tr>
      <w:tr>
        <w:trPr>
          <w:trHeight w:val="207"/>
        </w:trPr>
        <w:tc>
          <w:tcPr>
            <w:tcW w:w="4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r>
      <w:tr>
        <w:trPr>
          <w:trHeight w:val="20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Biopharmaceutical revenue</w:t>
            </w:r>
          </w:p>
        </w:tc>
        <w:tc>
          <w:tcPr>
            <w:tcW w:w="114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8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5,573</w:t>
            </w: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manufacturing and testing</w:t>
            </w:r>
          </w:p>
        </w:tc>
        <w:tc>
          <w:tcPr>
            <w:tcW w:w="11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3,129</w:t>
            </w:r>
          </w:p>
        </w:tc>
      </w:tr>
      <w:tr>
        <w:trPr>
          <w:trHeight w:val="233"/>
        </w:trPr>
        <w:tc>
          <w:tcPr>
            <w:tcW w:w="4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tcBorders>
              <w:top w:val="single" w:sz="8" w:color="auto"/>
              <w:bottom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8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8,702</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components of the Company's cost of testing revenue are laboratory expenses, sample collection expenses, compensation expense, license fees and royalties, depreciation, customer service,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Cost of product revenue consists primarily of costs of diagnostic kit components and reagents, labor, delivery costs and royalties for licensed technologies included in the Company's products. Subsequent to the restructuring proceedings affecting</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Veracyte SAS in August 2025, the costs of diagnostic kit components and reagents and labor costs are paid to a third-party contract manufacturer. The cost of the finished product is recognized in the period the related revenue is recognized.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Cost of biopharmaceutical and other revenue consists of costs of performing activities under arrangements that require the Company to license or provide access to its assets or laboratory testing services, as well as costs incurred in providing contracted research and development and manufacturing activities. These costs are mainly composed of compensation, manufacturing and laboratory supplies, and pass-through costs. Following the restructuring proceedings affecting Veracyte SAS, as of August 2025 Veracyte SAS no longer provides biopharmaceutical services, contract manufacturing or contract development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or ASU,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w:t>
      </w:r>
      <w:r>
        <w:rPr>
          <w:rFonts w:ascii="Times New Roman" w:cs="Times New Roman" w:eastAsia="Times New Roman" w:hAnsi="Times New Roman"/>
          <w:sz w:val="18"/>
          <w:szCs w:val="18"/>
          <w:color w:val="auto"/>
        </w:rPr>
        <w:t>ASU 2024-03 will require public business entities to disclose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ASU 2024-03 is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Income Per Common Share</w:t>
      </w:r>
    </w:p>
    <w:p>
      <w:pPr>
        <w:spacing w:after="0" w:line="22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Basic earnings per share, or EPS, is computed based on the weighted average number of common shares outstanding during the period. Diluted EPS is computed based on the sum of the weighted average number of common shares and potentially dilutive common shares outstanding during the period. In loss periods, basic and diluted loss per share are identical since the effect of potentially dilutive common shares is antidilutive and therefore excluded. Potentially dilutive common shares from equity awards are determined using the average share price for each period under the treasury stock method. In addition, proceeds from exercises of equity awards and the average amount of unrecognized compensation expense for equity awards are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to be used to repurchase shares. The following table sets forth the computation of basic and diluted EPS (in thousands, except per-share amounts):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294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0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for basic and diluted EPS — net income (A)</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31,503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25,204</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 for basic EPS — weighted average shares (B)</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80,500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78,384</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potentially dilutive common stock from:</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of common stock subject to outstanding options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8"/>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0" w:type="dxa"/>
            <w:vAlign w:val="bottom"/>
          </w:tcPr>
          <w:p>
            <w:pPr>
              <w:spacing w:after="0"/>
              <w:rPr>
                <w:sz w:val="1"/>
                <w:szCs w:val="1"/>
                <w:color w:val="auto"/>
              </w:rPr>
            </w:pPr>
          </w:p>
        </w:tc>
      </w:tr>
      <w:tr>
        <w:trPr>
          <w:trHeight w:val="140"/>
        </w:trPr>
        <w:tc>
          <w:tcPr>
            <w:tcW w:w="5280" w:type="dxa"/>
            <w:vAlign w:val="bottom"/>
          </w:tcPr>
          <w:p>
            <w:pPr>
              <w:ind w:left="20"/>
              <w:spacing w:after="0" w:line="140" w:lineRule="exact"/>
              <w:rPr>
                <w:sz w:val="20"/>
                <w:szCs w:val="20"/>
                <w:color w:val="auto"/>
              </w:rPr>
            </w:pPr>
            <w:r>
              <w:rPr>
                <w:rFonts w:ascii="Times New Roman" w:cs="Times New Roman" w:eastAsia="Times New Roman" w:hAnsi="Times New Roman"/>
                <w:sz w:val="16"/>
                <w:szCs w:val="16"/>
                <w:color w:val="auto"/>
              </w:rPr>
              <w:t>Denominator for diluted EPS — adjusted weighted average shares and assumed</w:t>
            </w:r>
          </w:p>
        </w:tc>
        <w:tc>
          <w:tcPr>
            <w:tcW w:w="8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5"/>
              </w:rPr>
              <w:t>82,784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79,692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82,204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79,946</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conversions (C)</w:t>
            </w:r>
          </w:p>
        </w:tc>
        <w:tc>
          <w:tcPr>
            <w:tcW w:w="8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EPS (A / B)</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EPS (A / C)</w:t>
            </w:r>
          </w:p>
        </w:tc>
        <w:tc>
          <w:tcPr>
            <w:tcW w:w="86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8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8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equivalent shares excluded from the dilutive calculation due to</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effect: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of common stock subject to outstanding options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0"/>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52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Anti-dilutive potential common shares</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the carrying amounts of goodwill were as follows (in thousands of dollars):</w:t>
      </w:r>
    </w:p>
    <w:p>
      <w:pPr>
        <w:spacing w:after="0" w:line="287"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9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09"/>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767,154</w:t>
            </w:r>
          </w:p>
        </w:tc>
      </w:tr>
      <w:tr>
        <w:trPr>
          <w:trHeight w:val="210"/>
        </w:trPr>
        <w:tc>
          <w:tcPr>
            <w:tcW w:w="9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Goodwill acquired - Convergent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88,421</w:t>
            </w:r>
          </w:p>
        </w:tc>
      </w:tr>
      <w:tr>
        <w:trPr>
          <w:trHeight w:val="233"/>
        </w:trPr>
        <w:tc>
          <w:tcPr>
            <w:tcW w:w="9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2026</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855,575</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49" w:lineRule="exact"/>
        <w:rPr>
          <w:sz w:val="20"/>
          <w:szCs w:val="20"/>
          <w:color w:val="auto"/>
        </w:rPr>
      </w:pPr>
    </w:p>
    <w:p>
      <w:pPr>
        <w:jc w:val="both"/>
        <w:ind w:right="100" w:firstLine="399"/>
        <w:spacing w:after="0" w:line="275" w:lineRule="auto"/>
        <w:rPr>
          <w:sz w:val="20"/>
          <w:szCs w:val="20"/>
          <w:color w:val="auto"/>
        </w:rPr>
      </w:pPr>
      <w:r>
        <w:rPr>
          <w:rFonts w:ascii="Times New Roman" w:cs="Times New Roman" w:eastAsia="Times New Roman" w:hAnsi="Times New Roman"/>
          <w:sz w:val="18"/>
          <w:szCs w:val="18"/>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200" w:lineRule="exact"/>
        <w:rPr>
          <w:sz w:val="20"/>
          <w:szCs w:val="20"/>
          <w:color w:val="auto"/>
        </w:rPr>
      </w:pPr>
    </w:p>
    <w:p>
      <w:pPr>
        <w:spacing w:after="0" w:line="343"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3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Weighted Avera</w:t>
            </w: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110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86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0"/>
                <w:szCs w:val="10"/>
                <w:color w:val="auto"/>
              </w:rPr>
            </w:pPr>
          </w:p>
        </w:tc>
        <w:tc>
          <w:tcPr>
            <w:tcW w:w="96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7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0" w:type="dxa"/>
            <w:vAlign w:val="bottom"/>
          </w:tcPr>
          <w:p>
            <w:pPr>
              <w:spacing w:after="0"/>
              <w:rPr>
                <w:sz w:val="1"/>
                <w:szCs w:val="1"/>
                <w:color w:val="auto"/>
              </w:rPr>
            </w:pPr>
          </w:p>
        </w:tc>
      </w:tr>
      <w:tr>
        <w:trPr>
          <w:trHeight w:val="213"/>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Percepta product technology</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4,533</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87"/>
              <w:spacing w:after="0"/>
              <w:rPr>
                <w:sz w:val="20"/>
                <w:szCs w:val="20"/>
                <w:color w:val="auto"/>
              </w:rPr>
            </w:pPr>
            <w:r>
              <w:rPr>
                <w:rFonts w:ascii="Times New Roman" w:cs="Times New Roman" w:eastAsia="Times New Roman" w:hAnsi="Times New Roman"/>
                <w:sz w:val="16"/>
                <w:szCs w:val="16"/>
                <w:color w:val="auto"/>
                <w:w w:val="99"/>
              </w:rPr>
              <w:t>3.5</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Prosigna product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2,449</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8.2</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Decipher product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53,742</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5.8</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Decipher trade names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C2i developed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22,067</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12.9</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Manufacturing know-how</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Convergent developed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15.0</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Convergent trademarks and tradenames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5.0</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Convergent customer relationships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5.0</w:t>
            </w:r>
          </w:p>
        </w:tc>
        <w:tc>
          <w:tcPr>
            <w:tcW w:w="0" w:type="dxa"/>
            <w:vAlign w:val="bottom"/>
          </w:tcPr>
          <w:p>
            <w:pPr>
              <w:spacing w:after="0"/>
              <w:rPr>
                <w:sz w:val="1"/>
                <w:szCs w:val="1"/>
                <w:color w:val="auto"/>
              </w:rPr>
            </w:pPr>
          </w:p>
        </w:tc>
      </w:tr>
      <w:tr>
        <w:trPr>
          <w:trHeight w:val="204"/>
        </w:trPr>
        <w:tc>
          <w:tcPr>
            <w:tcW w:w="3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finite-lived intangibles</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258,800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(73,917)</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184,883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146,720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(63,772)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82,948</w:t>
            </w:r>
          </w:p>
        </w:tc>
        <w:tc>
          <w:tcPr>
            <w:tcW w:w="1060" w:type="dxa"/>
            <w:vAlign w:val="bottom"/>
            <w:gridSpan w:val="2"/>
          </w:tcPr>
          <w:p>
            <w:pPr>
              <w:jc w:val="center"/>
              <w:ind w:left="200"/>
              <w:spacing w:after="0"/>
              <w:rPr>
                <w:sz w:val="20"/>
                <w:szCs w:val="20"/>
                <w:color w:val="auto"/>
              </w:rPr>
            </w:pPr>
            <w:r>
              <w:rPr>
                <w:rFonts w:ascii="Times New Roman" w:cs="Times New Roman" w:eastAsia="Times New Roman" w:hAnsi="Times New Roman"/>
                <w:sz w:val="16"/>
                <w:szCs w:val="16"/>
                <w:color w:val="auto"/>
                <w:w w:val="92"/>
              </w:rPr>
              <w:t>11.4</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258,800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(73,917)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184,883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152,920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(63,772)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89,148</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right="100" w:firstLine="399"/>
        <w:spacing w:after="0" w:line="256" w:lineRule="auto"/>
        <w:rPr>
          <w:sz w:val="20"/>
          <w:szCs w:val="20"/>
          <w:color w:val="auto"/>
        </w:rPr>
      </w:pPr>
      <w:r>
        <w:rPr>
          <w:rFonts w:ascii="Times New Roman" w:cs="Times New Roman" w:eastAsia="Times New Roman" w:hAnsi="Times New Roman"/>
          <w:sz w:val="18"/>
          <w:szCs w:val="18"/>
          <w:color w:val="auto"/>
        </w:rPr>
        <w:t>Acquisition-related intangibles are generally finite-lived and are carried at cost less accumulated amortization. Amortization of the finite-lived intangible assets is recognized on a straight-line basis over their estimated lives, which approximates the pattern in which the economic benefits of the intangible assets are expected to be realized. During the second quarter of 2026 following the launch of TrueMRD, in-process research and development intangibles of $6.2 million were reclassified to C2i developed technology intangibles and is being amortized over its estimated useful life.</w:t>
      </w:r>
    </w:p>
    <w:p>
      <w:pPr>
        <w:spacing w:after="0" w:line="207" w:lineRule="exact"/>
        <w:rPr>
          <w:sz w:val="20"/>
          <w:szCs w:val="20"/>
          <w:color w:val="auto"/>
        </w:rPr>
      </w:pPr>
    </w:p>
    <w:p>
      <w:pPr>
        <w:jc w:val="both"/>
        <w:ind w:right="100" w:firstLine="399"/>
        <w:spacing w:after="0" w:line="261" w:lineRule="auto"/>
        <w:rPr>
          <w:sz w:val="20"/>
          <w:szCs w:val="20"/>
          <w:color w:val="auto"/>
        </w:rPr>
      </w:pPr>
      <w:r>
        <w:rPr>
          <w:rFonts w:ascii="Times New Roman" w:cs="Times New Roman" w:eastAsia="Times New Roman" w:hAnsi="Times New Roman"/>
          <w:sz w:val="18"/>
          <w:szCs w:val="18"/>
          <w:color w:val="auto"/>
        </w:rPr>
        <w:t>On August 31, 2026, the Company closed a transaction to acquire certain assets for $5.3 million in cash and two mandatory annual license fee payments of $3.0 million due following the first and second anniversaries of the closing date. The acquisition was accounted for as a business combination and resulted in the recording of $9.0 million of intangible assets for manufacturing know-how.</w:t>
      </w:r>
    </w:p>
    <w:p>
      <w:pPr>
        <w:spacing w:after="0" w:line="202" w:lineRule="exact"/>
        <w:rPr>
          <w:sz w:val="20"/>
          <w:szCs w:val="20"/>
          <w:color w:val="auto"/>
        </w:rPr>
      </w:pPr>
    </w:p>
    <w:p>
      <w:pPr>
        <w:jc w:val="both"/>
        <w:ind w:right="100" w:firstLine="399"/>
        <w:spacing w:after="0" w:line="275" w:lineRule="auto"/>
        <w:rPr>
          <w:sz w:val="20"/>
          <w:szCs w:val="20"/>
          <w:color w:val="auto"/>
        </w:rPr>
      </w:pPr>
      <w:r>
        <w:rPr>
          <w:rFonts w:ascii="Times New Roman" w:cs="Times New Roman" w:eastAsia="Times New Roman" w:hAnsi="Times New Roman"/>
          <w:sz w:val="18"/>
          <w:szCs w:val="18"/>
          <w:color w:val="auto"/>
        </w:rPr>
        <w:t>Amortization of $3.7 million and $3.3 million was recognized for the three months ended September 30, 2026 and 2025, respectively, and an expense of $10.1 million and $9.8 million was recognized for the nine months ended September 30, 2026 and 2025, respectively.</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estimated future aggregate amortization expense as of September 30, 2026 is as follows (in thousands of dollars):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6"/>
                <w:szCs w:val="16"/>
                <w:color w:val="auto"/>
              </w:rPr>
            </w:pPr>
          </w:p>
        </w:tc>
        <w:tc>
          <w:tcPr>
            <w:tcW w:w="11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remainder of year</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5,629</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22,517</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22,517</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21,517</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18,717</w:t>
            </w:r>
          </w:p>
        </w:tc>
      </w:tr>
      <w:tr>
        <w:trPr>
          <w:trHeight w:val="210"/>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93,986</w:t>
            </w:r>
          </w:p>
        </w:tc>
      </w:tr>
      <w:tr>
        <w:trPr>
          <w:trHeight w:val="233"/>
        </w:trPr>
        <w:tc>
          <w:tcPr>
            <w:tcW w:w="9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184,883</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Assets</w:t>
      </w:r>
    </w:p>
    <w:p>
      <w:pPr>
        <w:spacing w:after="0" w:line="249" w:lineRule="exact"/>
        <w:rPr>
          <w:sz w:val="20"/>
          <w:szCs w:val="20"/>
          <w:color w:val="auto"/>
        </w:rPr>
      </w:pPr>
    </w:p>
    <w:p>
      <w:pPr>
        <w:ind w:right="100" w:firstLine="399"/>
        <w:spacing w:after="0" w:line="275" w:lineRule="auto"/>
        <w:rPr>
          <w:sz w:val="20"/>
          <w:szCs w:val="20"/>
          <w:color w:val="auto"/>
        </w:rPr>
      </w:pPr>
      <w:r>
        <w:rPr>
          <w:rFonts w:ascii="Times New Roman" w:cs="Times New Roman" w:eastAsia="Times New Roman" w:hAnsi="Times New Roman"/>
          <w:sz w:val="18"/>
          <w:szCs w:val="18"/>
          <w:color w:val="auto"/>
        </w:rPr>
        <w:t>The Company concluded, during the second quarter of 2025, that the long-lived assets of the Veracyte SAS asset group were not recoverable. As a result, the Company recorded a $20.5 million non-cash impairment charge for the nine months</w:t>
      </w: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2025. The impairment related primarily to the Company's right-of-use assets; property, plant, and equipment; and certain tax credits.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impairment is included within the impairment of assets in the consolidated statement of operations.</w:t>
      </w:r>
    </w:p>
    <w:p>
      <w:pPr>
        <w:spacing w:after="0" w:line="2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Deconsolidation of Wholly-Owned Subsidiary</w:t>
      </w:r>
    </w:p>
    <w:p>
      <w:pPr>
        <w:spacing w:after="0" w:line="24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Effective August 1, 2025, the Company ceased to have a controlling interest in its wholly-owned French subsidiary, Veracyte SAS. Accordingly, the Company derecognized the related assets and liabilities from its condensed consolidated financial statements. Prior to deconsolidation, the operating results and cash flows of Veracyte SAS were included in the Company’s condensed consolidated financial statements. In accordance with ASC 810, Consolidation, the Company recognized a loss on deconsolidation of approximately $6.7 million, which is included in other income, net in the condensed consolidated statements of operations for the three months ended September 30, 2025.</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27,459</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other</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21,342</w:t>
            </w:r>
          </w:p>
        </w:tc>
      </w:tr>
      <w:tr>
        <w:trPr>
          <w:trHeight w:val="233"/>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60,087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48,801</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Business Combination</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Convergent Genomics, Inc.</w:t>
      </w:r>
    </w:p>
    <w:p>
      <w:pPr>
        <w:spacing w:after="0" w:line="236" w:lineRule="exact"/>
        <w:rPr>
          <w:sz w:val="20"/>
          <w:szCs w:val="20"/>
          <w:color w:val="auto"/>
        </w:rPr>
      </w:pPr>
    </w:p>
    <w:p>
      <w:pPr>
        <w:jc w:val="both"/>
        <w:ind w:firstLine="399"/>
        <w:spacing w:after="0" w:line="243" w:lineRule="auto"/>
        <w:rPr>
          <w:sz w:val="20"/>
          <w:szCs w:val="20"/>
          <w:color w:val="auto"/>
        </w:rPr>
      </w:pPr>
      <w:r>
        <w:rPr>
          <w:rFonts w:ascii="Times New Roman" w:cs="Times New Roman" w:eastAsia="Times New Roman" w:hAnsi="Times New Roman"/>
          <w:sz w:val="18"/>
          <w:szCs w:val="18"/>
          <w:color w:val="auto"/>
        </w:rPr>
        <w:t>On September 14, 2026, or the Closing Date, the Company acquired 100% of the outstanding equity interests of Convergent Genomics, Inc., or Convergent, a privately held company, through a merger under an Agreement and Plan of Merger, dated September 10, 2026, by and among the Company, Convergent, Compass Merger Sub, Inc., and Shareholder Representative Services LLC, which we refer to as the Convergent Acquisition. Convergent is a molecular diagnostics company that develops and commercializes UroAmp, a urine-based test for bladder cancers, including minimal residual disease, or MRD, monitoring in bladder cancer. The Convergent Acquisition adds Convergent’s UroAmp platform, including its proprietary urinary tumor DNA technology, to the Company’s development portfolio.</w:t>
      </w:r>
    </w:p>
    <w:p>
      <w:pPr>
        <w:spacing w:after="0" w:line="205" w:lineRule="exact"/>
        <w:rPr>
          <w:sz w:val="20"/>
          <w:szCs w:val="20"/>
          <w:color w:val="auto"/>
        </w:rPr>
      </w:pPr>
    </w:p>
    <w:p>
      <w:pPr>
        <w:jc w:val="both"/>
        <w:ind w:firstLine="399"/>
        <w:spacing w:after="0"/>
        <w:rPr>
          <w:sz w:val="20"/>
          <w:szCs w:val="20"/>
          <w:color w:val="auto"/>
        </w:rPr>
      </w:pPr>
      <w:r>
        <w:rPr>
          <w:rFonts w:ascii="Times New Roman" w:cs="Times New Roman" w:eastAsia="Times New Roman" w:hAnsi="Times New Roman"/>
          <w:sz w:val="18"/>
          <w:szCs w:val="18"/>
          <w:color w:val="auto"/>
        </w:rPr>
        <w:t>The total consideration for the Convergent Acquisition was $178.2 million, comprised of $154.7 million of cash consideration which includes amounts relating to the settlement of vested stock options of $13.1 million, amounts placed in escrow of $16.0 million, and net of cash acquired of $6.8 million. Other components of the cash consideration include $0.2 million deposited into a fund to cover the Convergent securityholders’ representative’s costs of administering post-closing matters and $1.4 million of seller transaction costs paid by the Company on behalf of Convergent. In addition to the cash consideration, the Company agreed to pay to Convergent securityholders up to $30.0 million in milestone-driven payments that are dependent on the achievement of reimbursement related milestones. The Company recognized a $23.5 million contingent consideration liability for the estimated fair value of the milestone payments which was included within within consideration transferred. The Company determined the estimated fair value of the contingent consideration based on a probability weighted expected return method. The fair value of the contingent milestone payments will be remeasured each quarter, with changes in fair value recognized within general and administrative expense.</w:t>
      </w:r>
    </w:p>
    <w:p>
      <w:pPr>
        <w:spacing w:after="0" w:line="211"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7"/>
          <w:szCs w:val="17"/>
          <w:color w:val="auto"/>
        </w:rPr>
        <w:t>In connection with the Convergent Acquisition, the Company deposited $16.0 million into escrow, consisting of $1.0 million to settle post-closing purchase price adjustments and $15.0 million to secure the Convergent securityholders’ indemnification obligations. The indemnification portion, net of pending claims, is released to the Convergent securityholders 12 months after the Closing Date. These escrowed amounts are included in the purchase price.</w:t>
      </w:r>
    </w:p>
    <w:p>
      <w:pPr>
        <w:spacing w:after="0" w:line="179"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 also entered into retention arrangements with certain employees of Convergent, consisting of $1.6 million of cash retention and $2.7 million of restricted stock units. These arrangements are accounted for separately from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Convergent Acquisition and recognized as post-combination compensation expense over the service period. The Company incurred $1.7 million of transaction costs related to the Convergent Acquisition during the three months ended September 30, 2026, which were recorded as general and administrative expense.</w:t>
      </w:r>
    </w:p>
    <w:p>
      <w:pPr>
        <w:spacing w:after="0" w:line="196"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The Company included financial results of Convergent in its consolidated financial statements from the Closing Date, which contributed no revenue and $0.3 million of operating loss, including $0.2 million of intangible asset amortization during the three months ended September 30, 2026.</w:t>
      </w:r>
    </w:p>
    <w:p>
      <w:pPr>
        <w:spacing w:after="0" w:line="203"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Assets acquired and liabilities assumed are recorded based on valuations derived from estimated fair value assessments and assumptions used by the Company. While the Company believes that its estimates and assumptions underlying the valuations are reasonable, different estimates and assumptions could result in different valuations assigned to the individual assets acquired and liabilities assumed, and the resulting amount of goodwill. The following table summarizes the preliminary fair values of assets acquired and liabilities assumed in the Convergent Acquisition at the Closing Date (in thousands of dollars):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6"/>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96,880</w:t>
            </w:r>
          </w:p>
        </w:tc>
      </w:tr>
      <w:tr>
        <w:trPr>
          <w:trHeight w:val="21"/>
        </w:trPr>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6"/>
        </w:trPr>
        <w:tc>
          <w:tcPr>
            <w:tcW w:w="8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105,033</w:t>
            </w:r>
          </w:p>
        </w:tc>
      </w:tr>
      <w:tr>
        <w:trPr>
          <w:trHeight w:val="225"/>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employee transaction bonuses and promised option payment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12,569</w:t>
            </w:r>
          </w:p>
        </w:tc>
      </w:tr>
      <w:tr>
        <w:trPr>
          <w:trHeight w:val="21"/>
        </w:trPr>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8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89,768</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88,421</w:t>
            </w:r>
          </w:p>
        </w:tc>
      </w:tr>
      <w:tr>
        <w:trPr>
          <w:trHeight w:val="21"/>
        </w:trPr>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1"/>
        </w:trPr>
        <w:tc>
          <w:tcPr>
            <w:tcW w:w="8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purchase price</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178,189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Based on the guidance provided in ASC 805, Business Combinations, the Company accounted for the Convergent Acquisition as a business combination in which the Company determined that Convergent was a business which combines inputs and processes to create outputs, and substantially all of the fair value of gross assets acquired was not concentrated in a single identifiable asset or group of similar identifiable assets.</w:t>
      </w:r>
    </w:p>
    <w:p>
      <w:pPr>
        <w:spacing w:after="0" w:line="20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Company's purchase price allocation for the Convergent Acquisition is preliminary and subject to revision as additional information about the fair value of the assets and liabilities becomes available. The fair values assigned to tangible and intangible assets acquired, and liabilities assumed, are based on management’s estimates and assumptions and may be subject to change as additional information is received. The purchase price allocation involves significant judgment in estimating the fair values of acquired assets and liabilities, including intangible assets, goodwill and related tax impacts. As the analysis is finalized and additional information becomes available, these preliminary estimates may be revised during the measurement period, which could materially impact the Company's results of operations and financial position.</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intangible assets acquired included developed technology, trademarks and trade names and customer relationships. The preliminary fair value of the Company's intangible assets as of the acquisition date and the method used to value these assets as well as the estimated economic lives for amortizable intangible assets were as follows (in thousands of dollars, except useful life which is in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Estimated Useful</w:t>
            </w:r>
          </w:p>
        </w:tc>
        <w:tc>
          <w:tcPr>
            <w:tcW w:w="4020" w:type="dxa"/>
            <w:vAlign w:val="bottom"/>
          </w:tcPr>
          <w:p>
            <w:pPr>
              <w:spacing w:after="0"/>
              <w:rPr>
                <w:sz w:val="17"/>
                <w:szCs w:val="17"/>
                <w:color w:val="auto"/>
              </w:rPr>
            </w:pPr>
          </w:p>
        </w:tc>
      </w:tr>
      <w:tr>
        <w:trPr>
          <w:trHeight w:val="234"/>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402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Valuation Method</w:t>
            </w:r>
          </w:p>
        </w:tc>
      </w:tr>
      <w:tr>
        <w:trPr>
          <w:trHeight w:val="26"/>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13"/>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18"/>
                <w:szCs w:val="18"/>
                <w:color w:val="auto"/>
              </w:rPr>
            </w:pPr>
          </w:p>
        </w:tc>
      </w:tr>
      <w:tr>
        <w:trPr>
          <w:trHeight w:val="232"/>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95,900</w:t>
            </w:r>
          </w:p>
        </w:tc>
        <w:tc>
          <w:tcPr>
            <w:tcW w:w="20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15 years</w:t>
            </w: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Multi-period excess earnings method</w:t>
            </w:r>
          </w:p>
        </w:tc>
      </w:tr>
      <w:tr>
        <w:trPr>
          <w:trHeight w:val="21"/>
        </w:trPr>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33"/>
        </w:trPr>
        <w:tc>
          <w:tcPr>
            <w:tcW w:w="3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5 years</w:t>
            </w:r>
          </w:p>
        </w:tc>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Relief from royalty</w:t>
            </w:r>
          </w:p>
        </w:tc>
      </w:tr>
      <w:tr>
        <w:trPr>
          <w:trHeight w:val="232"/>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5 years</w:t>
            </w: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With-and-without</w:t>
            </w:r>
          </w:p>
        </w:tc>
      </w:tr>
      <w:tr>
        <w:trPr>
          <w:trHeight w:val="21"/>
        </w:trPr>
        <w:tc>
          <w:tcPr>
            <w:tcW w:w="3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r>
      <w:tr>
        <w:trPr>
          <w:trHeight w:val="271"/>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96,880</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020" w:type="dxa"/>
            <w:vAlign w:val="bottom"/>
            <w:tcBorders>
              <w:bottom w:val="single" w:sz="8" w:color="CCEEFF"/>
            </w:tcBorders>
            <w:shd w:val="clear" w:color="auto" w:fill="CCEEFF"/>
          </w:tcPr>
          <w:p>
            <w:pPr>
              <w:spacing w:after="0"/>
              <w:rPr>
                <w:sz w:val="23"/>
                <w:szCs w:val="23"/>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fair value of the finite-lived acquired developed technology intangible asset was determined using the multi-period excess earnings income approach. This approach determines fair value based on estimated cash flow projections which are discounted to present value using a risk-adjusted rate of return. Management’s estimated cash flow projections include significant assumptions, including forecasted revenue, the related revenue growth rates and the discount rate. The discount rate used to determine the fair value of the developed technology was 15%.</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amortization expense for all acquired intangible assets will be recognized on a straight-line basis and recorded within intangible asset amortization.</w:t>
      </w:r>
    </w:p>
    <w:p>
      <w:pPr>
        <w:spacing w:after="0" w:line="243"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intangible assets acquired. The Convergent Acquisition resulted in the recognition of $88.4 million of goodwill, which the Company believes primarily consists of expected synergies arising from the integration of the UroAmp platform with the Company's existing urologic cancer testing portfolio, anticipated future technologies and products, assembled workforce and expected growth opportunities. Goodwill created as a result of the Convergent Acquisition is not deductible for tax purposes.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1" w:lineRule="exact"/>
        <w:rPr>
          <w:sz w:val="20"/>
          <w:szCs w:val="20"/>
          <w:color w:val="auto"/>
        </w:rPr>
      </w:pPr>
    </w:p>
    <w:p>
      <w:pPr>
        <w:ind w:left="800" w:hanging="315"/>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112" w:lineRule="exact"/>
        <w:rPr>
          <w:rFonts w:ascii="Times New Roman" w:cs="Times New Roman" w:eastAsia="Times New Roman" w:hAnsi="Times New Roman"/>
          <w:sz w:val="18"/>
          <w:szCs w:val="18"/>
          <w:color w:val="auto"/>
        </w:rPr>
      </w:pPr>
    </w:p>
    <w:p>
      <w:pPr>
        <w:jc w:val="both"/>
        <w:ind w:left="800" w:hanging="315"/>
        <w:spacing w:after="0" w:line="261"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69"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Unobservable inputs that are supported by little or no market activity and that are significant to the fair value of the assets or liabilities.</w:t>
      </w:r>
    </w:p>
    <w:p>
      <w:pPr>
        <w:spacing w:after="0" w:line="25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 treasury bills, money market funds and deposits for leases of the Company's facilities. As of September 30, 2026 and December 31, 2025, the Company had the following financial instruments measured at fair value (in thousands of dollars):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16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14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00" w:type="dxa"/>
            <w:vAlign w:val="bottom"/>
          </w:tcPr>
          <w:p>
            <w:pPr>
              <w:spacing w:after="0"/>
              <w:rPr>
                <w:sz w:val="20"/>
                <w:szCs w:val="20"/>
                <w:color w:val="auto"/>
              </w:rPr>
            </w:pPr>
          </w:p>
        </w:tc>
        <w:tc>
          <w:tcPr>
            <w:tcW w:w="80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20"/>
                <w:szCs w:val="20"/>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Sheet Line</w:t>
            </w:r>
          </w:p>
        </w:tc>
        <w:tc>
          <w:tcPr>
            <w:tcW w:w="16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Recorded Method</w:t>
            </w:r>
          </w:p>
        </w:tc>
        <w:tc>
          <w:tcPr>
            <w:tcW w:w="0" w:type="dxa"/>
            <w:vAlign w:val="bottom"/>
          </w:tcPr>
          <w:p>
            <w:pPr>
              <w:spacing w:after="0"/>
              <w:rPr>
                <w:sz w:val="1"/>
                <w:szCs w:val="1"/>
                <w:color w:val="auto"/>
              </w:rPr>
            </w:pPr>
          </w:p>
        </w:tc>
      </w:tr>
      <w:tr>
        <w:trPr>
          <w:trHeight w:val="166"/>
        </w:trPr>
        <w:tc>
          <w:tcPr>
            <w:tcW w:w="2660" w:type="dxa"/>
            <w:vAlign w:val="bottom"/>
            <w:tcBorders>
              <w:top w:val="single" w:sz="8" w:color="auto"/>
              <w:left w:val="single" w:sz="8" w:color="CCEEFF"/>
            </w:tcBorders>
            <w:gridSpan w:val="3"/>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color w:val="auto"/>
              </w:rPr>
              <w:t>Assets</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40" w:type="dxa"/>
            <w:vAlign w:val="bottom"/>
            <w:tcBorders>
              <w:left w:val="single" w:sz="8" w:color="CCEEFF"/>
            </w:tcBorders>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7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26,306</w:t>
            </w:r>
          </w:p>
        </w:tc>
        <w:tc>
          <w:tcPr>
            <w:tcW w:w="2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26,306</w:t>
            </w:r>
          </w:p>
        </w:tc>
        <w:tc>
          <w:tcPr>
            <w:tcW w:w="200" w:type="dxa"/>
            <w:vAlign w:val="bottom"/>
          </w:tcPr>
          <w:p>
            <w:pPr>
              <w:spacing w:after="0"/>
              <w:rPr>
                <w:sz w:val="13"/>
                <w:szCs w:val="13"/>
                <w:color w:val="auto"/>
              </w:rPr>
            </w:pPr>
          </w:p>
        </w:tc>
        <w:tc>
          <w:tcPr>
            <w:tcW w:w="18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6"/>
                <w:szCs w:val="16"/>
                <w:color w:val="auto"/>
              </w:rPr>
              <w:t>Cash and cash</w:t>
            </w: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128"/>
        </w:trPr>
        <w:tc>
          <w:tcPr>
            <w:tcW w:w="2740" w:type="dxa"/>
            <w:vAlign w:val="bottom"/>
            <w:gridSpan w:val="4"/>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equivalents</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740" w:type="dxa"/>
            <w:vAlign w:val="bottom"/>
            <w:tcBorders>
              <w:lef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bills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80,704</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Amortized cost</w:t>
            </w:r>
          </w:p>
        </w:tc>
        <w:tc>
          <w:tcPr>
            <w:tcW w:w="0" w:type="dxa"/>
            <w:vAlign w:val="bottom"/>
          </w:tcPr>
          <w:p>
            <w:pPr>
              <w:spacing w:after="0"/>
              <w:rPr>
                <w:sz w:val="1"/>
                <w:szCs w:val="1"/>
                <w:color w:val="auto"/>
              </w:rPr>
            </w:pPr>
          </w:p>
        </w:tc>
      </w:tr>
      <w:tr>
        <w:trPr>
          <w:trHeight w:val="210"/>
        </w:trPr>
        <w:tc>
          <w:tcPr>
            <w:tcW w:w="27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Amortized cost</w:t>
            </w:r>
          </w:p>
        </w:tc>
        <w:tc>
          <w:tcPr>
            <w:tcW w:w="0" w:type="dxa"/>
            <w:vAlign w:val="bottom"/>
          </w:tcPr>
          <w:p>
            <w:pPr>
              <w:spacing w:after="0"/>
              <w:rPr>
                <w:sz w:val="1"/>
                <w:szCs w:val="1"/>
                <w:color w:val="auto"/>
              </w:rPr>
            </w:pPr>
          </w:p>
        </w:tc>
      </w:tr>
      <w:tr>
        <w:trPr>
          <w:trHeight w:val="215"/>
        </w:trPr>
        <w:tc>
          <w:tcPr>
            <w:tcW w:w="2740" w:type="dxa"/>
            <w:vAlign w:val="bottom"/>
            <w:tcBorders>
              <w:lef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 for the leases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210"/>
        </w:trPr>
        <w:tc>
          <w:tcPr>
            <w:tcW w:w="27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Loan receivable</w:t>
            </w: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Amortized cost</w:t>
            </w:r>
          </w:p>
        </w:tc>
        <w:tc>
          <w:tcPr>
            <w:tcW w:w="0" w:type="dxa"/>
            <w:vAlign w:val="bottom"/>
          </w:tcPr>
          <w:p>
            <w:pPr>
              <w:spacing w:after="0"/>
              <w:rPr>
                <w:sz w:val="1"/>
                <w:szCs w:val="1"/>
                <w:color w:val="auto"/>
              </w:rPr>
            </w:pPr>
          </w:p>
        </w:tc>
      </w:tr>
      <w:tr>
        <w:trPr>
          <w:trHeight w:val="208"/>
        </w:trPr>
        <w:tc>
          <w:tcPr>
            <w:tcW w:w="2740" w:type="dxa"/>
            <w:vAlign w:val="bottom"/>
            <w:tcBorders>
              <w:top w:val="single" w:sz="8" w:color="CCEEFF"/>
              <w:left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108,656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200,304</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auto"/>
            </w:tcBorders>
            <w:gridSpan w:val="2"/>
          </w:tcPr>
          <w:p>
            <w:pPr>
              <w:ind w:left="20"/>
              <w:spacing w:after="0" w:line="153" w:lineRule="exact"/>
              <w:rPr>
                <w:sz w:val="20"/>
                <w:szCs w:val="20"/>
                <w:color w:val="auto"/>
              </w:rPr>
            </w:pPr>
            <w:r>
              <w:rPr>
                <w:rFonts w:ascii="Times New Roman" w:cs="Times New Roman" w:eastAsia="Times New Roman" w:hAnsi="Times New Roman"/>
                <w:sz w:val="16"/>
                <w:szCs w:val="16"/>
                <w:color w:val="auto"/>
                <w:w w:val="98"/>
              </w:rPr>
              <w:t>Liabilities</w:t>
            </w:r>
          </w:p>
        </w:tc>
        <w:tc>
          <w:tcPr>
            <w:tcW w:w="20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40" w:type="dxa"/>
            <w:vAlign w:val="bottom"/>
            <w:tcBorders>
              <w:left w:val="single" w:sz="8" w:color="CCEEFF"/>
            </w:tcBorders>
            <w:gridSpan w:val="4"/>
            <w:shd w:val="clear" w:color="auto" w:fill="CCEEFF"/>
          </w:tcPr>
          <w:p>
            <w:pPr>
              <w:ind w:left="140"/>
              <w:spacing w:after="0" w:line="170" w:lineRule="exact"/>
              <w:rPr>
                <w:sz w:val="20"/>
                <w:szCs w:val="20"/>
                <w:color w:val="auto"/>
              </w:rPr>
            </w:pPr>
            <w:r>
              <w:rPr>
                <w:rFonts w:ascii="Times New Roman" w:cs="Times New Roman" w:eastAsia="Times New Roman" w:hAnsi="Times New Roman"/>
                <w:sz w:val="16"/>
                <w:szCs w:val="16"/>
                <w:color w:val="auto"/>
              </w:rPr>
              <w:t>Acquisition-related contingent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23,979</w:t>
            </w:r>
          </w:p>
        </w:tc>
        <w:tc>
          <w:tcPr>
            <w:tcW w:w="2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23,979</w:t>
            </w:r>
          </w:p>
        </w:tc>
        <w:tc>
          <w:tcPr>
            <w:tcW w:w="2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6"/>
                <w:szCs w:val="16"/>
                <w:color w:val="auto"/>
              </w:rPr>
              <w:t>Acquisition-related</w:t>
            </w:r>
          </w:p>
        </w:tc>
        <w:tc>
          <w:tcPr>
            <w:tcW w:w="1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128"/>
        </w:trPr>
        <w:tc>
          <w:tcPr>
            <w:tcW w:w="2740" w:type="dxa"/>
            <w:vAlign w:val="bottom"/>
            <w:tcBorders>
              <w:left w:val="single" w:sz="8" w:color="CCEEFF"/>
            </w:tcBorders>
            <w:gridSpan w:val="4"/>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consideration</w:t>
            </w:r>
          </w:p>
        </w:tc>
        <w:tc>
          <w:tcPr>
            <w:tcW w:w="180" w:type="dxa"/>
            <w:vAlign w:val="bottom"/>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6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740" w:type="dxa"/>
            <w:vAlign w:val="bottom"/>
            <w:tcBorders>
              <w:left w:val="single" w:sz="8" w:color="CCEEFF"/>
            </w:tcBorders>
            <w:gridSpan w:val="4"/>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840" w:type="dxa"/>
            <w:vAlign w:val="bottom"/>
            <w:gridSpan w:val="2"/>
            <w:vMerge w:val="continue"/>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16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14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00" w:type="dxa"/>
            <w:vAlign w:val="bottom"/>
          </w:tcPr>
          <w:p>
            <w:pPr>
              <w:spacing w:after="0"/>
              <w:rPr>
                <w:sz w:val="20"/>
                <w:szCs w:val="20"/>
                <w:color w:val="auto"/>
              </w:rPr>
            </w:pPr>
          </w:p>
        </w:tc>
        <w:tc>
          <w:tcPr>
            <w:tcW w:w="80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20"/>
                <w:szCs w:val="20"/>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Sheet Line</w:t>
            </w:r>
          </w:p>
        </w:tc>
        <w:tc>
          <w:tcPr>
            <w:tcW w:w="16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Recorded Method</w:t>
            </w:r>
          </w:p>
        </w:tc>
        <w:tc>
          <w:tcPr>
            <w:tcW w:w="0" w:type="dxa"/>
            <w:vAlign w:val="bottom"/>
          </w:tcPr>
          <w:p>
            <w:pPr>
              <w:spacing w:after="0"/>
              <w:rPr>
                <w:sz w:val="1"/>
                <w:szCs w:val="1"/>
                <w:color w:val="auto"/>
              </w:rPr>
            </w:pPr>
          </w:p>
        </w:tc>
      </w:tr>
      <w:tr>
        <w:trPr>
          <w:trHeight w:val="166"/>
        </w:trPr>
        <w:tc>
          <w:tcPr>
            <w:tcW w:w="2660" w:type="dxa"/>
            <w:vAlign w:val="bottom"/>
            <w:tcBorders>
              <w:top w:val="single" w:sz="8" w:color="auto"/>
              <w:left w:val="single" w:sz="8" w:color="CCEEFF"/>
            </w:tcBorders>
            <w:gridSpan w:val="3"/>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color w:val="auto"/>
              </w:rPr>
              <w:t>Assets</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40" w:type="dxa"/>
            <w:vAlign w:val="bottom"/>
            <w:tcBorders>
              <w:left w:val="single" w:sz="8" w:color="CCEEFF"/>
            </w:tcBorders>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7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29,300</w:t>
            </w:r>
          </w:p>
        </w:tc>
        <w:tc>
          <w:tcPr>
            <w:tcW w:w="2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29,300</w:t>
            </w:r>
          </w:p>
        </w:tc>
        <w:tc>
          <w:tcPr>
            <w:tcW w:w="200" w:type="dxa"/>
            <w:vAlign w:val="bottom"/>
          </w:tcPr>
          <w:p>
            <w:pPr>
              <w:spacing w:after="0"/>
              <w:rPr>
                <w:sz w:val="13"/>
                <w:szCs w:val="13"/>
                <w:color w:val="auto"/>
              </w:rPr>
            </w:pPr>
          </w:p>
        </w:tc>
        <w:tc>
          <w:tcPr>
            <w:tcW w:w="18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6"/>
                <w:szCs w:val="16"/>
                <w:color w:val="auto"/>
              </w:rPr>
              <w:t>Cash and cash</w:t>
            </w: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128"/>
        </w:trPr>
        <w:tc>
          <w:tcPr>
            <w:tcW w:w="2740" w:type="dxa"/>
            <w:vAlign w:val="bottom"/>
            <w:gridSpan w:val="4"/>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equivalents</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740" w:type="dxa"/>
            <w:vAlign w:val="bottom"/>
            <w:tcBorders>
              <w:left w:val="single" w:sz="8" w:color="CCEEFF"/>
            </w:tcBorders>
            <w:gridSpan w:val="4"/>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bills</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50,300</w:t>
            </w:r>
          </w:p>
        </w:tc>
        <w:tc>
          <w:tcPr>
            <w:tcW w:w="2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and cash</w:t>
            </w:r>
          </w:p>
        </w:tc>
        <w:tc>
          <w:tcPr>
            <w:tcW w:w="1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128"/>
        </w:trPr>
        <w:tc>
          <w:tcPr>
            <w:tcW w:w="2740" w:type="dxa"/>
            <w:vAlign w:val="bottom"/>
            <w:tcBorders>
              <w:left w:val="single" w:sz="8" w:color="CCEEFF"/>
            </w:tcBorders>
            <w:gridSpan w:val="4"/>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equivalents</w:t>
            </w:r>
          </w:p>
        </w:tc>
        <w:tc>
          <w:tcPr>
            <w:tcW w:w="16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40" w:type="dxa"/>
            <w:vAlign w:val="bottom"/>
            <w:tcBorders>
              <w:lef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840" w:type="dxa"/>
            <w:vAlign w:val="bottom"/>
            <w:gridSpan w:val="2"/>
            <w:vMerge w:val="continue"/>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7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Treasury bills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50,311</w:t>
            </w: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Amortized cost</w:t>
            </w:r>
          </w:p>
        </w:tc>
        <w:tc>
          <w:tcPr>
            <w:tcW w:w="0" w:type="dxa"/>
            <w:vAlign w:val="bottom"/>
          </w:tcPr>
          <w:p>
            <w:pPr>
              <w:spacing w:after="0"/>
              <w:rPr>
                <w:sz w:val="1"/>
                <w:szCs w:val="1"/>
                <w:color w:val="auto"/>
              </w:rPr>
            </w:pPr>
          </w:p>
        </w:tc>
      </w:tr>
      <w:tr>
        <w:trPr>
          <w:trHeight w:val="215"/>
        </w:trPr>
        <w:tc>
          <w:tcPr>
            <w:tcW w:w="2740" w:type="dxa"/>
            <w:vAlign w:val="bottom"/>
            <w:tcBorders>
              <w:lef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 for the leases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204"/>
        </w:trPr>
        <w:tc>
          <w:tcPr>
            <w:tcW w:w="2740" w:type="dxa"/>
            <w:vAlign w:val="bottom"/>
            <w:tcBorders>
              <w:bottom w:val="single" w:sz="8" w:color="CCEEFF"/>
            </w:tcBorders>
            <w:gridSpan w:val="4"/>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131,559</w:t>
            </w: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131,559</w:t>
            </w:r>
          </w:p>
        </w:tc>
        <w:tc>
          <w:tcPr>
            <w:tcW w:w="20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80" w:type="dxa"/>
            <w:vAlign w:val="bottom"/>
            <w:tcBorders>
              <w:left w:val="single" w:sz="8" w:color="CCEEFF"/>
              <w:bottom w:val="single" w:sz="8" w:color="auto"/>
            </w:tcBorders>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w w:val="98"/>
              </w:rPr>
              <w:t>Liabilities</w:t>
            </w:r>
          </w:p>
        </w:tc>
        <w:tc>
          <w:tcPr>
            <w:tcW w:w="206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740" w:type="dxa"/>
            <w:vAlign w:val="bottom"/>
            <w:gridSpan w:val="4"/>
          </w:tcPr>
          <w:p>
            <w:pPr>
              <w:ind w:left="140"/>
              <w:spacing w:after="0" w:line="160" w:lineRule="exact"/>
              <w:rPr>
                <w:sz w:val="20"/>
                <w:szCs w:val="20"/>
                <w:color w:val="auto"/>
              </w:rPr>
            </w:pPr>
            <w:r>
              <w:rPr>
                <w:rFonts w:ascii="Times New Roman" w:cs="Times New Roman" w:eastAsia="Times New Roman" w:hAnsi="Times New Roman"/>
                <w:sz w:val="16"/>
                <w:szCs w:val="16"/>
                <w:color w:val="auto"/>
              </w:rPr>
              <w:t>Acquisition-related contingent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200" w:type="dxa"/>
            <w:vAlign w:val="bottom"/>
          </w:tcPr>
          <w:p>
            <w:pPr>
              <w:spacing w:after="0"/>
              <w:rPr>
                <w:sz w:val="13"/>
                <w:szCs w:val="13"/>
                <w:color w:val="auto"/>
              </w:rPr>
            </w:pPr>
          </w:p>
        </w:tc>
        <w:tc>
          <w:tcPr>
            <w:tcW w:w="2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200" w:type="dxa"/>
            <w:vAlign w:val="bottom"/>
          </w:tcPr>
          <w:p>
            <w:pPr>
              <w:spacing w:after="0"/>
              <w:rPr>
                <w:sz w:val="13"/>
                <w:szCs w:val="13"/>
                <w:color w:val="auto"/>
              </w:rPr>
            </w:pPr>
          </w:p>
        </w:tc>
        <w:tc>
          <w:tcPr>
            <w:tcW w:w="18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6"/>
                <w:szCs w:val="16"/>
                <w:color w:val="auto"/>
              </w:rPr>
              <w:t>Acquisition-related</w:t>
            </w: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128"/>
        </w:trPr>
        <w:tc>
          <w:tcPr>
            <w:tcW w:w="27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color w:val="auto"/>
              </w:rPr>
              <w:t>consideration</w:t>
            </w:r>
          </w:p>
        </w:tc>
        <w:tc>
          <w:tcPr>
            <w:tcW w:w="18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74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transfers between Levels 1, 2 or 3 for the nine months ended September 30, 2026 and 2025.</w:t>
      </w:r>
    </w:p>
    <w:p>
      <w:pPr>
        <w:spacing w:after="0" w:line="218"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contingent consideration related to the Convergent Acquisition as discussed in Note 4, Business Combination, is dependent on the achievement of certain milestones and is payable in cash of up to $30 million and was valued at $23.5 million. The fair value of the contingent consideration related to the Convergent Acquisition will be remeasured to fair value at each reporting date until the contingent consideration is settled, with the corresponding changes included in general and administrative expense. As of September 30, 2026, the achievement of one of the milestones is forecasted to occur within the next 12 months. As a result, $6.4 million of the contingent consideration is included in short term liabilities at September 30, 2026.</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As of September 30, 2026 and December 31, 2025, the contingent consideration related to the acquisition of the exclusive global diagnostic license to the nCounter Analysis System was remeasured to $0.5 million and $1.6 million, respectively. For the three and nine months ended September 30, 2026, reversal of expense of $0.4 million and $1.1 million, respectively, was recorded, and for the three and nine months ended September 30, 2025, reversal of expense of zero and $1.0 million, respectively, was recorded. As of September 30, 2026, the achievement of one of the milestones is forecasted to occur within the next 12 months. As a result, $0.3 million of the contingent consideration is included in short term liabilities at September 30, 2026.</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fair value of contingent consideration includes inputs that are not observable in the market.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estimated fair value of the contingent consideration. As of September 30, 2026 and December 31, 2025, the Company calculated the estimated fair value of the milestones using the following significant unobservable inputs: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Value or Range (Weighted-Average)</w:t>
            </w:r>
          </w:p>
        </w:tc>
      </w:tr>
      <w:tr>
        <w:trPr>
          <w:trHeight w:val="210"/>
        </w:trPr>
        <w:tc>
          <w:tcPr>
            <w:tcW w:w="7420" w:type="dxa"/>
            <w:vAlign w:val="bottom"/>
            <w:gridSpan w:val="2"/>
          </w:tcPr>
          <w:p>
            <w:pPr>
              <w:ind w:left="300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7"/>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5.5% - 6.2% (5.5%)</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4.8%</w:t>
            </w:r>
          </w:p>
        </w:tc>
      </w:tr>
      <w:tr>
        <w:trPr>
          <w:trHeight w:val="208"/>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Probability of achievement</w:t>
            </w:r>
          </w:p>
        </w:tc>
        <w:tc>
          <w:tcPr>
            <w:tcW w:w="186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2% - 84% (83%)</w:t>
            </w:r>
          </w:p>
        </w:tc>
        <w:tc>
          <w:tcPr>
            <w:tcW w:w="100" w:type="dxa"/>
            <w:vAlign w:val="bottom"/>
          </w:tcPr>
          <w:p>
            <w:pPr>
              <w:spacing w:after="0"/>
              <w:rPr>
                <w:sz w:val="18"/>
                <w:szCs w:val="18"/>
                <w:color w:val="auto"/>
              </w:rPr>
            </w:pPr>
          </w:p>
        </w:tc>
        <w:tc>
          <w:tcPr>
            <w:tcW w:w="18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4% - 40% (34%)</w:t>
            </w:r>
          </w:p>
        </w:tc>
      </w:tr>
    </w:tbl>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 Held-to-Maturity</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Company's short-term investments consist of United States treasury securities and certificates of deposit with maturities, at the time of purchase, that were between three months and one year. Based upon the Company's intent and ability to hold its short-term investments to maturity, the Company classified these investments as held-to-maturity and recorded them at amortized cost. As of September 30, 2026 and December 31, 2025, the Company had the following short-term investments (in thousands of dollars):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120" w:type="dxa"/>
            <w:vAlign w:val="bottom"/>
          </w:tcPr>
          <w:p>
            <w:pPr>
              <w:spacing w:after="0"/>
              <w:rPr>
                <w:sz w:val="13"/>
                <w:szCs w:val="13"/>
                <w:color w:val="auto"/>
              </w:rPr>
            </w:pPr>
          </w:p>
        </w:tc>
        <w:tc>
          <w:tcPr>
            <w:tcW w:w="15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260" w:type="dxa"/>
            <w:vAlign w:val="bottom"/>
          </w:tcPr>
          <w:p>
            <w:pPr>
              <w:spacing w:after="0"/>
              <w:rPr>
                <w:sz w:val="13"/>
                <w:szCs w:val="13"/>
                <w:color w:val="auto"/>
              </w:rPr>
            </w:pPr>
          </w:p>
        </w:tc>
        <w:tc>
          <w:tcPr>
            <w:tcW w:w="1360" w:type="dxa"/>
            <w:vAlign w:val="bottom"/>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1"/>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Holding Gains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Holding Losses</w:t>
            </w: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bills</w:t>
            </w: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80,704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80,692</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89,949</w:t>
            </w:r>
          </w:p>
        </w:tc>
        <w:tc>
          <w:tcPr>
            <w:tcW w:w="0" w:type="dxa"/>
            <w:vAlign w:val="bottom"/>
          </w:tcPr>
          <w:p>
            <w:pPr>
              <w:spacing w:after="0"/>
              <w:rPr>
                <w:sz w:val="1"/>
                <w:szCs w:val="1"/>
                <w:color w:val="auto"/>
              </w:rPr>
            </w:pPr>
          </w:p>
        </w:tc>
      </w:tr>
      <w:tr>
        <w:trPr>
          <w:trHeight w:val="208"/>
        </w:trPr>
        <w:tc>
          <w:tcPr>
            <w:tcW w:w="4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short-term investments</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170,704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170,641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jc w:val="right"/>
              <w:ind w:right="12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120" w:type="dxa"/>
            <w:vAlign w:val="bottom"/>
          </w:tcPr>
          <w:p>
            <w:pPr>
              <w:spacing w:after="0"/>
              <w:rPr>
                <w:sz w:val="13"/>
                <w:szCs w:val="13"/>
                <w:color w:val="auto"/>
              </w:rPr>
            </w:pPr>
          </w:p>
        </w:tc>
        <w:tc>
          <w:tcPr>
            <w:tcW w:w="1760" w:type="dxa"/>
            <w:vAlign w:val="bottom"/>
            <w:gridSpan w:val="3"/>
          </w:tcPr>
          <w:p>
            <w:pPr>
              <w:jc w:val="center"/>
              <w:ind w:right="4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1360" w:type="dxa"/>
            <w:vAlign w:val="bottom"/>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1"/>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Holding Gains</w:t>
            </w:r>
          </w:p>
        </w:tc>
        <w:tc>
          <w:tcPr>
            <w:tcW w:w="120" w:type="dxa"/>
            <w:vAlign w:val="bottom"/>
          </w:tcPr>
          <w:p>
            <w:pPr>
              <w:spacing w:after="0"/>
              <w:rPr>
                <w:sz w:val="18"/>
                <w:szCs w:val="18"/>
                <w:color w:val="auto"/>
              </w:rPr>
            </w:pPr>
          </w:p>
        </w:tc>
        <w:tc>
          <w:tcPr>
            <w:tcW w:w="17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Holding Losses</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bills</w:t>
            </w: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Company leases office and laboratory facilities in the U.S., including in South San Francisco, San Diego and Morgan Hill, California and Austin, Texas, and, prior to August 2025, in Marseille, France. Effective August 2025, in connection with the restructuring proceeding in Veracyte SAS, the Company is no longer a party to the lease in Marseille, France. The lease terms of the Company’s leases as of September 30, 2026 extend to March 2040 and contain extension of lease terms and expansion options. The leases have a weighted average remaining lease term of 10.6 years as of September 30, 2026. The Company had deposits of $1.6 million included in long-term assets as of both September 30, 2026 and December 31, 2025 restricted from withdrawal and held by banks in the form of collateral for irrevocable standby letters of credit held as security for the leases.</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Company determined its operating lease liabilities using payments through their current expiration dates and a weighted average discount rate of 11.4%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The Company classified its deferred rent for tenant improvements with its operating lease right-of-use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September 30, 2026 are as follows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0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2026</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7,321</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7,388</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6,858</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40,406</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70,733</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29,997</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Present value of future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40,736</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short-term lease liabilities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6,814</w:t>
            </w:r>
          </w:p>
        </w:tc>
      </w:tr>
      <w:tr>
        <w:trPr>
          <w:trHeight w:val="233"/>
        </w:trPr>
        <w:tc>
          <w:tcPr>
            <w:tcW w:w="9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33,922</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8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7"/>
        </w:trPr>
        <w:tc>
          <w:tcPr>
            <w:tcW w:w="44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6,274</w:t>
            </w:r>
          </w:p>
        </w:tc>
        <w:tc>
          <w:tcPr>
            <w:tcW w:w="0" w:type="dxa"/>
            <w:vAlign w:val="bottom"/>
          </w:tcPr>
          <w:p>
            <w:pPr>
              <w:spacing w:after="0"/>
              <w:rPr>
                <w:sz w:val="1"/>
                <w:szCs w:val="1"/>
                <w:color w:val="auto"/>
              </w:rPr>
            </w:pPr>
          </w:p>
        </w:tc>
      </w:tr>
      <w:tr>
        <w:trPr>
          <w:trHeight w:val="160"/>
        </w:trPr>
        <w:tc>
          <w:tcPr>
            <w:tcW w:w="44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Cash paid for amounts included in the measurement of lease</w:t>
            </w:r>
          </w:p>
        </w:tc>
        <w:tc>
          <w:tcPr>
            <w:tcW w:w="2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tcPr>
          <w:p>
            <w:pPr>
              <w:spacing w:after="0"/>
              <w:rPr>
                <w:sz w:val="13"/>
                <w:szCs w:val="13"/>
                <w:color w:val="auto"/>
              </w:rPr>
            </w:pPr>
          </w:p>
        </w:tc>
        <w:tc>
          <w:tcPr>
            <w:tcW w:w="34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80" w:type="dxa"/>
            <w:vAlign w:val="bottom"/>
          </w:tcPr>
          <w:p>
            <w:pPr>
              <w:spacing w:after="0"/>
              <w:rPr>
                <w:sz w:val="13"/>
                <w:szCs w:val="13"/>
                <w:color w:val="auto"/>
              </w:rPr>
            </w:pPr>
          </w:p>
        </w:tc>
        <w:tc>
          <w:tcPr>
            <w:tcW w:w="26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100" w:type="dxa"/>
            <w:vAlign w:val="bottom"/>
          </w:tcPr>
          <w:p>
            <w:pPr>
              <w:spacing w:after="0"/>
              <w:rPr>
                <w:sz w:val="13"/>
                <w:szCs w:val="13"/>
                <w:color w:val="auto"/>
              </w:rPr>
            </w:pPr>
          </w:p>
        </w:tc>
        <w:tc>
          <w:tcPr>
            <w:tcW w:w="360" w:type="dxa"/>
            <w:vAlign w:val="bottom"/>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5,620</w:t>
            </w:r>
          </w:p>
        </w:tc>
        <w:tc>
          <w:tcPr>
            <w:tcW w:w="0" w:type="dxa"/>
            <w:vAlign w:val="bottom"/>
          </w:tcPr>
          <w:p>
            <w:pPr>
              <w:spacing w:after="0"/>
              <w:rPr>
                <w:sz w:val="1"/>
                <w:szCs w:val="1"/>
                <w:color w:val="auto"/>
              </w:rPr>
            </w:pPr>
          </w:p>
        </w:tc>
      </w:tr>
      <w:tr>
        <w:trPr>
          <w:trHeight w:val="208"/>
        </w:trPr>
        <w:tc>
          <w:tcPr>
            <w:tcW w:w="4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liabilities</w:t>
            </w:r>
          </w:p>
        </w:tc>
        <w:tc>
          <w:tcPr>
            <w:tcW w:w="24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49"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and claims arising in the ordinary course of business. Although the outcomes of such matters cannot be predicted with certainty, the Company believes there is no litigation pending that could have, either individually or in the aggregate, a material adverse impact on the Company's consolidated financial statements.</w:t>
      </w:r>
    </w:p>
    <w:p>
      <w:pPr>
        <w:spacing w:after="0" w:line="202" w:lineRule="exact"/>
        <w:rPr>
          <w:sz w:val="20"/>
          <w:szCs w:val="20"/>
          <w:color w:val="auto"/>
        </w:rPr>
      </w:pPr>
    </w:p>
    <w:p>
      <w:pPr>
        <w:jc w:val="both"/>
        <w:ind w:firstLine="439"/>
        <w:spacing w:after="0" w:line="251" w:lineRule="auto"/>
        <w:rPr>
          <w:sz w:val="20"/>
          <w:szCs w:val="20"/>
          <w:color w:val="auto"/>
        </w:rPr>
      </w:pPr>
      <w:r>
        <w:rPr>
          <w:rFonts w:ascii="Times New Roman" w:cs="Times New Roman" w:eastAsia="Times New Roman" w:hAnsi="Times New Roman"/>
          <w:sz w:val="18"/>
          <w:szCs w:val="18"/>
          <w:color w:val="auto"/>
        </w:rPr>
        <w:t xml:space="preserve">On May 1, 2025, the Company filed a complaint in federal court in the Eastern District of Texas alleging that Sonic Healthcare USA, Inc., the healthcare company that is believed to offer ThyroSeq v3, is infringing three of the Company’s patents related to molecular testing of thyroid nodules. The complaint seeks treble damages, attorneys’ fees and costs as well as injunctive relief. On June 4, 2025, the Company filed an amended complaint asserting two additional patents. On July 21, 2025, Sonic Healthcare USA, Inc. filed an answer and a motion to dismiss. The court denied Sonic Healthcare USA, Inc.’s motion to dismiss on January 20, 2026. The parties attended the claim construction hearing on July 15, 2026. On July 21, 2026 and October 22, 2026,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 </w:t>
      </w:r>
      <w:r>
        <w:rPr>
          <w:rFonts w:ascii="Times New Roman" w:cs="Times New Roman" w:eastAsia="Times New Roman" w:hAnsi="Times New Roman"/>
          <w:sz w:val="18"/>
          <w:szCs w:val="18"/>
          <w:color w:val="auto"/>
        </w:rPr>
        <w:t>reexaminations of two of the asserted patents were granted by the United States Patent and Trademark Office. Both parties filed summary judgment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motions on October 26, 2026. The jury trial in the litigation is currently scheduled for the first quarter of next year.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issued and outstanding</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4,898,253</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4,806,993</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available for grant under stock option plans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13,115,413</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10,937,821</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available for the Employee Stock Purchase Plan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711,682</w:t>
            </w: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895,255</w:t>
            </w:r>
          </w:p>
        </w:tc>
      </w:tr>
      <w:tr>
        <w:trPr>
          <w:trHeight w:val="208"/>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18,725,348</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16,640,069</w:t>
            </w:r>
          </w:p>
        </w:tc>
      </w:tr>
      <w:tr>
        <w:trPr>
          <w:trHeight w:val="20"/>
        </w:trPr>
        <w:tc>
          <w:tcPr>
            <w:tcW w:w="7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Components of Other Income</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income, net consists of the following (in thousands of dollars):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346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6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4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8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9,181</w:t>
            </w: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escrow claims</w:t>
            </w:r>
          </w:p>
        </w:tc>
        <w:tc>
          <w:tcPr>
            <w:tcW w:w="10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deconsolidation of subsidiary</w:t>
            </w:r>
          </w:p>
        </w:tc>
        <w:tc>
          <w:tcPr>
            <w:tcW w:w="108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w:t>
            </w: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currency revaluation</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w:t>
            </w:r>
          </w:p>
        </w:tc>
      </w:tr>
      <w:tr>
        <w:trPr>
          <w:trHeight w:val="21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r>
      <w:tr>
        <w:trPr>
          <w:trHeight w:val="233"/>
        </w:trPr>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w:t>
      </w:r>
    </w:p>
    <w:p>
      <w:pPr>
        <w:spacing w:after="0" w:line="247" w:lineRule="exact"/>
        <w:rPr>
          <w:sz w:val="20"/>
          <w:szCs w:val="20"/>
          <w:color w:val="auto"/>
        </w:rPr>
      </w:pPr>
    </w:p>
    <w:p>
      <w:pPr>
        <w:jc w:val="both"/>
        <w:ind w:firstLine="439"/>
        <w:spacing w:after="0" w:line="265" w:lineRule="auto"/>
        <w:rPr>
          <w:sz w:val="20"/>
          <w:szCs w:val="20"/>
          <w:color w:val="auto"/>
        </w:rPr>
      </w:pPr>
      <w:r>
        <w:rPr>
          <w:rFonts w:ascii="Times New Roman" w:cs="Times New Roman" w:eastAsia="Times New Roman" w:hAnsi="Times New Roman"/>
          <w:sz w:val="17"/>
          <w:szCs w:val="17"/>
          <w:color w:val="auto"/>
        </w:rPr>
        <w:t>The chief operating decision maker for the Company is the Chief Executive Officer, who reviews financial information presented on a consolidated basis for purposes of allocating resources and assessing financial performance. The Company has a single reporting unit associated with the development and commercialization of diagnostic tests and biopharmaceutical services. The accounting policies of the Company's single segment are the same as those described in the summary of significant accounting policies in Note 1, Organization, Description of Business and Summary of Significant Accounting Policies. The chief operating decision maker assesses performance of the Company's single segment and decides how to allocate resources based on consolidated net income. Under the current organizational structure, this measure is not discretely available or required individually for any of the Company’s business activities and is only available at the consolidated level. The monitoring of budgeted versus actual results are used in assessing performance of the Company's single segment, allocating resources and in establishing management’s compensation. The Company's chief operating decision maker intends for all revenue generating activities to rely on cross-functional activities across the consolidated entity in order to operate. No individual besides the chief operating decision maker has been tasked with reviewing discrete operating results of the business activities, nor is there any intent to bifurcate the overall business review process to produce discrete operating results specific to any of the Company's business activities. The measure of segment assets is reported on the consolidated balance sheet as total consolidated assets. Consolidated revenue does not include any inter-segment sales or transfers.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439"/>
        <w:spacing w:after="0" w:line="275" w:lineRule="auto"/>
        <w:rPr>
          <w:sz w:val="20"/>
          <w:szCs w:val="20"/>
          <w:color w:val="auto"/>
        </w:rPr>
      </w:pPr>
      <w:r>
        <w:rPr>
          <w:rFonts w:ascii="Times New Roman" w:cs="Times New Roman" w:eastAsia="Times New Roman" w:hAnsi="Times New Roman"/>
          <w:sz w:val="18"/>
          <w:szCs w:val="18"/>
          <w:color w:val="auto"/>
        </w:rPr>
        <w:t>Information about reported segment revenue, measures of segment profit or loss, significant segment expenses and reconciliation to income from operations was as follows (in thousands of dollars):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360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6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2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1020" w:type="dxa"/>
            <w:vAlign w:val="bottom"/>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146,419</w:t>
            </w:r>
          </w:p>
        </w:tc>
        <w:tc>
          <w:tcPr>
            <w:tcW w:w="16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127,756</w:t>
            </w:r>
          </w:p>
        </w:tc>
        <w:tc>
          <w:tcPr>
            <w:tcW w:w="16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427,171</w:t>
            </w:r>
          </w:p>
        </w:tc>
        <w:tc>
          <w:tcPr>
            <w:tcW w:w="8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357,328</w:t>
            </w:r>
          </w:p>
        </w:tc>
      </w:tr>
      <w:tr>
        <w:trPr>
          <w:trHeight w:val="215"/>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10,479</w:t>
            </w:r>
          </w:p>
        </w:tc>
      </w:tr>
      <w:tr>
        <w:trPr>
          <w:trHeight w:val="21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8,702</w:t>
            </w:r>
          </w:p>
        </w:tc>
      </w:tr>
      <w:tr>
        <w:trPr>
          <w:trHeight w:val="208"/>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151,754</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131,872</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441,146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376,509</w:t>
            </w:r>
          </w:p>
        </w:tc>
      </w:tr>
      <w:tr>
        <w:trPr>
          <w:trHeight w:val="19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Laboratory supplies and reagents expense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43,134</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Sample collection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9,398</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17,906</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cost of testing revenue (1)</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14,017</w:t>
            </w:r>
          </w:p>
        </w:tc>
      </w:tr>
      <w:tr>
        <w:trPr>
          <w:trHeight w:val="210"/>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9,989</w:t>
            </w:r>
          </w:p>
        </w:tc>
      </w:tr>
      <w:tr>
        <w:trPr>
          <w:trHeight w:val="208"/>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 of testing revenue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38,477</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33,777</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108,092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94,444</w:t>
            </w:r>
          </w:p>
        </w:tc>
      </w:tr>
      <w:tr>
        <w:trPr>
          <w:trHeight w:val="19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Product costs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cost of product revenue (2)</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r>
      <w:tr>
        <w:trPr>
          <w:trHeight w:val="210"/>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208"/>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 of product revenue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6,186</w:t>
            </w:r>
          </w:p>
        </w:tc>
      </w:tr>
      <w:tr>
        <w:trPr>
          <w:trHeight w:val="19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cost of biopharmaceutical and other revenue (3)</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3,118</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r>
      <w:tr>
        <w:trPr>
          <w:trHeight w:val="204"/>
        </w:trPr>
        <w:tc>
          <w:tcPr>
            <w:tcW w:w="4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cost of biopharmaceutical and other revenue</w:t>
            </w:r>
          </w:p>
        </w:tc>
        <w:tc>
          <w:tcPr>
            <w:tcW w:w="10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6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7,361</w:t>
            </w:r>
          </w:p>
        </w:tc>
      </w:tr>
      <w:tr>
        <w:trPr>
          <w:trHeight w:val="208"/>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7,959</w:t>
            </w:r>
          </w:p>
        </w:tc>
      </w:tr>
      <w:tr>
        <w:trPr>
          <w:trHeight w:val="204"/>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107,104</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91,282</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316,812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260,559</w:t>
            </w:r>
          </w:p>
        </w:tc>
      </w:tr>
      <w:tr>
        <w:trPr>
          <w:trHeight w:val="19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27,840</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 research and development expense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10,946</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research and development expenses (4)</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5,278</w:t>
            </w:r>
          </w:p>
        </w:tc>
      </w:tr>
      <w:tr>
        <w:trPr>
          <w:trHeight w:val="210"/>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5,901</w:t>
            </w:r>
          </w:p>
        </w:tc>
      </w:tr>
      <w:tr>
        <w:trPr>
          <w:trHeight w:val="208"/>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research and development</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32,159</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15,981</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88,699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49,965</w:t>
            </w:r>
          </w:p>
        </w:tc>
      </w:tr>
      <w:tr>
        <w:trPr>
          <w:trHeight w:val="19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52,214</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 marketing expense</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3,564</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selling and marketing expenses (5)</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10,880</w:t>
            </w:r>
          </w:p>
        </w:tc>
      </w:tr>
      <w:tr>
        <w:trPr>
          <w:trHeight w:val="210"/>
        </w:trPr>
        <w:tc>
          <w:tcPr>
            <w:tcW w:w="4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7,567</w:t>
            </w:r>
          </w:p>
        </w:tc>
      </w:tr>
      <w:tr>
        <w:trPr>
          <w:trHeight w:val="208"/>
        </w:trPr>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selling and marketing</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28,652</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24,455</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84,071</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74,225</w:t>
            </w:r>
          </w:p>
        </w:tc>
      </w:tr>
      <w:tr>
        <w:trPr>
          <w:trHeight w:val="19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54,324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62,121</w:t>
            </w:r>
          </w:p>
        </w:tc>
      </w:tr>
      <w:tr>
        <w:trPr>
          <w:trHeight w:val="210"/>
        </w:trPr>
        <w:tc>
          <w:tcPr>
            <w:tcW w:w="4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general and administrative expenses (6)</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56,132</w:t>
            </w:r>
          </w:p>
        </w:tc>
      </w:tr>
      <w:tr>
        <w:trPr>
          <w:trHeight w:val="215"/>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(6,645)</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(7,918)</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(24,836)</w:t>
            </w:r>
          </w:p>
        </w:tc>
      </w:tr>
      <w:tr>
        <w:trPr>
          <w:trHeight w:val="204"/>
        </w:trPr>
        <w:tc>
          <w:tcPr>
            <w:tcW w:w="4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general and administrative</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29,302</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27,278</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80,425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93,417</w:t>
            </w:r>
          </w:p>
        </w:tc>
      </w:tr>
      <w:tr>
        <w:trPr>
          <w:trHeight w:val="208"/>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assets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20,505</w:t>
            </w:r>
          </w:p>
        </w:tc>
      </w:tr>
      <w:tr>
        <w:trPr>
          <w:trHeight w:val="210"/>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w:t>
            </w:r>
          </w:p>
        </w:tc>
      </w:tr>
      <w:tr>
        <w:trPr>
          <w:trHeight w:val="215"/>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loss, net</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w:t>
            </w:r>
          </w:p>
        </w:tc>
      </w:tr>
      <w:tr>
        <w:trPr>
          <w:trHeight w:val="21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(10,381)</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2,363</w:t>
            </w:r>
          </w:p>
        </w:tc>
      </w:tr>
      <w:tr>
        <w:trPr>
          <w:trHeight w:val="233"/>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31,503</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85,700</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241" w:lineRule="exact"/>
        <w:rPr>
          <w:sz w:val="20"/>
          <w:szCs w:val="20"/>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testing revenue includes cytopathology services, depreciation and amortization and other expenses.</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product revenue includes contract manufacturing fees, license fees and royalties, depreciation and amortization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biopharmaceutical and other revenue includes professional fees, information technology expense, depreciation and amortization and other expenses.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expenses include depreciation and amortization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and marketing expenses include travel, entertainment, conference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line="253" w:lineRule="auto"/>
        <w:tabs>
          <w:tab w:leader="none" w:pos="63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and administrative expenses include professional fees, information technology expense, occupancy costs, depreciation and amortization, contingent consideration and other expenses.</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280" w:hanging="274"/>
        <w:spacing w:after="0"/>
        <w:tabs>
          <w:tab w:leader="none" w:pos="2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47" w:lineRule="exact"/>
        <w:rPr>
          <w:sz w:val="20"/>
          <w:szCs w:val="20"/>
          <w:color w:val="auto"/>
        </w:rPr>
      </w:pPr>
    </w:p>
    <w:p>
      <w:pPr>
        <w:jc w:val="both"/>
        <w:ind w:firstLine="399"/>
        <w:spacing w:after="0" w:line="215" w:lineRule="exact"/>
        <w:rPr>
          <w:sz w:val="20"/>
          <w:szCs w:val="20"/>
          <w:color w:val="auto"/>
        </w:rPr>
      </w:pPr>
      <w:r>
        <w:rPr>
          <w:rFonts w:ascii="Times New Roman" w:cs="Times New Roman" w:eastAsia="Times New Roman" w:hAnsi="Times New Roman"/>
          <w:sz w:val="18"/>
          <w:szCs w:val="18"/>
          <w:color w:val="auto"/>
        </w:rPr>
        <w:t>The provision (benefit) for income taxes is based on the current estimate of the annual effective tax rate applied to the Company’s year to date income and is adjusted for discrete items recorded in the period. For the three months ended September 30, 2026 and 2025, the Company’s effective tax rate was (49.2)% and (1.3)%, respectively. For the nine months ended September 30, 2026 and 2025, the Company’s effective tax rate was (10.4)% and 8.6%, respectively. For the nine months ended September 30, 2026, the primary difference between the effective tax rate and the federal statutory rate is primarily attributable to the release of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existing valuation allowance on the Company's federal and state deferred tax assets. For the nine months ended September 30, 2025, the primary difference between the effective tax rate and the federal statutory rate is driven by unfavorable permanent differences, offset by benefits from the One Big Beautiful Bill Act, or the OBBBA, and the full valuation allowance the Company has established on its federal, state and foreign net operating losses and credits.</w:t>
      </w:r>
    </w:p>
    <w:p>
      <w:pPr>
        <w:spacing w:after="0" w:line="33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Company recorded income tax benefit of $10.4 million and $0.2 million for the three months ended September 30, 2026 and 2025, respectively, and recorded income tax benefit of $8.1 million and expense of $2.4 million for the nine months ended September 30, 2026 and 2025, respectively. The benefit for income taxes recorded in the nine months ended September 30, 2026 consists primarily of a discrete income tax benefit related to the release of certain valuation allowances on the Company's deferred tax assets upon recording of the deferred tax liabilities for the acquisition of Convergent. The provision for income taxes recorded in the nine months ended September 30, 2025 consists primarily of federal, state and foreign income taxes incurred by a subsidiary associated with the Company’s Decipher product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8"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the related notes and other financial information included elsewhere in this Quarterly Report on Form 10-Q and with our audited consolidated financial statements and the notes thereto included in our Annual Report on Form 10-K for the year ended December 31, 2025, or our Annual Report.</w:t>
      </w:r>
    </w:p>
    <w:p>
      <w:pPr>
        <w:spacing w:after="0" w:line="204"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18"/>
          <w:szCs w:val="18"/>
          <w:i w:val="1"/>
          <w:iCs w:val="1"/>
          <w:color w:val="auto"/>
        </w:rPr>
        <w:t>As discussed in the section titled “Special Note Regarding Forward-Looking Statements,” the following discussion and analysis contains forward-looking statements that involve risks and uncertainties. Our actual results and the timing of selected events could differ materially from those discussed below. Factors that could cause or contribute to such differences include, but are not limited to, those identified below and those set forth herein under the heading “Special Note Regarding Forward-Looking Statements” and in the section titled “Risk Factors” under Part II, Item 1A of this report and under Part I, Item 1A of our Annual Report. Historical results are not necessarily indicative of future results.</w:t>
      </w:r>
    </w:p>
    <w:p>
      <w:pPr>
        <w:spacing w:after="0" w:line="21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When used in this report, all references to "Veracyte," the "company," "we," "our" and "us" refer to Veracyte, Inc., together with its consolidated subsidiaries, unless otherwise noted.</w:t>
      </w:r>
    </w:p>
    <w:p>
      <w:pPr>
        <w:spacing w:after="0" w:line="58"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following is a non-exhaustive list of Veracyte and its affiliates’ trademarks and/or registered trademarks in the United States and certain other countries: Afirma, Decipher, Envisia, GenomeDx, GRID, Percepta, Prosigna, TrueMRD, UroAmp, Veracyte, and the Veracyte logo. nCounter is the registered trademark of Bruker Spatial Biology, Inc. and used by Veracyte under license.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We are a global diagnostics company whose mission is to transform cancer care for patients all over the world. We do that by empowering clinicians with the high-value insights they need to guide and assure patients at pivotal moments along their cancer journey. Our high-performing tests enable clinicians to make more confident diagnostic, prognostic and predictive treatment decisions, as well as to detect disease recurrence. Insights from our tests help patients avoid unnecessary procedures and interventions and accelerate time to appropriate treatment, thereby improving outcomes and personalizing care decisions.</w:t>
      </w:r>
    </w:p>
    <w:p>
      <w:pPr>
        <w:spacing w:after="0" w:line="58"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serve global markets with two complementary models. In the United States, we offer laboratory developed tests, or LDTs, through our centralized CLIA certified laboratories in South San Francisco and San Diego, California, supported by our cytopathology lab in Austin, Texas. Additionally, outside of the United States, we provide in vitro diagnostic, or IVD, tests to patients through diagnostic kits sold to laboratories and hospitals that can perform the tests locally. Our international distribution of IVDs is focused on breast cancer with our Prosigna Breast Cancer Assay kits. In the United States, we currently offer tests in prostate cancer (Decipher Prostate), thyroid cancer (Afirma), breast cancer (Prosigna) and bladder cancer (Decipher Bladder and TrueMRD for MIBC).</w:t>
      </w:r>
    </w:p>
    <w:p>
      <w:pPr>
        <w:spacing w:after="0" w:line="79"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September 2026, we acquired Convergent Genomics, Inc., or Convergent, which added Convergent's UroAmp platform, including its proprietary urinary tumor DNA, or utDNA, technology, to our development portfolio.</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believe our broad menu of advanced diagnostic tests, combined with our ability to deliver them globally, differentiates us in the diagnostics industry.</w:t>
      </w:r>
    </w:p>
    <w:p>
      <w:pPr>
        <w:spacing w:after="0" w:line="12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are also aiming to further expand our role across the cancer continuum by extending the use of our TrueMRD test into new indications. This will broaden the use of our portfolio of tests from prognosis and prediction to monitoring the success of a therapeutic or surgical intervention. In this way, across the cancer continuum, we can support the determination of the best course of action for each patient.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Factors</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Recent macroeconomic factors, such as interest rate fluctuations and inflation in the United States and other markets, evolving international trade policies and government actions relating to tariffs, as well as volatility in the global banking and finance systems, geopolitical challenges and other measures that restrict international trade, have resulted in volatility in the capital and credit markets globally. Moreover, the continued fluctuation and reduced valuation of the U.S. dollar compared to other currencies has impacted and may continue to impact our results of operations. We intend to continue to monitor macroeconomic conditions closely and may determine to take certain financial or operational actions in response to such conditions as appropriate. In addition, macroeconomic effects of regional conflicts like those in the Middle East and between Russia and Ukraine may adversely impact our business and operating results. Finally, the ongoing conflict in the Middle East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and related political, military and security conditions in and around Israel may disrupt our Israel business operations and employees that we acquired through our acquisition of 100% of the outstanding equity interests of C2i.</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extent of the impact of macroeconomic factors on our future liquidity and operational performance will depend on future developments and their impact on our customers' operations and our sales and renewal cycles. We may also be adversely affected by further changes in central bank policies and fluctuations in interest rates, rates of inflation, and changes in foreign currency exchange rates. See "Risk Factors" for further discussion.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Total Test Volume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performance currently depends on the number of tests that we perform and report as completed in our CLIA-certified laboratories and the number of tests purchased by our customers, which we refer to as our reported total test volume. Factors impacting our reported total test volume include, but are not limited to:</w:t>
      </w:r>
    </w:p>
    <w:p>
      <w:pPr>
        <w:spacing w:after="0" w:line="176" w:lineRule="exact"/>
        <w:rPr>
          <w:sz w:val="20"/>
          <w:szCs w:val="20"/>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samples that we receive that meet the medical indication for each test performed;</w:t>
      </w:r>
    </w:p>
    <w:p>
      <w:pPr>
        <w:spacing w:after="0" w:line="2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quality of the sample received;</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necessary documentation, such as physician order and patient consent, required to perform, bill and collect for our tests;</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ability to pay or provide necessary insurance coverage for the tests performed;</w:t>
      </w:r>
    </w:p>
    <w:p>
      <w:pPr>
        <w:spacing w:after="0" w:line="5"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us or our customers to perform our tests and report the results, including as a result of supply chain challenges (including quality and supply of single-source reagents and consumables);</w:t>
      </w:r>
    </w:p>
    <w:p>
      <w:pPr>
        <w:spacing w:after="0" w:line="1"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inherent in our business, such as the impact of workdays per period, weather-related disruptions, timing of industry conferences and timing of when patient deductibles are exceeded, which also impacts the reimbursement we receive from insurers;</w:t>
      </w:r>
    </w:p>
    <w:p>
      <w:pPr>
        <w:spacing w:after="0" w:line="1"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 test kits, including as a result of higher average selling prices and overall spending constraints across our industry; and</w:t>
      </w:r>
    </w:p>
    <w:p>
      <w:pPr>
        <w:spacing w:after="0" w:line="1" w:lineRule="exact"/>
        <w:rPr>
          <w:rFonts w:ascii="Times New Roman" w:cs="Times New Roman" w:eastAsia="Times New Roman" w:hAnsi="Times New Roman"/>
          <w:sz w:val="18"/>
          <w:szCs w:val="18"/>
          <w:color w:val="auto"/>
        </w:rPr>
      </w:pPr>
    </w:p>
    <w:p>
      <w:pPr>
        <w:ind w:left="960" w:hanging="315"/>
        <w:spacing w:after="0" w:line="253"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prior authorization or meet other requirements instituted by payers, benefit managers, or regulators necessary to be paid for our tests.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our Products</w:t>
      </w:r>
    </w:p>
    <w:p>
      <w:pPr>
        <w:spacing w:after="0" w:line="222"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Revenue growth depends on our ability to secure coverage decisions, achieve broader reimbursement from third-party payers, obtain prior authorization,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w:t>
      </w:r>
    </w:p>
    <w:p>
      <w:pPr>
        <w:spacing w:after="0" w:line="191"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Our sales teams are aligned under our general manager-based structure to focus on specific products and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requiring prior authorization, reduction of the payer portion of reimbursement and employing laboratory benefit managers to reduce utilization rates. Revenue growth also depends on our ability to secure reimbursement from government payers at a reimbursement rate that is consistent with past reimbursement rates. Changes or implementation of government regulations or reimbursement policies, including under the Protecting Access to Medicare Act of 2014, or PAMA, could result in lower reimbursement rates for our tests. Any such reductions could negatively affect our revenues and margins.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Integrating Acquisitions</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Revenue growth, operational results and advances to our test offering strategy depend on our ability to integrate any acquisitions into our existing business and effectively scale their operations. The integration of acquired assets and other strategic transactions that we may pursue may impact our revenue growth, increase the cost of operations or may require management resources that otherwise would be available for ongoing development of our existing business.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Product Development</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 significant aspect of our business is our investment in development activities, including activities related to the development of new tests, such as the development of our TrueMRD platform in additional indications and UroAmp, as well as modifications and enhancements to our current tests, including Decipher Prostate. In addition to these development activities, we also perform clinical evidence studies which are critical to gaining clinician adoption of our tests, driving favorable coverage decisions by payers, as well as gaining guideline inclusion for such tests.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provisions of the Financial Accounting Standards Board, or FASB, Accounting Standards Codification, or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4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generally bill for testing services at the time of test completion, upon delivery of a patient report to the prescribing physician. We recognize revenue based on estimates of the cash amount that will ultimately be collected.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 Upon ultimate collection, the amount received is compared to previous estimates and the amount accrued is adjusted accordingly.</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 Our ability to increase our testing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85"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not positively impact accrued revenue. In addition, payer contracts generally include the right of offset and payers may offset payments prior to resolving disputes over tests performed.</w:t>
      </w:r>
    </w:p>
    <w:p>
      <w:pPr>
        <w:spacing w:after="0" w:line="16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Generally, we determine accrual rates by calculating an average of reimbursement from all payers for tests performed over a four-quarter period as it reduces the effects of temporary volatility and seasonality. The periods selected to determine accrual rates typically are at least six months old because it takes a significant period of time to collect from some payers. We may also determine accrual rates based on other factors such as coverage decisions, contracts, or more recent reimbursement data as appropriate.</w:t>
      </w:r>
    </w:p>
    <w:p>
      <w:pPr>
        <w:spacing w:after="0" w:line="18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7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20"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Our product revenue consists primarily of international sales of the Prosigna breast cancer IVD and related diagnostic kits, and services.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 authorities.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Through September 30, 2026, we derived the majority of our revenue as testing revenue from the sale of Decipher Prostate and Afirma tests,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 for the periods presented:</w:t>
      </w:r>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360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8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02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10"/>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31"/>
        </w:trPr>
        <w:tc>
          <w:tcPr>
            <w:tcW w:w="40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In the above table, Medicare Advantage plans are included with their associated private payer amounts and Medicare amounts do not include Medicare Advantage.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 components of our cost of testing revenue are sample collection kit costs, reagent expenses, compensation expense, license fees and royalties, depreciation, customer service, other expenses such as equipment and laboratory supplies, and allocations of facility and information technology expenses. We expect cost of testing revenue in absolute dollars to increase as the number of tests we perform increases. However, we expect that the cost per test will decrease over time due to leveraging fixed costs, efficiencies we may gain as test volume increases and process enhancements such as automation, implementation of new technologies and other cost reductions. As we introduce new tests, initially our cost per test will be high as we expect to run suboptimal batch sizes, quality control batches, test batches, registry samples, and generally incur costs that may suppress or reduce gross margins. This will disproportionately increase our aggregate cost of testing revenue until we achieve processing efficiencies.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Our cost of product revenue consists primarily of costs of diagnostic kit components and reagents, labor, delivery costs and royalties for licensed technologies included in our products. Subsequent to the restructuring proceedings affecting Veracyte SAS in August 2025, the costs of diagnostic kit components and reagents and labor costs are paid to a third-party contract manufacturer. As our Prosigna test kits are sold in various configurations with different numbers of tests, our product cost per test will continue to vary based on the specific kit configuration purchased by customers.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 - Cost of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3 to 15 years, using the straight-line method. Intangible asset amortization - cost of revenue includes amortization of finite-lived intangible assets related to developed and product technology utilized in our current product and service offerings and customer backlog.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primarily include compensation expense, direct research and development expenses such as laboratory supplies and costs associated with setting up and conducting clinical studies at domestic and international sites, software development expenses, professional fees, depreciation and amortization, other miscellaneous expenses and allocation of facility and information technology expenses. Further, research and development expenses include costs to collect clinical samples and conduct clinical studies to develop and support our products and pipeline, as well as develop future technology. We expense all research and development costs in the periods in which they are incurred. We incurred a majority of our research and development expenses in the nine months ended September 30, 2026 and the year ended December 31, 2025 in support of the development and validation of additional TrueMRD indications, enhancements to our current tests, the development of new IVD products and discovery. Going forward, we expect to incur significant expense as we invest in the continued development of our innovation engine.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Selling and marketing expenses consist of compensation expenses, direct marketing expenses, professional fees, other expenses such as travel and communications costs, as well as allocation of facility and information technology expenses. Our sales team of approximately 142 representatives is organized by business unit in the U.S., with separate teams calling on thyroid cancer physicians, urologic cancer physicians and breast medical oncologists. The business units have dedicated marketing support, as well as a marketing operations team that serves the commercial organization broadly. Prosigna sales outside of the U.S. are led by country managers and sales teams that call on laboratories and breast cancer oncologists.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include compensation expenses for executive officers and administrative, billing personnel, professional fees for legal and audit services, including costs related to acquisitions, occupancy costs, depreciation and amortization, and other expenses such as information technology, acquisition related costs and miscellaneous expenses, offset by allocation of facility and information technology expenses to other functions. We expect general and administrative expenses to continue to increase in absolute terms as we build our infrastructure to scale revenue growth while declining as a percentage of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 - Operating Expenses</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5 to 15 years, using the straight-line method. Intangible asset amortization - operating expenses includes amortization of finite-lived intangible assets related to developed technology utilized in the development of future product and service offerings, trade names and customer relationships.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Other income (loss), net consists primarily of interest income from our cash held in interest bearing accounts and our short-term investments, realized and unrealized gains and losses on foreign currency transactions, settlement of escrow claims, loss on the deconsolidation of Veracyte SAS and, prior to the restructuring proceedings affecting Veracyte SAS in August 2025, French tax credits.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2026 and 2025 (in thousands of dollars, except percentages and test volume):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10"/>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8"/>
                <w:szCs w:val="18"/>
                <w:color w:val="auto"/>
              </w:rPr>
            </w:pPr>
          </w:p>
        </w:tc>
        <w:tc>
          <w:tcPr>
            <w:tcW w:w="2900" w:type="dxa"/>
            <w:vAlign w:val="bottom"/>
            <w:gridSpan w:val="9"/>
          </w:tcPr>
          <w:p>
            <w:pPr>
              <w:ind w:left="520"/>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c>
          <w:tcPr>
            <w:tcW w:w="680" w:type="dxa"/>
            <w:vAlign w:val="bottom"/>
          </w:tcPr>
          <w:p>
            <w:pPr>
              <w:spacing w:after="0"/>
              <w:rPr>
                <w:sz w:val="18"/>
                <w:szCs w:val="18"/>
                <w:color w:val="auto"/>
              </w:rPr>
            </w:pPr>
          </w:p>
        </w:tc>
      </w:tr>
      <w:tr>
        <w:trPr>
          <w:trHeight w:val="207"/>
        </w:trPr>
        <w:tc>
          <w:tcPr>
            <w:tcW w:w="3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gridSpan w:val="2"/>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80" w:type="dxa"/>
            <w:vAlign w:val="bottom"/>
            <w:tcBorders>
              <w:top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194"/>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r>
      <w:tr>
        <w:trPr>
          <w:trHeight w:val="210"/>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146,419</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127,756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18,663</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427,171</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20%</w:t>
            </w:r>
          </w:p>
        </w:tc>
      </w:tr>
      <w:tr>
        <w:trPr>
          <w:trHeight w:val="215"/>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80" w:type="dxa"/>
            <w:vAlign w:val="bottom"/>
            <w:tcBorders>
              <w:bottom w:val="single" w:sz="8" w:color="CCEEFF"/>
            </w:tcBorders>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center"/>
              <w:ind w:right="80"/>
              <w:spacing w:after="0"/>
              <w:rPr>
                <w:sz w:val="20"/>
                <w:szCs w:val="20"/>
                <w:color w:val="auto"/>
              </w:rPr>
            </w:pPr>
            <w:r>
              <w:rPr>
                <w:rFonts w:ascii="Times New Roman" w:cs="Times New Roman" w:eastAsia="Times New Roman" w:hAnsi="Times New Roman"/>
                <w:sz w:val="16"/>
                <w:szCs w:val="16"/>
                <w:color w:val="auto"/>
                <w:w w:val="99"/>
              </w:rPr>
              <w:t>(79)%</w:t>
            </w:r>
          </w:p>
        </w:tc>
      </w:tr>
      <w:tr>
        <w:trPr>
          <w:trHeight w:val="208"/>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151,754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131,872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19,882</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441,146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17%</w:t>
            </w:r>
          </w:p>
        </w:tc>
      </w:tr>
      <w:tr>
        <w:trPr>
          <w:trHeight w:val="19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5"/>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8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16%</w:t>
            </w:r>
          </w:p>
        </w:tc>
      </w:tr>
      <w:tr>
        <w:trPr>
          <w:trHeight w:val="215"/>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8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(95)%</w:t>
            </w:r>
          </w:p>
        </w:tc>
      </w:tr>
      <w:tr>
        <w:trPr>
          <w:trHeight w:val="210"/>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880" w:type="dxa"/>
            <w:vAlign w:val="bottom"/>
            <w:tcBorders>
              <w:bottom w:val="single" w:sz="8" w:color="CCEEFF"/>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center"/>
              <w:ind w:right="100"/>
              <w:spacing w:after="0"/>
              <w:rPr>
                <w:sz w:val="20"/>
                <w:szCs w:val="20"/>
                <w:color w:val="auto"/>
              </w:rPr>
            </w:pPr>
            <w:r>
              <w:rPr>
                <w:rFonts w:ascii="Times New Roman" w:cs="Times New Roman" w:eastAsia="Times New Roman" w:hAnsi="Times New Roman"/>
                <w:sz w:val="16"/>
                <w:szCs w:val="16"/>
                <w:color w:val="auto"/>
              </w:rPr>
              <w:t>9%</w:t>
            </w:r>
          </w:p>
        </w:tc>
      </w:tr>
      <w:tr>
        <w:trPr>
          <w:trHeight w:val="208"/>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revenue</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124,334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7%</w:t>
            </w:r>
          </w:p>
        </w:tc>
      </w:tr>
      <w:tr>
        <w:trPr>
          <w:trHeight w:val="204"/>
        </w:trPr>
        <w:tc>
          <w:tcPr>
            <w:tcW w:w="3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107,104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91,282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15,822</w:t>
            </w:r>
          </w:p>
        </w:tc>
        <w:tc>
          <w:tcPr>
            <w:tcW w:w="880" w:type="dxa"/>
            <w:vAlign w:val="bottom"/>
            <w:tcBorders>
              <w:bottom w:val="single" w:sz="8" w:color="CCEEFF"/>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316,812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260,559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56,253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center"/>
              <w:ind w:right="100"/>
              <w:spacing w:after="0"/>
              <w:rPr>
                <w:sz w:val="20"/>
                <w:szCs w:val="20"/>
                <w:color w:val="auto"/>
              </w:rPr>
            </w:pPr>
            <w:r>
              <w:rPr>
                <w:rFonts w:ascii="Times New Roman" w:cs="Times New Roman" w:eastAsia="Times New Roman" w:hAnsi="Times New Roman"/>
                <w:sz w:val="16"/>
                <w:szCs w:val="16"/>
                <w:color w:val="auto"/>
              </w:rPr>
              <w:t>22%</w:t>
            </w:r>
          </w:p>
        </w:tc>
      </w:tr>
      <w:tr>
        <w:trPr>
          <w:trHeight w:val="19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10"/>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16,178</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78%</w:t>
            </w:r>
          </w:p>
        </w:tc>
      </w:tr>
      <w:tr>
        <w:trPr>
          <w:trHeight w:val="215"/>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13%</w:t>
            </w:r>
          </w:p>
        </w:tc>
      </w:tr>
      <w:tr>
        <w:trPr>
          <w:trHeight w:val="210"/>
        </w:trPr>
        <w:tc>
          <w:tcPr>
            <w:tcW w:w="3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9"/>
              </w:rPr>
              <w:t>(14)%</w:t>
            </w:r>
          </w:p>
        </w:tc>
      </w:tr>
      <w:tr>
        <w:trPr>
          <w:trHeight w:val="215"/>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assets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(100)%</w:t>
            </w:r>
          </w:p>
        </w:tc>
      </w:tr>
      <w:tr>
        <w:trPr>
          <w:trHeight w:val="210"/>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80" w:type="dxa"/>
            <w:vAlign w:val="bottom"/>
            <w:tcBorders>
              <w:bottom w:val="single" w:sz="8" w:color="CCEEFF"/>
            </w:tcBorders>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center"/>
              <w:ind w:right="80"/>
              <w:spacing w:after="0"/>
              <w:rPr>
                <w:sz w:val="20"/>
                <w:szCs w:val="20"/>
                <w:color w:val="auto"/>
              </w:rPr>
            </w:pPr>
            <w:r>
              <w:rPr>
                <w:rFonts w:ascii="Times New Roman" w:cs="Times New Roman" w:eastAsia="Times New Roman" w:hAnsi="Times New Roman"/>
                <w:sz w:val="16"/>
                <w:szCs w:val="16"/>
                <w:color w:val="auto"/>
                <w:w w:val="99"/>
              </w:rPr>
              <w:t>(24)%</w:t>
            </w:r>
          </w:p>
        </w:tc>
      </w:tr>
      <w:tr>
        <w:trPr>
          <w:trHeight w:val="208"/>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90,535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68,336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22,199</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239,977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6%</w:t>
            </w:r>
          </w:p>
        </w:tc>
      </w:tr>
      <w:tr>
        <w:trPr>
          <w:trHeight w:val="20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(6,377)</w:t>
            </w:r>
          </w:p>
        </w:tc>
        <w:tc>
          <w:tcPr>
            <w:tcW w:w="88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w w:val="99"/>
              </w:rPr>
              <w:t>(28)%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6"/>
              </w:rPr>
              <w:t>202%</w:t>
            </w:r>
          </w:p>
        </w:tc>
      </w:tr>
      <w:tr>
        <w:trPr>
          <w:trHeight w:val="21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(loss), net</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8,610</w:t>
            </w:r>
          </w:p>
        </w:tc>
        <w:tc>
          <w:tcPr>
            <w:tcW w:w="88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(212)%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6"/>
              </w:rPr>
              <w:t>121%</w:t>
            </w:r>
          </w:p>
        </w:tc>
      </w:tr>
      <w:tr>
        <w:trPr>
          <w:trHeight w:val="20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6"/>
              </w:rPr>
              <w:t>182%</w:t>
            </w:r>
          </w:p>
        </w:tc>
      </w:tr>
      <w:tr>
        <w:trPr>
          <w:trHeight w:val="21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4,086%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(442)%</w:t>
            </w:r>
          </w:p>
        </w:tc>
      </w:tr>
      <w:tr>
        <w:trPr>
          <w:trHeight w:val="20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12,366</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85,700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25,204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6"/>
              </w:rPr>
              <w:t>240%</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r>
      <w:tr>
        <w:trPr>
          <w:trHeight w:val="179"/>
        </w:trPr>
        <w:tc>
          <w:tcPr>
            <w:tcW w:w="37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Other Operating Data:</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Diagnostic tests reported</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5,819</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tests sold</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12%</w:t>
            </w:r>
          </w:p>
        </w:tc>
      </w:tr>
      <w:tr>
        <w:trPr>
          <w:trHeight w:val="20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test volume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52,744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45,888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6,856</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131,509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r>
      <w:tr>
        <w:trPr>
          <w:trHeight w:val="233"/>
        </w:trPr>
        <w:tc>
          <w:tcPr>
            <w:tcW w:w="3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5,980</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16,247</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ind w:right="100"/>
              <w:spacing w:after="0"/>
              <w:rPr>
                <w:sz w:val="20"/>
                <w:szCs w:val="20"/>
                <w:color w:val="auto"/>
              </w:rPr>
            </w:pPr>
            <w:r>
              <w:rPr>
                <w:rFonts w:ascii="Times New Roman" w:cs="Times New Roman" w:eastAsia="Times New Roman" w:hAnsi="Times New Roman"/>
                <w:sz w:val="16"/>
                <w:szCs w:val="16"/>
                <w:color w:val="auto"/>
              </w:rPr>
              <w:t>1%</w:t>
            </w:r>
          </w:p>
        </w:tc>
      </w:tr>
      <w:tr>
        <w:trPr>
          <w:trHeight w:val="21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w:t>
            </w:r>
          </w:p>
        </w:tc>
        <w:tc>
          <w:tcPr>
            <w:tcW w:w="88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25%</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Revenue increased $19.9 million for the three months ended September 30, 2026 compared to the same period in 2025. This was primarily due to a $18.7 million increase in testing revenue. The 15% growth in testing revenue was primarily driven by a 13% volume increase, improved average selling price, or ASP, and prior period collections, or PPCs.</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 xml:space="preserve">Revenue increased $64.6 million for the nine months ended September 30, 2026 compared to the same period in 2025. This was primarily due to a $69.8 million increase in testing revenue partially offset by a $6.9 million decrease in our biopharmaceutical and other revenue. The 20% growth in testing revenue was primarily driven by a 15% volume increase, as well as improved ASP and PPCs. The Biopharmaceutical and other revenue decrease was </w:t>
      </w:r>
      <w:r>
        <w:rPr>
          <w:rFonts w:ascii="Times New Roman" w:cs="Times New Roman" w:eastAsia="Times New Roman" w:hAnsi="Times New Roman"/>
          <w:sz w:val="18"/>
          <w:szCs w:val="18"/>
          <w:color w:val="231F20"/>
        </w:rPr>
        <w:t>due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discontinuation of biopharmaceutical services, contract manufacturing or contract development services previously conducted in France, following the restructuring proceedings affecting Veracyte SAS, as of August 2025.</w:t>
      </w:r>
    </w:p>
    <w:p>
      <w:pPr>
        <w:spacing w:after="0" w:line="199" w:lineRule="exact"/>
        <w:rPr>
          <w:sz w:val="20"/>
          <w:szCs w:val="20"/>
          <w:color w:val="auto"/>
        </w:rPr>
      </w:pPr>
    </w:p>
    <w:p>
      <w:pPr>
        <w:jc w:val="both"/>
        <w:ind w:firstLine="399"/>
        <w:spacing w:after="0" w:line="260" w:lineRule="auto"/>
        <w:rPr>
          <w:sz w:val="20"/>
          <w:szCs w:val="20"/>
          <w:color w:val="auto"/>
        </w:rPr>
      </w:pPr>
      <w:r>
        <w:rPr>
          <w:rFonts w:ascii="Times New Roman" w:cs="Times New Roman" w:eastAsia="Times New Roman" w:hAnsi="Times New Roman"/>
          <w:sz w:val="18"/>
          <w:szCs w:val="18"/>
          <w:color w:val="auto"/>
        </w:rPr>
        <w:t>Product revenue increased $1.3 million and $1.7 million for the three and nine months ended September 30, 2026, respectively, compared to the same periods in 2025.</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2026 and 2025 is as follows (in thousands of dollars, except percentages):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9"/>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9"/>
          </w:tcPr>
          <w:p>
            <w:pPr>
              <w:ind w:left="5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4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4"/>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testing revenue:</w:t>
            </w: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Laboratory supplies and reagents expense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14,807</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Sample collection expense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10"/>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Cytopathology services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10"/>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3"/>
        </w:trPr>
        <w:tc>
          <w:tcPr>
            <w:tcW w:w="3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108,092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Cost of product revenue: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costs</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0" w:type="dxa"/>
            <w:vAlign w:val="bottom"/>
          </w:tcPr>
          <w:p>
            <w:pPr>
              <w:spacing w:after="0"/>
              <w:rPr>
                <w:sz w:val="1"/>
                <w:szCs w:val="1"/>
                <w:color w:val="auto"/>
              </w:rPr>
            </w:pPr>
          </w:p>
        </w:tc>
      </w:tr>
      <w:tr>
        <w:trPr>
          <w:trHeight w:val="210"/>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0"/>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8"/>
        </w:trPr>
        <w:tc>
          <w:tcPr>
            <w:tcW w:w="3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3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0"/>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8"/>
        </w:trPr>
        <w:tc>
          <w:tcPr>
            <w:tcW w:w="3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Cost of testing revenue increased $4.7 million, or 14%, for the three months ended September 30, 2026 compared to the same period in 2025. The assignment of customer service expenses directly to cost of revenue contributed to $2.2 million of the increase. The remainder was due to increased volume in testing, higher staffing to support higher volume and new test launches, and the build out of infrastructure related to current and future growth expectations. These increases were partially offset by lab efficiencies and lower allocated expenses.</w:t>
      </w:r>
    </w:p>
    <w:p>
      <w:pPr>
        <w:spacing w:after="0" w:line="20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Cost of testing revenue increased $13.6 million, or 14%, for the nine months ended September 30, 2026 compared to the same period in 2025. The assignment of customer service expenses directly to cost of revenue contributed to $6.2 million of the increase. The remainder was due to increased volume in testing, higher staffing to support higher volume, and the build out of infrastructure related to current and future growth expectations. These increases were partially offset by lab efficiencies and lower allocated expenses.</w:t>
      </w:r>
    </w:p>
    <w:p>
      <w:pPr>
        <w:spacing w:after="0" w:line="20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Cost of product revenue decreased $0.2 million, or 8%, for the three months ended September 30, 2026 and increased $1.0 million, or 16%, for the nine months ended September 30, 2026 compared to the same periods in 2025. The decrease for the three months ended September 30, 2026 is related to start up costs associated with the transition to contract manufacturing for the Prosigna kits in August 2025. The increase for the nine months ended September 30, 2026 is primarily related to the transition to contract manufacturing.</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Cost of biopharmaceutical and other revenue includes labor costs, laboratory supplies and pass-through expenses incurred. Cost of biopharmaceutical and other revenue for the three and nine months ended September 30, 2026 decreased by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$0.9 million and $7.0 million, respectively, compared to the same periods in 2025, driven primarily by a continued decline in biopharmaceutical services, as well as contract development and manufacturing services projects as a result of the restructuring proceedings affecting Veracyte SAS that were underway throughout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Research and development expense increased $16.2 million, or 101%, for the three months ended September 30, 2026 compared to the same period in 2025. The increase was primarily due to a $6.5 million increase from the assignment of research and development related software expenses previously accounted for in general and administrative which had been partially allocated. This was due to these expenses now being fully dedicated to product development objectives. Compensation expense associated with added headcount and annual merit increases also increased as did spend supporting direct research and product development expense related to our ongoing development costs for our IVD and CLIA tests.</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Research and development expense increased $38.7 million, or 78%, for the nine months ended September 30, 2026 compared to the same period in 2025. The increase was primarily due to a $19.0 million increase from the assignment of research and development related software expenses previously accounted for in general and administrative which had been partially allocated. Spend supporting direct research and product development expense related to our ongoing development costs for our CLIA tests and MRD strategies increased but was partially offset by the impact of the deconsolidation of Veracyte SAS in August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Selling and marketing expense increased $4.2 million, or 17%, for the three months ended September 30, 2026 compared to the same period in 2025. The increase was primarily due to annual compensation increases and headcount additions. Direct marketing expense increased primarily due to expenses related to the launch of new tests and conference timing.</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Selling and marketing expense increased $9.8 million, or 13%, for the nine months ended September 30, 2026 compared to the same period in 2025. The increase was primarily due to annual merit increases and headcount additions. Direct marketing expense increased primarily due to website design costs and expenses related to the launch of Prosigna as an LDT.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 increased by $2.0 million for the three months ended September 30, 2026, compared to the same period in 2025. The results were impacted primarily by a $6.5 million decrease related to the assignment of software development expenses, previously included in General and administrative expense allocations, directly to research and development and the assignment of customer service expenses directly to cost of revenue. These decreases were offset by hiring across billing and support functions, higher professional fees associated with the acquisitions of Convergent and certain assets, and fewer allocations compared to the prior year.</w:t>
      </w:r>
    </w:p>
    <w:p>
      <w:pPr>
        <w:spacing w:after="0" w:line="21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General and administrative expense decreased by $13.0 million for the nine months ended September 30, 2026, compared to the same period in 2025. The results were impacted primarily by a $19.0 million decrease related to the assignment of software development expenses, previously included in General and administrative expense allocations, directly to research and development, the assignment of customer service expenses directly to cost of revenue, as well as a decline in professional fees related to lower legal, audit and tax fees. These decreases were offset by fewer allocations and reductions in the revaluation of contingent consideration related to the acquisition of C2i recognized in the prior year. General and administrative expenses related to occupancy costs and information technology costs, excluding software development, are allocated to general and administrative expense, selling and marketing expense, research and development expense, and cost of revenue based on the headcount and employee location.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Other income, net, increased $8.6 million for the three months ended September 30, 2026 compared to the same period in 2025, primarily due to a loss in 2025 of $6.7 million due to the deconsolidation of Veracyte SAS, an increase of $1.0 million from interest income and an increase of $0.9 million due to foreign currency revaluation.</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Other income, net, increased $8.4 million for the nine months ended September 30, 2026 compared to the same period in 2025, primarily due to a loss in 2025 of $6.7 million due to the deconsolidation of Veracyte SAS, the settlement of escrow claims of $4.2 million and an increase of $2.7 million from interest income, partially offset by a decrease of $4.3 million due to foreign currency revaluation.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recorded income tax benefit of $10.4 million and $0.2 million for the three months ended September 30, 2026 and 2025, respectively, and recorded income tax benefit of $8.1 million and expense of $2.4 million for the nine months ended September 30, 2026 and 2025, respectively. The benefit for income taxes recorded in the nine months ended September 30, 2026 consists primarily of a discrete income tax benefit related to the release of certain valuation allowances on the Company's deferred tax assets upon recording of the deferred tax liabilities for the acquisition of Convergent.</w:t>
      </w:r>
    </w:p>
    <w:p>
      <w:pPr>
        <w:spacing w:after="0" w:line="20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Given our current earnings, we believe that, within the next 12 months, sufficient positive evidence may become available to allow us to reach a conclusion that a portion of the valuation allowance recorded against the deferred tax assets held may be reversed. A reversal would result in an income tax benefit for the quarterly and annual period in which we determine to release the valuation allowance. However, the exact timing and amount of a valuation allowance release are subject to change on the basis of the level of profitability that we actually achieve.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 of September 30, 2026, we had cash and cash equivalents and short-term investments of $370.5 million. During the nine months ended September 30, 2026, our cash and cash equivalents and short-term investments decreased by $42.4 million. Historically, we have obtained financing primarily through sales of our equity securities. Beginning in 2023, our operations have been financed primarily by cash flows generated by our revenue. For the nine months ended September 30, 2026, we had net income of $85.7 million. As of September 30, 2026, we had an accumulated deficit of $291.9 million.</w:t>
      </w:r>
    </w:p>
    <w:p>
      <w:pPr>
        <w:spacing w:after="0" w:line="20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We expect to continue to generate cash and our near- and longer-term liquidity requirements will continue to consist of costs to run our laboratories, research and development expenses, selling and marketing expenses, general and administrative expenses, working capital, capital expenditures, lease obligations, potential milestones associated with the Convergent Acquisition, and general corporate expenses associated with the growth of our business. However, we may also use cash to acquire or invest in complementary businesses, technologies, services or products that would change our cash requirements. If we are not able to generate cash flows from our revenue to finance our cash requirements, we will need to finance future cash needs primarily through public or private equity offerings, debt financings, borrowings or strategic collaborations or licensing arrangements. If we are not able to secure additional financing when needed, or on terms that are favorable to us,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 Moreover, ongoing instability in the global credit markets or the banking system may impact our liquidity both in the short term and long term.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cash requirements include the following obligations: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lease office and laboratory facilities in the U.S., including in South San Francisco, San Diego and Morgan Hill, California and Austin, Texas. Effective August 2025, in connection with the restructuring proceeding in Veracyte SAS, we are no longer a party to the lease in Marseille, France. The lease terms of our leases as of September 30, 2026 extend to March 2040 and contain extension of lease term and expansion options. As of September 30, 2026, the leases have a weighted average remaining lease term of 10.6 years and total future minimum lease payments of $70.7 million.</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Pursuant to the Agreement and Plan of Merger, dated as of September 10, 2026, by and among the Company, Convergent, Compass Merger Sub, Inc. and Shareholder Representative Services LLC, or the Merger Agreement, we may be required to pay up to an additional $30.0 million in cash to Convergent securityholders upon the achievement of certain milestones. As of September 30, 2026, we expect to achieve a portion of the milestones contained in the Merger Agreement within the next 12 months, requiring payments totaling up to $10.0 million.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2026 and 2025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20" w:type="dxa"/>
            <w:vAlign w:val="bottom"/>
            <w:tcBorders>
              <w:bottom w:val="single" w:sz="8" w:color="auto"/>
            </w:tcBorders>
          </w:tcPr>
          <w:p>
            <w:pPr>
              <w:spacing w:after="0"/>
              <w:rPr>
                <w:sz w:val="18"/>
                <w:szCs w:val="18"/>
                <w:color w:val="auto"/>
              </w:rPr>
            </w:pPr>
          </w:p>
        </w:tc>
      </w:tr>
      <w:tr>
        <w:trPr>
          <w:trHeight w:val="207"/>
        </w:trPr>
        <w:tc>
          <w:tcPr>
            <w:tcW w:w="73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r>
      <w:tr>
        <w:trPr>
          <w:trHeight w:val="20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4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121,299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83,724</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(280,980)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8"/>
              </w:rPr>
              <w:t>(3,779)</w:t>
            </w: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8"/>
              </w:rPr>
              <w:t>(4,073)</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47"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17"/>
          <w:szCs w:val="17"/>
          <w:color w:val="auto"/>
        </w:rPr>
        <w:t>Cash provided by operating activities for the nine months ended September 30, 2026 was $121.3 million. Our net income of $85.7 million includes non-cash charges of $40.8 million of stock-based compensation expense, $16.2 million of depreciation and amortization, of which $10.1 million was related to intangible asset amortization, $11.6 million of release of valuation allowance on deferred tax assets, non-cash lease expense of $2.1 million, amortization of discount on short-term investments of $2.4 million, non-cash gains of $1.1 million from the revaluation of contingent consideration and loss of $0.4 million on the disposal of fixed assets. Cash used as a result of changes in operating assets and liabilities was $8.8 million, primarily composed of an increase in accounts receivable of $12.0 million, an increase in prepaid expenses and other current assets of $4.1 million and an increase in supplies of $3.4 million, partially offset by an increase in accounts payable of $5.5 million and an increase in accrued liabilities and deferred revenue of $5.5 million.</w:t>
      </w:r>
    </w:p>
    <w:p>
      <w:pPr>
        <w:spacing w:after="0" w:line="174"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17"/>
          <w:szCs w:val="17"/>
          <w:color w:val="auto"/>
        </w:rPr>
        <w:t>Cash provided by operating activities for the nine months ended September 30, 2025 was $83.7 million. Our net income of $25.2 million includes non-cash charges of $32.7 million of stock-based compensation expense, $16.1 million of depreciation and amortization, of which $9.8 million was related to intangible asset amortization, $20.5 million tied to the impairment of assets, $3.9 million loss on the deconsolidation of Veracyte SAS, non-cash lease expense of $2.3 million, non-cash gains of $2.7 million from the revaluation of contingent consideration, $3.8 million from the effect of foreign currency changes on operations and amortization of discount on short-term investments of $2.6 million. Cash used as a result of changes in operating assets and liabilities was $7.8 million, primarily composed of an increase in prepaid expenses and other current assets of $6.4 million, an increase in accounts receivable of $3.9 million, an increase in supplies and inventory of $2.6 million, a decrease in operating lease liabilities of $1.7 million, and a decrease in accounts payable of $0.5 million, partially offset by an increase in accrued liabilities and deferred revenue of $7.0 million and a decrease in other assets of $0.3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2026 was $281.0 million, primarily consisting of business acquisitions for $153.2 million, the purchase of $118.0 million of short-term investments, and $8.2 million used in the purchase of property, plant and equipment.</w:t>
      </w:r>
    </w:p>
    <w:p>
      <w:pPr>
        <w:spacing w:after="0" w:line="19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2025 was $3.8 million, consisting of $5.9 million used in the purchase of property, plant and equipment, partially offset by net proceeds of $2.1 million from the purchase and maturity of short-term investments.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September 30, 2026 was $3.0 million, consisting of $17.5 million in tax payments during the period related to the vesting of restricted stock units granted to employees, partially offset by $14.5 million in proceeds from the exercise of options to purchase our common stock and the purchase of stock under our Employee Stock Purchase Plan, or ESPP.</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September 30, 2025 was $4.1 million, consisting of $14.6 million in tax payments during the period related to the vesting of restricted stock units granted to employees, partially offset by $10.6 million in proceeds from the exercise of options to purchase our common stock and the purchase of stock under our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1, Organization, Description of Business and Summary of Significant Accounting Policies, in the notes to our condensed consolidated financial statements included elsewhere in this report.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GAAP. The preparation of the condensed consolidated financial statements requires us to make estimates and assumptions that affect the reported amounts of assets and liabilities and the disclosure of contingent liabilities at the date of the condensed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in our Annual Report are critical to understanding our historical and future performance, as these policies relate to the more significant areas involving management's judgments and estimates. There have been no material changes to our critical accounting policies and estimates as compared to the critical accounting policies and estimates disclosed in our Annual Report.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and short-term investments of $370.5 million as of September 30, 2026 which consisted of bank deposits, money market funds and United States treasury securities. Such interest-bearing instruments carry a degree of risk; however, a hypothetical 10% change in interest rates during any of the periods presented would not have had a material impact on our condensed consolidated financial statements. This analysis is based on a sensitivity model that measures market value changes when changes in interest rates occur. Any realized gains or losses resulting from such interest rate changes and from the current unrealized gains or losses would only occur if we sold the investments prior to maturity. We do not enter into investments for trading purposes and have not used any derivative financial instruments to manage our interest rate risk exposure.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As of September 30, 2026 we held $2.4 million of bank deposits denominated in Euros. Such Euro denominated deposits carry a degree of risk from changes in currency exchange rates as the gains or losses from changes in exchange rates are included in our net income and comprehensive income (loss). As of September 30, 2026 a hypothetical 10% appreciation or depreciation of the U.S. dollar relative to the Euro would not have had a material impact on our condensed consolidated financial statements. At this time, we have not entered into, but in the future we may enter into, derivatives or other financial instruments in an attempt to hedge our foreign currency risk.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Exchange Act, which are designed to provide reasonable assurance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Management recognized that disclosure controls and procedures, no matter how well designed and operated, can provide only reasonable, not absolute, assurance of achieving their objectives, and management necessarily applies its judgment in evaluating the cost-benefit relationship of possible disclosure controls and procedures.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our disclosure controls and procedures were effective as of September 30, 2026 at the reasonable assurance level.</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the third quarter of 2026, we closed the Convergent Acquisition and the acquisition of certain assets accounted for as a business combination, and we are in the process of evaluating and integrating the internal controls over financial reporting of both acquisitions into our existing operations. Other than the two acquisitions there were no changes in our internal control over financial reporting (as defined in Rules 13a-15(f) and 15d-15(f) under the Exchange Act) that occurred during the three months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 xml:space="preserve">The information set forth in </w:t>
      </w:r>
      <w:r>
        <w:rPr>
          <w:rFonts w:ascii="Times New Roman" w:cs="Times New Roman" w:eastAsia="Times New Roman" w:hAnsi="Times New Roman"/>
          <w:sz w:val="18"/>
          <w:szCs w:val="18"/>
          <w:u w:val="single" w:color="auto"/>
          <w:color w:val="0000FF"/>
        </w:rPr>
        <w:t>Note 6, Commitments and Contingencies</w:t>
      </w:r>
      <w:r>
        <w:rPr>
          <w:rFonts w:ascii="Times New Roman" w:cs="Times New Roman" w:eastAsia="Times New Roman" w:hAnsi="Times New Roman"/>
          <w:sz w:val="18"/>
          <w:szCs w:val="18"/>
          <w:color w:val="auto"/>
        </w:rPr>
        <w:t>, under the heading “Contingencies,” in the notes to our condensed consolidated financial statements included elsewhere in this report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3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addition to the information set forth in this report, you should consider carefully the factors and other cautionary statements discussed in the section titled “Risk Factors” in Part I, Item 1A of our Annual Report on Form 10-K. There have been no material changes in our risk factors from those described in our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Insider Trading Arrangements</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the following Section 16 officer adopted, modified or terminated a “Rule 10b5-1 trading arrangement” (as defined in Item 408 of Regulation S-K of the Exchange Act). None of our other Section 16 officers or directors adopted, modified or terminated such “Rule 10b5-1 trading arrangements” during the three months ended September 30, 2026.</w:t>
      </w:r>
    </w:p>
    <w:p>
      <w:pPr>
        <w:spacing w:after="0" w:line="69" w:lineRule="exact"/>
        <w:rPr>
          <w:sz w:val="20"/>
          <w:szCs w:val="20"/>
          <w:color w:val="auto"/>
        </w:rPr>
      </w:pPr>
    </w:p>
    <w:p>
      <w:pPr>
        <w:jc w:val="both"/>
        <w:ind w:left="640" w:hanging="315"/>
        <w:spacing w:after="0" w:line="25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 Febbo, Chief Scientific Officer and Chief Medical Officer, adopted a new trading plan on August 12, 2026 (with the first trade under the new plan scheduled for approximately November 30, 2026). The trading plan will be effective until November 26, 2027 to sell an aggregate of (i) 8,000 shares of our common stock, plus (ii) between 50% and 100% of the net shares resulting from the vesting of 87,844 restricted stock units during the plan period (net shares are net of tax withholding).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462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5"/>
        </w:trPr>
        <w:tc>
          <w:tcPr>
            <w:tcW w:w="59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122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53"/>
        </w:trPr>
        <w:tc>
          <w:tcPr>
            <w:tcW w:w="122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gridSpan w:val="13"/>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vMerge w:val="restart"/>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00" w:type="dxa"/>
            <w:vAlign w:val="bottom"/>
            <w:vMerge w:val="restart"/>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120" w:type="dxa"/>
            <w:vAlign w:val="bottom"/>
            <w:vMerge w:val="restart"/>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13"/>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432"/>
        </w:trPr>
        <w:tc>
          <w:tcPr>
            <w:tcW w:w="1040" w:type="dxa"/>
            <w:vAlign w:val="bottom"/>
            <w:gridSpan w:val="5"/>
          </w:tcPr>
          <w:p>
            <w:pPr>
              <w:jc w:val="right"/>
              <w:ind w:right="20"/>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18"/>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Agreement and Plan of Merger, dated as of September 10,</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8-K</w:t>
            </w: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001-36156</w:t>
            </w:r>
          </w:p>
        </w:tc>
        <w:tc>
          <w:tcPr>
            <w:tcW w:w="100" w:type="dxa"/>
            <w:vAlign w:val="bottom"/>
          </w:tcPr>
          <w:p>
            <w:pPr>
              <w:spacing w:after="0"/>
              <w:rPr>
                <w:sz w:val="24"/>
                <w:szCs w:val="24"/>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9/14/2026</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9"/>
          </w:tcPr>
          <w:p>
            <w:pPr>
              <w:spacing w:after="0" w:line="153"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2026, by and among Veracyte, Inc., Compass Merger Sub,</w:t>
              </w:r>
            </w:hyperlink>
          </w:p>
        </w:tc>
        <w:tc>
          <w:tcPr>
            <w:tcW w:w="20" w:type="dxa"/>
            <w:vAlign w:val="bottom"/>
          </w:tcPr>
          <w:p>
            <w:pPr>
              <w:spacing w:after="0"/>
              <w:rPr>
                <w:sz w:val="13"/>
                <w:szCs w:val="13"/>
                <w:color w:val="auto"/>
              </w:rPr>
            </w:pPr>
          </w:p>
        </w:tc>
        <w:tc>
          <w:tcPr>
            <w:tcW w:w="520" w:type="dxa"/>
            <w:vAlign w:val="bottom"/>
            <w:gridSpan w:val="7"/>
          </w:tcPr>
          <w:p>
            <w:pPr>
              <w:jc w:val="center"/>
              <w:ind w:right="120"/>
              <w:spacing w:after="0" w:line="153"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Inc.,</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16"/>
          </w:tcPr>
          <w:p>
            <w:pPr>
              <w:spacing w:after="0" w:line="153"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Convergent Genomics, Inc. and Shareholder Representative</w:t>
              </w:r>
            </w:hyperlink>
          </w:p>
        </w:tc>
        <w:tc>
          <w:tcPr>
            <w:tcW w:w="1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60" w:type="dxa"/>
            <w:vAlign w:val="bottom"/>
            <w:tcBorders>
              <w:top w:val="single" w:sz="8" w:color="0000FF"/>
            </w:tcBorders>
            <w:gridSpan w:val="12"/>
          </w:tcPr>
          <w:p>
            <w:pPr>
              <w:spacing w:after="0" w:line="16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Services LLC, as the exclusive representative of the</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6"/>
          </w:tcPr>
          <w:p>
            <w:pPr>
              <w:spacing w:after="0" w:line="153"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Securityholder Indemnifying Parties.</w:t>
              </w:r>
            </w:hyperlink>
          </w:p>
        </w:tc>
        <w:tc>
          <w:tcPr>
            <w:tcW w:w="104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00" w:type="dxa"/>
            <w:vAlign w:val="bottom"/>
            <w:gridSpan w:val="2"/>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640" w:type="dxa"/>
            <w:vAlign w:val="bottom"/>
            <w:gridSpan w:val="17"/>
          </w:tcPr>
          <w:p>
            <w:pPr>
              <w:spacing w:after="0" w:line="153" w:lineRule="exact"/>
              <w:rPr>
                <w:sz w:val="20"/>
                <w:szCs w:val="20"/>
                <w:color w:val="auto"/>
              </w:rPr>
            </w:pPr>
            <w:r>
              <w:rPr>
                <w:rFonts w:ascii="Times New Roman" w:cs="Times New Roman" w:eastAsia="Times New Roman" w:hAnsi="Times New Roman"/>
                <w:sz w:val="17"/>
                <w:szCs w:val="17"/>
                <w:color w:val="0000FF"/>
              </w:rPr>
              <w:t>13a-14(a)/15d-14(a), as adopted pursuant to Section 302 of the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5"/>
          </w:tcPr>
          <w:p>
            <w:pPr>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420" w:type="dxa"/>
            <w:vAlign w:val="bottom"/>
            <w:tcBorders>
              <w:top w:val="single" w:sz="8" w:color="0000FF"/>
            </w:tcBorders>
            <w:gridSpan w:val="10"/>
          </w:tcPr>
          <w:p>
            <w:pPr>
              <w:spacing w:after="0"/>
              <w:rPr>
                <w:sz w:val="13"/>
                <w:szCs w:val="13"/>
                <w:color w:val="auto"/>
              </w:rPr>
            </w:pPr>
          </w:p>
        </w:tc>
        <w:tc>
          <w:tcPr>
            <w:tcW w:w="20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12"/>
          </w:tcPr>
          <w:p>
            <w:pPr>
              <w:spacing w:after="0" w:line="153" w:lineRule="exact"/>
              <w:rPr>
                <w:sz w:val="20"/>
                <w:szCs w:val="20"/>
                <w:color w:val="auto"/>
              </w:rPr>
            </w:pPr>
            <w:r>
              <w:rPr>
                <w:rFonts w:ascii="Times New Roman" w:cs="Times New Roman" w:eastAsia="Times New Roman" w:hAnsi="Times New Roman"/>
                <w:sz w:val="17"/>
                <w:szCs w:val="17"/>
                <w:color w:val="0000FF"/>
              </w:rPr>
              <w:t>13a-14(a)/15d-14(a), as adopted pursuant to Section 302 of</w:t>
            </w:r>
          </w:p>
        </w:tc>
        <w:tc>
          <w:tcPr>
            <w:tcW w:w="380" w:type="dxa"/>
            <w:vAlign w:val="bottom"/>
            <w:gridSpan w:val="5"/>
          </w:tcPr>
          <w:p>
            <w:pPr>
              <w:jc w:val="center"/>
              <w:ind w:right="200"/>
              <w:spacing w:after="0" w:line="153" w:lineRule="exact"/>
              <w:rPr>
                <w:sz w:val="20"/>
                <w:szCs w:val="20"/>
                <w:color w:val="auto"/>
              </w:rPr>
            </w:pPr>
            <w:r>
              <w:rPr>
                <w:rFonts w:ascii="Times New Roman" w:cs="Times New Roman" w:eastAsia="Times New Roman" w:hAnsi="Times New Roman"/>
                <w:sz w:val="17"/>
                <w:szCs w:val="17"/>
                <w:color w:val="0000FF"/>
                <w:w w:val="86"/>
              </w:rPr>
              <w:t>the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5"/>
          </w:tcPr>
          <w:p>
            <w:pPr>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420" w:type="dxa"/>
            <w:vAlign w:val="bottom"/>
            <w:tcBorders>
              <w:top w:val="single" w:sz="8" w:color="0000FF"/>
            </w:tcBorders>
            <w:gridSpan w:val="10"/>
          </w:tcPr>
          <w:p>
            <w:pPr>
              <w:spacing w:after="0"/>
              <w:rPr>
                <w:sz w:val="13"/>
                <w:szCs w:val="13"/>
                <w:color w:val="auto"/>
              </w:rPr>
            </w:pPr>
          </w:p>
        </w:tc>
        <w:tc>
          <w:tcPr>
            <w:tcW w:w="20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10"/>
          </w:tcPr>
          <w:p>
            <w:pPr>
              <w:spacing w:after="0" w:line="153" w:lineRule="exact"/>
              <w:rPr>
                <w:sz w:val="20"/>
                <w:szCs w:val="20"/>
                <w:color w:val="auto"/>
              </w:rPr>
            </w:pPr>
            <w:r>
              <w:rPr>
                <w:rFonts w:ascii="Times New Roman" w:cs="Times New Roman" w:eastAsia="Times New Roman" w:hAnsi="Times New Roman"/>
                <w:sz w:val="17"/>
                <w:szCs w:val="17"/>
                <w:color w:val="0000FF"/>
              </w:rPr>
              <w:t>U.S.C. § 1350 (Section 906 of the Sarbanes-Oxley Act of</w:t>
            </w:r>
          </w:p>
        </w:tc>
        <w:tc>
          <w:tcPr>
            <w:tcW w:w="520" w:type="dxa"/>
            <w:vAlign w:val="bottom"/>
            <w:gridSpan w:val="7"/>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4"/>
          </w:tcPr>
          <w:p>
            <w:pPr>
              <w:spacing w:after="0" w:line="153" w:lineRule="exact"/>
              <w:rPr>
                <w:sz w:val="20"/>
                <w:szCs w:val="20"/>
                <w:color w:val="auto"/>
              </w:rPr>
            </w:pPr>
            <w:r>
              <w:rPr>
                <w:rFonts w:ascii="Times New Roman" w:cs="Times New Roman" w:eastAsia="Times New Roman" w:hAnsi="Times New Roman"/>
                <w:sz w:val="17"/>
                <w:szCs w:val="17"/>
                <w:color w:val="0000FF"/>
              </w:rPr>
              <w:t>2002)</w:t>
            </w:r>
          </w:p>
        </w:tc>
        <w:tc>
          <w:tcPr>
            <w:tcW w:w="16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tcBorders>
            <w:gridSpan w:val="8"/>
          </w:tcPr>
          <w:p>
            <w:pPr>
              <w:spacing w:after="0" w:line="153" w:lineRule="exact"/>
              <w:rPr>
                <w:sz w:val="20"/>
                <w:szCs w:val="20"/>
                <w:color w:val="auto"/>
              </w:rPr>
            </w:pPr>
            <w:r>
              <w:rPr>
                <w:rFonts w:ascii="Times New Roman" w:cs="Times New Roman" w:eastAsia="Times New Roman" w:hAnsi="Times New Roman"/>
                <w:sz w:val="17"/>
                <w:szCs w:val="17"/>
                <w:color w:val="0000FF"/>
              </w:rPr>
              <w:t>U.S.C. § 1350 (Section 906 of the Sarbanes-Oxley Act of</w:t>
            </w:r>
          </w:p>
        </w:tc>
        <w:tc>
          <w:tcPr>
            <w:tcW w:w="560" w:type="dxa"/>
            <w:vAlign w:val="bottom"/>
            <w:gridSpan w:val="9"/>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3"/>
          </w:tcPr>
          <w:p>
            <w:pPr>
              <w:spacing w:after="0" w:line="153" w:lineRule="exact"/>
              <w:rPr>
                <w:sz w:val="20"/>
                <w:szCs w:val="20"/>
                <w:color w:val="auto"/>
              </w:rPr>
            </w:pPr>
            <w:r>
              <w:rPr>
                <w:rFonts w:ascii="Times New Roman" w:cs="Times New Roman" w:eastAsia="Times New Roman" w:hAnsi="Times New Roman"/>
                <w:sz w:val="17"/>
                <w:szCs w:val="17"/>
                <w:color w:val="0000FF"/>
              </w:rPr>
              <w:t>2002)</w:t>
            </w:r>
          </w:p>
        </w:tc>
        <w:tc>
          <w:tcPr>
            <w:tcW w:w="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2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7"/>
                <w:szCs w:val="17"/>
                <w:color w:val="auto"/>
              </w:rPr>
            </w:pPr>
          </w:p>
        </w:tc>
        <w:tc>
          <w:tcPr>
            <w:tcW w:w="46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73"/>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gridSpan w:val="18"/>
          </w:tcPr>
          <w:p>
            <w:pPr>
              <w:spacing w:after="0" w:line="173" w:lineRule="exact"/>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2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46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6"/>
        </w:trPr>
        <w:tc>
          <w:tcPr>
            <w:tcW w:w="12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46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6"/>
        </w:trPr>
        <w:tc>
          <w:tcPr>
            <w:tcW w:w="12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46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6"/>
        </w:trPr>
        <w:tc>
          <w:tcPr>
            <w:tcW w:w="12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46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6"/>
        </w:trPr>
        <w:tc>
          <w:tcPr>
            <w:tcW w:w="12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46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78"/>
        </w:trPr>
        <w:tc>
          <w:tcPr>
            <w:tcW w:w="1020" w:type="dxa"/>
            <w:vAlign w:val="bottom"/>
            <w:gridSpan w:val="4"/>
          </w:tcPr>
          <w:p>
            <w:pPr>
              <w:jc w:val="right"/>
              <w:ind w:right="60"/>
              <w:spacing w:after="0" w:line="178" w:lineRule="exact"/>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gridSpan w:val="18"/>
          </w:tcPr>
          <w:p>
            <w:pPr>
              <w:spacing w:after="0" w:line="178"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2"/>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6502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50240" cy="8255"/>
                    </a:xfrm>
                    <a:prstGeom prst="rect">
                      <a:avLst/>
                    </a:prstGeom>
                    <a:noFill/>
                  </pic:spPr>
                </pic:pic>
              </a:graphicData>
            </a:graphic>
          </wp:anchor>
        </w:drawing>
      </w:r>
    </w:p>
    <w:p>
      <w:pPr>
        <w:spacing w:after="0" w:line="129" w:lineRule="exact"/>
        <w:rPr>
          <w:sz w:val="20"/>
          <w:szCs w:val="20"/>
          <w:color w:val="auto"/>
        </w:rPr>
      </w:pPr>
    </w:p>
    <w:p>
      <w:pPr>
        <w:jc w:val="both"/>
        <w:ind w:left="1240" w:right="20" w:hanging="1216"/>
        <w:spacing w:after="0" w:line="221"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1" w:lineRule="exact"/>
        <w:rPr>
          <w:sz w:val="20"/>
          <w:szCs w:val="20"/>
          <w:color w:val="auto"/>
        </w:rPr>
      </w:pPr>
    </w:p>
    <w:p>
      <w:pPr>
        <w:jc w:val="both"/>
        <w:ind w:left="1240" w:right="20" w:hanging="1216"/>
        <w:spacing w:after="0" w:line="219"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Veracyte agrees to furnish supplementally a copy of any omitted schedule or exhibit to the Securities and Exchange Commission upon request. Pursuant to Item 601(b)(2) of Regulation S-K, certain confidential portions of this exhibit have been omitted by means of marking such portions with asterisks as the identified confidential portions (i) are not material and (ii) is information of the type that the Company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ind w:firstLine="75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VERACYTE, INC.</w:t>
      </w:r>
    </w:p>
    <w:p>
      <w:pPr>
        <w:spacing w:after="0" w:line="325" w:lineRule="exact"/>
        <w:rPr>
          <w:sz w:val="20"/>
          <w:szCs w:val="20"/>
          <w:color w:val="auto"/>
        </w:rPr>
      </w:pPr>
    </w:p>
    <w:p>
      <w:pPr>
        <w:ind w:left="468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40640</wp:posOffset>
            </wp:positionV>
            <wp:extent cx="19500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Rebecca Chambers</w:t>
      </w:r>
    </w:p>
    <w:p>
      <w:pP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Marc Stapley, certify that:</w:t>
      </w:r>
    </w:p>
    <w:p>
      <w:pPr>
        <w:spacing w:after="0" w:line="218" w:lineRule="exact"/>
        <w:rPr>
          <w:sz w:val="20"/>
          <w:szCs w:val="20"/>
          <w:color w:val="auto"/>
        </w:rPr>
      </w:pPr>
    </w:p>
    <w:p>
      <w:pPr>
        <w:ind w:left="1420" w:hanging="656"/>
        <w:spacing w:after="0"/>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September 30, 2026;</w:t>
      </w:r>
    </w:p>
    <w:p>
      <w:pPr>
        <w:spacing w:after="0" w:line="218" w:lineRule="exact"/>
        <w:rPr>
          <w:rFonts w:ascii="Times New Roman" w:cs="Times New Roman" w:eastAsia="Times New Roman" w:hAnsi="Times New Roman"/>
          <w:sz w:val="18"/>
          <w:szCs w:val="18"/>
          <w:color w:val="auto"/>
        </w:rPr>
      </w:pPr>
    </w:p>
    <w:p>
      <w:pPr>
        <w:ind w:right="200" w:firstLine="764"/>
        <w:spacing w:after="0" w:line="261" w:lineRule="auto"/>
        <w:tabs>
          <w:tab w:leader="none" w:pos="14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40" w:firstLine="764"/>
        <w:spacing w:after="0" w:line="275" w:lineRule="auto"/>
        <w:tabs>
          <w:tab w:leader="none" w:pos="14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764"/>
        <w:spacing w:after="0" w:line="261" w:lineRule="auto"/>
        <w:tabs>
          <w:tab w:leader="none" w:pos="14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80" w:firstLine="1442"/>
        <w:spacing w:after="0" w:line="261" w:lineRule="auto"/>
        <w:tabs>
          <w:tab w:leader="none" w:pos="206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40" w:firstLine="1442"/>
        <w:spacing w:after="0" w:line="261" w:lineRule="auto"/>
        <w:tabs>
          <w:tab w:leader="none" w:pos="20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1442"/>
        <w:spacing w:after="0" w:line="305" w:lineRule="auto"/>
        <w:tabs>
          <w:tab w:leader="none" w:pos="206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0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80" w:firstLine="764"/>
        <w:spacing w:after="0" w:line="305" w:lineRule="auto"/>
        <w:tabs>
          <w:tab w:leader="none" w:pos="141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100" w:firstLine="1442"/>
        <w:spacing w:after="0" w:line="275" w:lineRule="auto"/>
        <w:tabs>
          <w:tab w:leader="none" w:pos="205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120" w:firstLine="1442"/>
        <w:spacing w:after="0" w:line="275" w:lineRule="auto"/>
        <w:tabs>
          <w:tab w:leader="none" w:pos="206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29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2026</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32385</wp:posOffset>
            </wp:positionV>
            <wp:extent cx="19500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Rebecca Chambers, certify that:</w:t>
      </w:r>
    </w:p>
    <w:p>
      <w:pPr>
        <w:spacing w:after="0" w:line="218" w:lineRule="exact"/>
        <w:rPr>
          <w:sz w:val="20"/>
          <w:szCs w:val="20"/>
          <w:color w:val="auto"/>
        </w:rPr>
      </w:pPr>
    </w:p>
    <w:p>
      <w:pPr>
        <w:ind w:left="1480" w:hanging="716"/>
        <w:spacing w:after="0"/>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September 30, 2026;</w:t>
      </w:r>
    </w:p>
    <w:p>
      <w:pPr>
        <w:spacing w:after="0" w:line="218" w:lineRule="exact"/>
        <w:rPr>
          <w:rFonts w:ascii="Times New Roman" w:cs="Times New Roman" w:eastAsia="Times New Roman" w:hAnsi="Times New Roman"/>
          <w:sz w:val="18"/>
          <w:szCs w:val="18"/>
          <w:color w:val="auto"/>
        </w:rPr>
      </w:pPr>
    </w:p>
    <w:p>
      <w:pPr>
        <w:ind w:right="140" w:firstLine="764"/>
        <w:spacing w:after="0" w:line="261" w:lineRule="auto"/>
        <w:tabs>
          <w:tab w:leader="none" w:pos="14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00" w:firstLine="764"/>
        <w:spacing w:after="0" w:line="275" w:lineRule="auto"/>
        <w:tabs>
          <w:tab w:leader="none" w:pos="14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right="160" w:firstLine="764"/>
        <w:spacing w:after="0" w:line="261" w:lineRule="auto"/>
        <w:tabs>
          <w:tab w:leader="none" w:pos="14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20" w:firstLine="1442"/>
        <w:spacing w:after="0" w:line="261" w:lineRule="auto"/>
        <w:tabs>
          <w:tab w:leader="none" w:pos="21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140" w:firstLine="1442"/>
        <w:spacing w:after="0" w:line="261" w:lineRule="auto"/>
        <w:tabs>
          <w:tab w:leader="none" w:pos="2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20" w:firstLine="1442"/>
        <w:spacing w:after="0" w:line="305" w:lineRule="auto"/>
        <w:tabs>
          <w:tab w:leader="none" w:pos="215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40" w:firstLine="764"/>
        <w:spacing w:after="0" w:line="305" w:lineRule="auto"/>
        <w:tabs>
          <w:tab w:leader="none" w:pos="146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20" w:firstLine="1442"/>
        <w:spacing w:after="0" w:line="275" w:lineRule="auto"/>
        <w:tabs>
          <w:tab w:leader="none" w:pos="21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20" w:firstLine="1442"/>
        <w:spacing w:after="0" w:line="275" w:lineRule="auto"/>
        <w:tabs>
          <w:tab w:leader="none" w:pos="21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2026</w:t>
      </w:r>
    </w:p>
    <w:p>
      <w:pPr>
        <w:spacing w:after="0" w:line="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32385</wp:posOffset>
            </wp:positionV>
            <wp:extent cx="24822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482215" cy="8255"/>
                    </a:xfrm>
                    <a:prstGeom prst="rect">
                      <a:avLst/>
                    </a:prstGeom>
                    <a:noFill/>
                  </pic:spPr>
                </pic:pic>
              </a:graphicData>
            </a:graphic>
          </wp:anchor>
        </w:drawing>
      </w:r>
    </w:p>
    <w:p>
      <w:pPr>
        <w:spacing w:after="0" w:line="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24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September 30, 2026,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2026</w:t>
      </w:r>
    </w:p>
    <w:p>
      <w:pPr>
        <w:spacing w:after="0" w:line="29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32385</wp:posOffset>
            </wp:positionV>
            <wp:extent cx="19500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24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September 30, 2026,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2026</w:t>
      </w:r>
    </w:p>
    <w:p>
      <w:pPr>
        <w:spacing w:after="0" w:line="29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32385</wp:posOffset>
            </wp:positionV>
            <wp:extent cx="19500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lvl w:ilvl="1">
      <w:lvlJc w:val="left"/>
      <w:lvlText w:val="(%2)"/>
      <w:numFmt w:val="decimal"/>
      <w:start w:val="1"/>
    </w:lvl>
  </w:abstractNum>
  <w:abstractNum w:abstractNumId="5">
    <w:nsid w:val="4DB127F8"/>
    <w:multiLevelType w:val="hybridMultilevel"/>
    <w:lvl w:ilvl="0">
      <w:lvlJc w:val="left"/>
      <w:lvlText w:val="%1."/>
      <w:numFmt w:val="decimal"/>
      <w:start w:val="10"/>
    </w:lvl>
    <w:lvl w:ilvl="1">
      <w:lvlJc w:val="left"/>
      <w:lvlText w:val="%2"/>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1" Type="http://schemas.openxmlformats.org/officeDocument/2006/relationships/hyperlink" Target="https://www.sec.gov/Archives/edgar/data/1384101/000138410126000049/vcyt09-10x2026compassm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2026-11-05T07:08:24Z</dcterms:created>
  <dcterms:modified xsi:type="dcterms:W3CDTF">2026-11-05T07:08:24Z</dcterms:modified>
</cp:coreProperties>
</file>