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ind w:left="0" w:right="0" w:firstLine="135"/>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35"/>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p>
      <w:pPr>
        <w:pStyle w:val="TextBody"/>
        <w:bidi w:val="0"/>
        <w:spacing w:lineRule="auto" w:line="288" w:before="0" w:after="0"/>
        <w:ind w:left="0" w:right="0" w:firstLine="135"/>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283"/>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120"/>
        <w:ind w:left="0" w:right="0" w:firstLine="135"/>
        <w:jc w:val="center"/>
        <w:rPr/>
      </w:pPr>
      <w:r>
        <w:rPr>
          <w:rFonts w:ascii="Times New Roman;sans-serif" w:hAnsi="Times New Roman;sans-serif"/>
          <w:b/>
          <w:color w:val="000000"/>
          <w:sz w:val="20"/>
        </w:rPr>
        <w:t>OR</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001-36156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35"/>
        <w:jc w:val="center"/>
        <w:rPr>
          <w:rFonts w:ascii="Times New Roman;sans-serif" w:hAnsi="Times New Roman;sans-serif"/>
          <w:b/>
          <w:color w:val="000000"/>
          <w:sz w:val="32"/>
        </w:rPr>
      </w:pPr>
      <w:r>
        <w:rPr>
          <w:rFonts w:ascii="Times New Roman;sans-serif" w:hAnsi="Times New Roman;sans-serif"/>
          <w:b/>
          <w:color w:val="000000"/>
          <w:sz w:val="32"/>
        </w:rPr>
        <w:t>VERACYTE, INC.</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03" w:type="dxa"/>
        <w:jc w:val="left"/>
        <w:tblInd w:w="0" w:type="dxa"/>
        <w:tblLayout w:type="fixed"/>
        <w:tblCellMar>
          <w:top w:w="28" w:type="dxa"/>
          <w:left w:w="28" w:type="dxa"/>
          <w:bottom w:w="28" w:type="dxa"/>
          <w:right w:w="28" w:type="dxa"/>
        </w:tblCellMar>
      </w:tblPr>
      <w:tblGrid>
        <w:gridCol w:w="319"/>
        <w:gridCol w:w="280"/>
        <w:gridCol w:w="280"/>
        <w:gridCol w:w="280"/>
        <w:gridCol w:w="280"/>
        <w:gridCol w:w="280"/>
        <w:gridCol w:w="280"/>
        <w:gridCol w:w="280"/>
        <w:gridCol w:w="295"/>
        <w:gridCol w:w="109"/>
        <w:gridCol w:w="109"/>
        <w:gridCol w:w="109"/>
        <w:gridCol w:w="109"/>
        <w:gridCol w:w="109"/>
        <w:gridCol w:w="109"/>
        <w:gridCol w:w="109"/>
        <w:gridCol w:w="109"/>
        <w:gridCol w:w="109"/>
        <w:gridCol w:w="175"/>
        <w:gridCol w:w="175"/>
        <w:gridCol w:w="175"/>
        <w:gridCol w:w="175"/>
        <w:gridCol w:w="175"/>
        <w:gridCol w:w="175"/>
        <w:gridCol w:w="175"/>
        <w:gridCol w:w="175"/>
        <w:gridCol w:w="248"/>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20-5455398</w:t>
            </w:r>
          </w:p>
        </w:tc>
      </w:tr>
      <w:tr>
        <w:trPr/>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6000 Shoreline Court, Suite 300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South San Francisco, California 94080 </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(650)  243-6300 </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lineRule="auto" w:line="288" w:before="0" w:after="0"/>
        <w:ind w:left="0" w:right="0" w:firstLine="135"/>
        <w:jc w:val="center"/>
        <w:rPr>
          <w:color w:val="000000"/>
        </w:rPr>
      </w:pPr>
      <w:r>
        <w:rPr>
          <w:color w:val="000000"/>
        </w:rPr>
        <w:t> </w:t>
      </w:r>
    </w:p>
    <w:tbl>
      <w:tblPr>
        <w:tblW w:w="9813" w:type="dxa"/>
        <w:jc w:val="left"/>
        <w:tblInd w:w="0" w:type="dxa"/>
        <w:tblLayout w:type="fixed"/>
        <w:tblCellMar>
          <w:top w:w="28" w:type="dxa"/>
          <w:left w:w="28" w:type="dxa"/>
          <w:bottom w:w="28" w:type="dxa"/>
          <w:right w:w="28" w:type="dxa"/>
        </w:tblCellMar>
      </w:tblPr>
      <w:tblGrid>
        <w:gridCol w:w="453"/>
        <w:gridCol w:w="399"/>
        <w:gridCol w:w="399"/>
        <w:gridCol w:w="399"/>
        <w:gridCol w:w="399"/>
        <w:gridCol w:w="399"/>
        <w:gridCol w:w="399"/>
        <w:gridCol w:w="399"/>
        <w:gridCol w:w="399"/>
        <w:gridCol w:w="109"/>
        <w:gridCol w:w="109"/>
        <w:gridCol w:w="109"/>
        <w:gridCol w:w="188"/>
        <w:gridCol w:w="188"/>
        <w:gridCol w:w="188"/>
        <w:gridCol w:w="188"/>
        <w:gridCol w:w="188"/>
        <w:gridCol w:w="188"/>
        <w:gridCol w:w="188"/>
        <w:gridCol w:w="188"/>
        <w:gridCol w:w="188"/>
        <w:gridCol w:w="109"/>
        <w:gridCol w:w="109"/>
        <w:gridCol w:w="109"/>
        <w:gridCol w:w="406"/>
        <w:gridCol w:w="406"/>
        <w:gridCol w:w="406"/>
        <w:gridCol w:w="406"/>
        <w:gridCol w:w="406"/>
        <w:gridCol w:w="406"/>
        <w:gridCol w:w="406"/>
        <w:gridCol w:w="406"/>
        <w:gridCol w:w="574"/>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6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46"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05"/>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05"/>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p>
    <w:p>
      <w:pPr>
        <w:pStyle w:val="TextBody"/>
        <w:bidi w:val="0"/>
        <w:spacing w:lineRule="auto" w:line="288" w:before="0" w:after="0"/>
        <w:ind w:left="0" w:right="0" w:firstLine="405"/>
        <w:jc w:val="left"/>
        <w:rPr/>
      </w:pP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4, 2023, there were 72,750,543 shares of common stock, par value $0.001 per share, outstanding.</w:t>
      </w:r>
    </w:p>
    <w:p>
      <w:pPr>
        <w:pStyle w:val="TextBody"/>
        <w:bidi w:val="0"/>
        <w:spacing w:before="0" w:after="0"/>
        <w:ind w:left="0" w:right="0" w:firstLine="40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ind w:left="0" w:right="0" w:firstLine="135"/>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370"/>
        <w:gridCol w:w="2961"/>
        <w:gridCol w:w="2975"/>
        <w:gridCol w:w="109"/>
        <w:gridCol w:w="109"/>
        <w:gridCol w:w="109"/>
        <w:gridCol w:w="167"/>
        <w:gridCol w:w="167"/>
        <w:gridCol w:w="238"/>
      </w:tblGrid>
      <w:tr>
        <w:trPr/>
        <w:tc>
          <w:tcPr>
            <w:tcW w:w="3370"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br/>
              <w:t>No.</w:t>
            </w:r>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0">
              <w:r>
                <w:rPr>
                  <w:rStyle w:val="InternetLink"/>
                  <w:rFonts w:ascii="Times New Roman;sans-serif" w:hAnsi="Times New Roman;sans-serif"/>
                  <w:b/>
                  <w:color w:val="0000FF"/>
                  <w:sz w:val="20"/>
                  <w:u w:val="single"/>
                </w:rPr>
                <w:t>PART I.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3">
              <w:r>
                <w:rPr>
                  <w:rStyle w:val="InternetLink"/>
                  <w:rFonts w:ascii="Times New Roman;sans-serif" w:hAnsi="Times New Roman;sans-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3">
              <w:r>
                <w:rPr>
                  <w:rStyle w:val="InternetLink"/>
                  <w:rFonts w:ascii="Times New Roman;sans-serif" w:hAnsi="Times New Roman;sans-serif"/>
                  <w:b w:val="false"/>
                  <w:color w:val="0000FF"/>
                  <w:sz w:val="20"/>
                  <w:u w:val="single"/>
                </w:rPr>
                <w:t>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6">
              <w:r>
                <w:rPr>
                  <w:rStyle w:val="InternetLink"/>
                  <w:rFonts w:ascii="Times New Roman;sans-serif" w:hAnsi="Times New Roman;sans-serif"/>
                  <w:b w:val="false"/>
                  <w:color w:val="000080"/>
                  <w:sz w:val="20"/>
                  <w:u w:val="single"/>
                </w:rPr>
                <w:t xml:space="preserve">Condensed Consolidated Balance Sheets as of </w:t>
              </w:r>
            </w:hyperlink>
            <w:hyperlink w:anchor="ieeeaede6d2194bbd913ecaff0087cedf_16">
              <w:r>
                <w:rPr>
                  <w:rStyle w:val="InternetLink"/>
                  <w:rFonts w:ascii="Times New Roman;sans-serif" w:hAnsi="Times New Roman;sans-serif"/>
                  <w:b w:val="false"/>
                  <w:color w:val="000080"/>
                  <w:sz w:val="20"/>
                  <w:u w:val="single"/>
                </w:rPr>
                <w:t>June 30</w:t>
              </w:r>
            </w:hyperlink>
            <w:hyperlink w:anchor="ieeeaede6d2194bbd913ecaff0087cedf_16">
              <w:r>
                <w:rPr>
                  <w:rStyle w:val="InternetLink"/>
                  <w:rFonts w:ascii="Times New Roman;sans-serif" w:hAnsi="Times New Roman;sans-serif"/>
                  <w:b w:val="false"/>
                  <w:color w:val="000080"/>
                  <w:sz w:val="20"/>
                  <w:u w:val="single"/>
                </w:rPr>
                <w:t>, 2023 and December 31,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6">
              <w:r>
                <w:rPr>
                  <w:rStyle w:val="InternetLink"/>
                  <w:rFonts w:ascii="Times New Roman;sans-serif" w:hAnsi="Times New Roman;sans-serif"/>
                  <w:b w:val="false"/>
                  <w:color w:val="0000FF"/>
                  <w:sz w:val="20"/>
                  <w:u w:val="single"/>
                </w:rPr>
                <w:t>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eeeaede6d2194bbd913ecaff0087cedf_19">
              <w:r>
                <w:rPr>
                  <w:rStyle w:val="InternetLink"/>
                  <w:rFonts w:ascii="Times New Roman;sans-serif" w:hAnsi="Times New Roman;sans-serif"/>
                  <w:b w:val="false"/>
                  <w:color w:val="000080"/>
                  <w:sz w:val="20"/>
                  <w:u w:val="single"/>
                </w:rPr>
                <w:t xml:space="preserve">and Six </w:t>
              </w:r>
            </w:hyperlink>
            <w:hyperlink w:anchor="ieeeaede6d2194bbd913ecaff0087cedf_19">
              <w:r>
                <w:rPr>
                  <w:rStyle w:val="InternetLink"/>
                  <w:rFonts w:ascii="Times New Roman;sans-serif" w:hAnsi="Times New Roman;sans-serif"/>
                  <w:b w:val="false"/>
                  <w:color w:val="000080"/>
                  <w:sz w:val="20"/>
                  <w:u w:val="single"/>
                </w:rPr>
                <w:t xml:space="preserve">Month Periods Ended </w:t>
              </w:r>
            </w:hyperlink>
            <w:hyperlink w:anchor="ieeeaede6d2194bbd913ecaff0087cedf_19">
              <w:r>
                <w:rPr>
                  <w:rStyle w:val="InternetLink"/>
                  <w:rFonts w:ascii="Times New Roman;sans-serif" w:hAnsi="Times New Roman;sans-serif"/>
                  <w:b w:val="false"/>
                  <w:color w:val="000080"/>
                  <w:sz w:val="20"/>
                  <w:u w:val="single"/>
                </w:rPr>
                <w:t>June 30</w:t>
              </w:r>
            </w:hyperlink>
            <w:hyperlink w:anchor="ieeeaede6d2194bbd913ecaff0087cedf_19">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9">
              <w:r>
                <w:rPr>
                  <w:rStyle w:val="InternetLink"/>
                  <w:rFonts w:ascii="Times New Roman;sans-serif" w:hAnsi="Times New Roman;sans-serif"/>
                  <w:b w:val="false"/>
                  <w:color w:val="0000FF"/>
                  <w:sz w:val="20"/>
                  <w:u w:val="single"/>
                </w:rPr>
                <w:t>2</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22">
              <w:r>
                <w:rPr>
                  <w:rStyle w:val="InternetLink"/>
                  <w:rFonts w:ascii="Times New Roman;sans-serif" w:hAnsi="Times New Roman;sans-serif"/>
                  <w:b w:val="false"/>
                  <w:color w:val="000080"/>
                  <w:sz w:val="20"/>
                  <w:u w:val="single"/>
                </w:rPr>
                <w:t xml:space="preserve">Condensed Consolidated Statements of Comprehensive Loss for the Three </w:t>
              </w:r>
            </w:hyperlink>
            <w:hyperlink w:anchor="ieeeaede6d2194bbd913ecaff0087cedf_22">
              <w:r>
                <w:rPr>
                  <w:rStyle w:val="InternetLink"/>
                  <w:rFonts w:ascii="Times New Roman;sans-serif" w:hAnsi="Times New Roman;sans-serif"/>
                  <w:b w:val="false"/>
                  <w:color w:val="000080"/>
                  <w:sz w:val="20"/>
                  <w:u w:val="single"/>
                </w:rPr>
                <w:t xml:space="preserve">and Six </w:t>
              </w:r>
            </w:hyperlink>
            <w:hyperlink w:anchor="ieeeaede6d2194bbd913ecaff0087cedf_22">
              <w:r>
                <w:rPr>
                  <w:rStyle w:val="InternetLink"/>
                  <w:rFonts w:ascii="Times New Roman;sans-serif" w:hAnsi="Times New Roman;sans-serif"/>
                  <w:b w:val="false"/>
                  <w:color w:val="000080"/>
                  <w:sz w:val="20"/>
                  <w:u w:val="single"/>
                </w:rPr>
                <w:t xml:space="preserve">Month Periods Ended </w:t>
              </w:r>
            </w:hyperlink>
            <w:hyperlink w:anchor="ieeeaede6d2194bbd913ecaff0087cedf_22">
              <w:r>
                <w:rPr>
                  <w:rStyle w:val="InternetLink"/>
                  <w:rFonts w:ascii="Times New Roman;sans-serif" w:hAnsi="Times New Roman;sans-serif"/>
                  <w:b w:val="false"/>
                  <w:color w:val="000080"/>
                  <w:sz w:val="20"/>
                  <w:u w:val="single"/>
                </w:rPr>
                <w:t>June 30</w:t>
              </w:r>
            </w:hyperlink>
            <w:hyperlink w:anchor="ieeeaede6d2194bbd913ecaff0087cedf_22">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22">
              <w:r>
                <w:rPr>
                  <w:rStyle w:val="InternetLink"/>
                  <w:rFonts w:ascii="Times New Roman;sans-serif" w:hAnsi="Times New Roman;sans-serif"/>
                  <w:b w:val="false"/>
                  <w:color w:val="0000FF"/>
                  <w:sz w:val="20"/>
                  <w:u w:val="single"/>
                </w:rPr>
                <w:t>3</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25">
              <w:r>
                <w:rPr>
                  <w:rStyle w:val="InternetLink"/>
                  <w:rFonts w:ascii="Times New Roman;sans-serif" w:hAnsi="Times New Roman;sans-serif"/>
                  <w:b w:val="false"/>
                  <w:color w:val="000080"/>
                  <w:sz w:val="20"/>
                  <w:u w:val="single"/>
                </w:rPr>
                <w:t>Condensed Consolidated Statements of Stockholders</w:t>
              </w:r>
            </w:hyperlink>
            <w:hyperlink w:anchor="ieeeaede6d2194bbd913ecaff0087cedf_25">
              <w:r>
                <w:rPr>
                  <w:rStyle w:val="InternetLink"/>
                  <w:rFonts w:ascii="Times New Roman;sans-serif" w:hAnsi="Times New Roman;sans-serif"/>
                  <w:b w:val="false"/>
                  <w:color w:val="000080"/>
                  <w:sz w:val="20"/>
                  <w:u w:val="single"/>
                </w:rPr>
                <w:t>'</w:t>
              </w:r>
            </w:hyperlink>
            <w:hyperlink w:anchor="ieeeaede6d2194bbd913ecaff0087cedf_25">
              <w:r>
                <w:rPr>
                  <w:rStyle w:val="InternetLink"/>
                  <w:rFonts w:ascii="Times New Roman;sans-serif" w:hAnsi="Times New Roman;sans-serif"/>
                  <w:b w:val="false"/>
                  <w:color w:val="000080"/>
                  <w:sz w:val="20"/>
                  <w:u w:val="single"/>
                </w:rPr>
                <w:t xml:space="preserve"> Equity for the Three </w:t>
              </w:r>
            </w:hyperlink>
            <w:hyperlink w:anchor="ieeeaede6d2194bbd913ecaff0087cedf_25">
              <w:r>
                <w:rPr>
                  <w:rStyle w:val="InternetLink"/>
                  <w:rFonts w:ascii="Times New Roman;sans-serif" w:hAnsi="Times New Roman;sans-serif"/>
                  <w:b w:val="false"/>
                  <w:color w:val="000080"/>
                  <w:sz w:val="20"/>
                  <w:u w:val="single"/>
                </w:rPr>
                <w:t xml:space="preserve">and Six </w:t>
              </w:r>
            </w:hyperlink>
            <w:hyperlink w:anchor="ieeeaede6d2194bbd913ecaff0087cedf_25">
              <w:r>
                <w:rPr>
                  <w:rStyle w:val="InternetLink"/>
                  <w:rFonts w:ascii="Times New Roman;sans-serif" w:hAnsi="Times New Roman;sans-serif"/>
                  <w:b w:val="false"/>
                  <w:color w:val="000080"/>
                  <w:sz w:val="20"/>
                  <w:u w:val="single"/>
                </w:rPr>
                <w:t xml:space="preserve">Month Periods Ended </w:t>
              </w:r>
            </w:hyperlink>
            <w:hyperlink w:anchor="ieeeaede6d2194bbd913ecaff0087cedf_25">
              <w:r>
                <w:rPr>
                  <w:rStyle w:val="InternetLink"/>
                  <w:rFonts w:ascii="Times New Roman;sans-serif" w:hAnsi="Times New Roman;sans-serif"/>
                  <w:b w:val="false"/>
                  <w:color w:val="000080"/>
                  <w:sz w:val="20"/>
                  <w:u w:val="single"/>
                </w:rPr>
                <w:t>June 30</w:t>
              </w:r>
            </w:hyperlink>
            <w:hyperlink w:anchor="ieeeaede6d2194bbd913ecaff0087cedf_25">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25">
              <w:r>
                <w:rPr>
                  <w:rStyle w:val="InternetLink"/>
                  <w:rFonts w:ascii="Times New Roman;sans-serif" w:hAnsi="Times New Roman;sans-serif"/>
                  <w:b w:val="false"/>
                  <w:color w:val="0000FF"/>
                  <w:sz w:val="20"/>
                  <w:u w:val="single"/>
                </w:rPr>
                <w:t>4</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28">
              <w:r>
                <w:rPr>
                  <w:rStyle w:val="InternetLink"/>
                  <w:rFonts w:ascii="Times New Roman;sans-serif" w:hAnsi="Times New Roman;sans-serif"/>
                  <w:b w:val="false"/>
                  <w:color w:val="000080"/>
                  <w:sz w:val="20"/>
                  <w:u w:val="single"/>
                </w:rPr>
                <w:t xml:space="preserve">Condensed Consolidated Statements of Cash Flows for the </w:t>
              </w:r>
            </w:hyperlink>
            <w:hyperlink w:anchor="ieeeaede6d2194bbd913ecaff0087cedf_28">
              <w:r>
                <w:rPr>
                  <w:rStyle w:val="InternetLink"/>
                  <w:rFonts w:ascii="Times New Roman;sans-serif" w:hAnsi="Times New Roman;sans-serif"/>
                  <w:b w:val="false"/>
                  <w:color w:val="000080"/>
                  <w:sz w:val="20"/>
                  <w:u w:val="single"/>
                </w:rPr>
                <w:t>Six</w:t>
              </w:r>
            </w:hyperlink>
            <w:hyperlink w:anchor="ieeeaede6d2194bbd913ecaff0087cedf_28">
              <w:r>
                <w:rPr>
                  <w:rStyle w:val="InternetLink"/>
                  <w:rFonts w:ascii="Times New Roman;sans-serif" w:hAnsi="Times New Roman;sans-serif"/>
                  <w:b w:val="false"/>
                  <w:color w:val="000080"/>
                  <w:sz w:val="20"/>
                  <w:u w:val="single"/>
                </w:rPr>
                <w:t xml:space="preserve"> Month Periods Ended </w:t>
              </w:r>
            </w:hyperlink>
            <w:hyperlink w:anchor="ieeeaede6d2194bbd913ecaff0087cedf_28">
              <w:r>
                <w:rPr>
                  <w:rStyle w:val="InternetLink"/>
                  <w:rFonts w:ascii="Times New Roman;sans-serif" w:hAnsi="Times New Roman;sans-serif"/>
                  <w:b w:val="false"/>
                  <w:color w:val="000080"/>
                  <w:sz w:val="20"/>
                  <w:u w:val="single"/>
                </w:rPr>
                <w:t>June 30</w:t>
              </w:r>
            </w:hyperlink>
            <w:hyperlink w:anchor="ieeeaede6d2194bbd913ecaff0087cedf_28">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28">
              <w:r>
                <w:rPr>
                  <w:rStyle w:val="InternetLink"/>
                  <w:rFonts w:ascii="Times New Roman;sans-serif" w:hAnsi="Times New Roman;sans-serif"/>
                  <w:b w:val="false"/>
                  <w:color w:val="0000FF"/>
                  <w:sz w:val="20"/>
                  <w:u w:val="single"/>
                </w:rPr>
                <w:t>6</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31">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31">
              <w:r>
                <w:rPr>
                  <w:rStyle w:val="InternetLink"/>
                  <w:rFonts w:ascii="Times New Roman;sans-serif" w:hAnsi="Times New Roman;sans-serif"/>
                  <w:b w:val="false"/>
                  <w:color w:val="0000FF"/>
                  <w:sz w:val="20"/>
                  <w:u w:val="single"/>
                </w:rPr>
                <w:t>7</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6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64">
              <w:r>
                <w:rPr>
                  <w:rStyle w:val="InternetLink"/>
                  <w:rFonts w:ascii="Times New Roman;sans-serif" w:hAnsi="Times New Roman;sans-serif"/>
                  <w:b w:val="false"/>
                  <w:color w:val="0000FF"/>
                  <w:sz w:val="20"/>
                  <w:u w:val="single"/>
                </w:rPr>
                <w:t>17</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00">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00">
              <w:r>
                <w:rPr>
                  <w:rStyle w:val="InternetLink"/>
                  <w:rFonts w:ascii="Times New Roman;sans-serif" w:hAnsi="Times New Roman;sans-serif"/>
                  <w:b w:val="false"/>
                  <w:color w:val="0000FF"/>
                  <w:sz w:val="20"/>
                  <w:u w:val="single"/>
                </w:rPr>
                <w:t>29</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03">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03">
              <w:r>
                <w:rPr>
                  <w:rStyle w:val="InternetLink"/>
                  <w:rFonts w:ascii="Times New Roman;sans-serif" w:hAnsi="Times New Roman;sans-serif"/>
                  <w:b w:val="false"/>
                  <w:color w:val="0000FF"/>
                  <w:sz w:val="20"/>
                  <w:u w:val="single"/>
                </w:rPr>
                <w:t>30</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06">
              <w:r>
                <w:rPr>
                  <w:rStyle w:val="InternetLink"/>
                  <w:rFonts w:ascii="Times New Roman;sans-serif" w:hAnsi="Times New Roman;sans-serif"/>
                  <w:b/>
                  <w:color w:val="0000FF"/>
                  <w:sz w:val="20"/>
                  <w:u w:val="single"/>
                </w:rPr>
                <w:t>PART II.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09">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09">
              <w:r>
                <w:rPr>
                  <w:rStyle w:val="InternetLink"/>
                  <w:rFonts w:ascii="Times New Roman;sans-serif" w:hAnsi="Times New Roman;sans-serif"/>
                  <w:b w:val="false"/>
                  <w:color w:val="0000FF"/>
                  <w:sz w:val="20"/>
                  <w:u w:val="single"/>
                </w:rPr>
                <w:t>31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12">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12">
              <w:r>
                <w:rPr>
                  <w:rStyle w:val="InternetLink"/>
                  <w:rFonts w:ascii="Times New Roman;sans-serif" w:hAnsi="Times New Roman;sans-serif"/>
                  <w:b w:val="false"/>
                  <w:color w:val="0000FF"/>
                  <w:sz w:val="20"/>
                  <w:u w:val="single"/>
                </w:rPr>
                <w:t>68</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15">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15">
              <w:r>
                <w:rPr>
                  <w:rStyle w:val="InternetLink"/>
                  <w:rFonts w:ascii="Times New Roman;sans-serif" w:hAnsi="Times New Roman;sans-serif"/>
                  <w:b w:val="false"/>
                  <w:color w:val="0000FF"/>
                  <w:sz w:val="20"/>
                  <w:u w:val="single"/>
                </w:rPr>
                <w:t>68</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18">
              <w:r>
                <w:rPr>
                  <w:rStyle w:val="InternetLink"/>
                  <w:rFonts w:ascii="Times New Roman;sans-serif" w:hAnsi="Times New Roman;sans-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18">
              <w:r>
                <w:rPr>
                  <w:rStyle w:val="InternetLink"/>
                  <w:rFonts w:ascii="Times New Roman;sans-serif" w:hAnsi="Times New Roman;sans-serif"/>
                  <w:b w:val="false"/>
                  <w:color w:val="0000FF"/>
                  <w:sz w:val="20"/>
                  <w:u w:val="single"/>
                </w:rPr>
                <w:t>68</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21">
              <w:r>
                <w:rPr>
                  <w:rStyle w:val="InternetLink"/>
                  <w:rFonts w:ascii="Times New Roman;sans-serif" w:hAnsi="Times New Roman;sans-serif"/>
                  <w:b w:val="false"/>
                  <w:color w:val="0000FF"/>
                  <w:sz w:val="20"/>
                  <w:u w:val="single"/>
                </w:rPr>
                <w:t xml:space="preserve">Item 5. Other Information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21">
              <w:r>
                <w:rPr>
                  <w:rStyle w:val="InternetLink"/>
                  <w:rFonts w:ascii="Times New Roman;sans-serif" w:hAnsi="Times New Roman;sans-serif"/>
                  <w:b w:val="false"/>
                  <w:color w:val="0000FF"/>
                  <w:sz w:val="20"/>
                  <w:u w:val="single"/>
                </w:rPr>
                <w:t>68</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24">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24">
              <w:r>
                <w:rPr>
                  <w:rStyle w:val="InternetLink"/>
                  <w:rFonts w:ascii="Times New Roman;sans-serif" w:hAnsi="Times New Roman;sans-serif"/>
                  <w:b w:val="false"/>
                  <w:color w:val="0000FF"/>
                  <w:sz w:val="20"/>
                  <w:u w:val="single"/>
                </w:rPr>
                <w:t>69</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eaede6d2194bbd913ecaff0087cedf_127">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eaede6d2194bbd913ecaff0087cedf_127">
              <w:r>
                <w:rPr>
                  <w:rStyle w:val="InternetLink"/>
                  <w:rFonts w:ascii="Times New Roman;sans-serif" w:hAnsi="Times New Roman;sans-serif"/>
                  <w:b w:val="false"/>
                  <w:color w:val="0000FF"/>
                  <w:sz w:val="20"/>
                  <w:u w:val="single"/>
                </w:rPr>
                <w:t>70</w:t>
              </w:r>
            </w:hyperlink>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before="0" w:after="0"/>
        <w:jc w:val="left"/>
        <w:rPr/>
      </w:pPr>
      <w:r>
        <w:rPr/>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expectations regarding total revenue and total test volume;</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expectations with respect to our future research and development, general and administrative and selling and marketing expenses and our anticipated uses of our funds;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the impact of inflation, rising interest rates and foreign exchange fluctuations, turmoil in the global banking and finance system, as well as the conflict in Ukraine, energy and supply chain disruptions, and market volatility resulting from the above, on our business;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the impact of the COVID-19 pandemic on our business and the U.S. and global economy;</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ability to continue to receive quality reagents from certain single source suppliers;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 xml:space="preserve">our ability to continue to successfully integrate HalioDx, Decipher Biosciences, and the assets acquired from NanoString Technologies, Inc. into our business; </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ability to deploy the nCounter Analysis System successfully and run our tests on this platform worldwide;</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 xml:space="preserve">our expectations regarding our biopharma partnerships and agreements; </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 xml:space="preserve">our anticipated cash needs and our estimates regarding our capital requirements and profitability; </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ability to obtain and maintain Medicare and commercial payer coverage for each of our tests;</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sales, marketing and distribution capabilities and strategy;</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intellectual property position;</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the impact of government laws and regulations; and</w:t>
      </w:r>
    </w:p>
    <w:p>
      <w:pPr>
        <w:pStyle w:val="TextBody"/>
        <w:bidi w:val="0"/>
        <w:spacing w:lineRule="auto" w:line="264" w:before="0" w:after="120"/>
        <w:ind w:left="0" w:right="0" w:hanging="360"/>
        <w:jc w:val="left"/>
        <w:rPr/>
      </w:pPr>
      <w:r>
        <w:rPr>
          <w:color w:val="000000"/>
        </w:rPr>
        <w:t>•</w:t>
      </w:r>
      <w:r>
        <w:rPr>
          <w:rFonts w:ascii="Times New Roman;sans-serif" w:hAnsi="Times New Roman;sans-serif"/>
          <w:b w:val="false"/>
          <w:color w:val="000000"/>
          <w:sz w:val="20"/>
        </w:rPr>
        <w:t>our competitive position.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pStyle w:val="TextBody"/>
        <w:bidi w:val="0"/>
        <w:spacing w:before="0" w:after="0"/>
        <w:ind w:left="0" w:right="0" w:firstLine="45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ind w:left="0" w:right="0" w:firstLine="13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35"/>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Statements-(Unaudited)</w:t>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35"/>
        <w:jc w:val="center"/>
        <w:rPr/>
      </w:pPr>
      <w:r>
        <w:rPr>
          <w:rFonts w:ascii="Times New Roman;sans-serif" w:hAnsi="Times New Roman;sans-serif"/>
          <w:b/>
          <w:color w:val="000000"/>
          <w:sz w:val="20"/>
        </w:rPr>
        <w:t>VERACYTE, INC.</w:t>
      </w:r>
      <w:r>
        <w:rPr>
          <w:color w:val="000000"/>
        </w:rPr>
        <w:t> </w:t>
      </w:r>
    </w:p>
    <w:p>
      <w:pPr>
        <w:pStyle w:val="TextBody"/>
        <w:bidi w:val="0"/>
        <w:spacing w:lineRule="auto" w:line="288" w:before="0" w:after="0"/>
        <w:ind w:left="0" w:right="0" w:firstLine="135"/>
        <w:jc w:val="center"/>
        <w:rPr/>
      </w:pPr>
      <w:r>
        <w:rPr>
          <w:rFonts w:ascii="Times New Roman;sans-serif" w:hAnsi="Times New Roman;sans-serif"/>
          <w:b/>
          <w:color w:val="000000"/>
          <w:sz w:val="20"/>
        </w:rPr>
        <w:t>Condensed Consolidated Balance Sheets</w:t>
      </w: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ind w:left="0" w:right="0" w:firstLine="135"/>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62"/>
        <w:gridCol w:w="2224"/>
        <w:gridCol w:w="2208"/>
        <w:gridCol w:w="196"/>
        <w:gridCol w:w="871"/>
        <w:gridCol w:w="109"/>
        <w:gridCol w:w="109"/>
        <w:gridCol w:w="109"/>
        <w:gridCol w:w="109"/>
        <w:gridCol w:w="225"/>
        <w:gridCol w:w="1003"/>
        <w:gridCol w:w="180"/>
      </w:tblGrid>
      <w:tr>
        <w:trPr/>
        <w:tc>
          <w:tcPr>
            <w:tcW w:w="2862"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(See Note 1)</w:t>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Supplies and 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248,636 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operating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1,156,422 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no shares issued and outstanding as of June 30, 2023 and December 31, 2022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125,000,000 shares authorized, 72,643,156 and 71,959,454 shares issued and outstanding as of June 30, 2023 and December 31, 2022,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1,500,191 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1,075,200 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1,156,422 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pPr>
      <w:r>
        <w:rPr>
          <w:color w:val="000000"/>
        </w:rPr>
        <w:t> </w:t>
      </w:r>
      <w:r>
        <w:rPr>
          <w:rFonts w:ascii="Times New Roman;sans-serif" w:hAnsi="Times New Roman;sans-serif"/>
          <w:b/>
          <w:color w:val="000000"/>
          <w:sz w:val="20"/>
        </w:rPr>
        <w:t>Condensed Consolidated Statements of Operations</w:t>
      </w:r>
    </w:p>
    <w:p>
      <w:pPr>
        <w:pStyle w:val="TextBody"/>
        <w:bidi w:val="0"/>
        <w:spacing w:lineRule="auto" w:line="288" w:before="0" w:after="0"/>
        <w:ind w:left="0" w:right="0" w:firstLine="135"/>
        <w:jc w:val="center"/>
        <w:rPr/>
      </w:pPr>
      <w:r>
        <w:rPr>
          <w:color w:val="000000"/>
        </w:rPr>
        <w:t> </w:t>
      </w:r>
      <w:r>
        <w:rPr>
          <w:rFonts w:ascii="Times New Roman;sans-serif" w:hAnsi="Times New Roman;sans-serif"/>
          <w:b/>
          <w:color w:val="000000"/>
          <w:sz w:val="20"/>
        </w:rPr>
        <w:t>(Unaudited)</w:t>
      </w:r>
    </w:p>
    <w:p>
      <w:pPr>
        <w:pStyle w:val="TextBody"/>
        <w:bidi w:val="0"/>
        <w:spacing w:lineRule="auto" w:line="288" w:before="0" w:after="0"/>
        <w:ind w:left="0" w:right="0" w:firstLine="135"/>
        <w:jc w:val="center"/>
        <w:rPr/>
      </w:pPr>
      <w:r>
        <w:rPr>
          <w:color w:val="000000"/>
        </w:rPr>
        <w:t> </w:t>
      </w:r>
      <w:r>
        <w:rPr>
          <w:rFonts w:ascii="Times New Roman;sans-serif" w:hAnsi="Times New Roman;sans-serif"/>
          <w:b/>
          <w:color w:val="000000"/>
          <w:sz w:val="20"/>
        </w:rPr>
        <w:t>(In thousands, except share and per share amounts)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52"/>
        <w:gridCol w:w="1540"/>
        <w:gridCol w:w="1558"/>
        <w:gridCol w:w="223"/>
        <w:gridCol w:w="738"/>
        <w:gridCol w:w="118"/>
        <w:gridCol w:w="118"/>
        <w:gridCol w:w="118"/>
        <w:gridCol w:w="118"/>
        <w:gridCol w:w="223"/>
        <w:gridCol w:w="738"/>
        <w:gridCol w:w="118"/>
        <w:gridCol w:w="109"/>
        <w:gridCol w:w="109"/>
        <w:gridCol w:w="109"/>
        <w:gridCol w:w="202"/>
        <w:gridCol w:w="759"/>
        <w:gridCol w:w="109"/>
        <w:gridCol w:w="109"/>
        <w:gridCol w:w="109"/>
        <w:gridCol w:w="109"/>
        <w:gridCol w:w="202"/>
        <w:gridCol w:w="759"/>
        <w:gridCol w:w="158"/>
      </w:tblGrid>
      <w:tr>
        <w:trPr/>
        <w:tc>
          <w:tcPr>
            <w:tcW w:w="175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Testing revenue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Biopharmaceutical and other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testing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biopharmaceutical and other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basic and diluted</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compute net loss per common share,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72,478,662 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71,476,966 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72,327,897 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71,354,002 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pPr>
      <w:r>
        <w:rPr>
          <w:color w:val="000000"/>
        </w:rPr>
        <w:t> </w:t>
      </w:r>
      <w:r>
        <w:rPr>
          <w:rFonts w:ascii="Times New Roman;sans-serif" w:hAnsi="Times New Roman;sans-serif"/>
          <w:b/>
          <w:color w:val="000000"/>
          <w:sz w:val="20"/>
        </w:rPr>
        <w:t>Condensed Consolidated Statements of Comprehensive Loss</w:t>
      </w:r>
    </w:p>
    <w:p>
      <w:pPr>
        <w:pStyle w:val="TextBody"/>
        <w:bidi w:val="0"/>
        <w:spacing w:lineRule="auto" w:line="288" w:before="0" w:after="0"/>
        <w:ind w:left="0" w:right="0" w:firstLine="135"/>
        <w:jc w:val="center"/>
        <w:rPr/>
      </w:pPr>
      <w:r>
        <w:rPr>
          <w:color w:val="000000"/>
        </w:rPr>
        <w:t> </w:t>
      </w:r>
      <w:r>
        <w:rPr>
          <w:rFonts w:ascii="Times New Roman;sans-serif" w:hAnsi="Times New Roman;sans-serif"/>
          <w:b/>
          <w:color w:val="000000"/>
          <w:sz w:val="20"/>
        </w:rPr>
        <w:t>(Unaudited)</w:t>
      </w:r>
    </w:p>
    <w:p>
      <w:pPr>
        <w:pStyle w:val="TextBody"/>
        <w:bidi w:val="0"/>
        <w:spacing w:lineRule="auto" w:line="288" w:before="0" w:after="0"/>
        <w:ind w:left="0" w:right="0" w:firstLine="135"/>
        <w:jc w:val="center"/>
        <w:rPr/>
      </w:pPr>
      <w:r>
        <w:rPr>
          <w:color w:val="000000"/>
        </w:rPr>
        <w:t> </w:t>
      </w:r>
      <w:r>
        <w:rPr>
          <w:rFonts w:ascii="Times New Roman;sans-serif" w:hAnsi="Times New Roman;sans-serif"/>
          <w:b/>
          <w:color w:val="000000"/>
          <w:sz w:val="20"/>
        </w:rPr>
        <w:t>(In thousands)</w:t>
      </w:r>
    </w:p>
    <w:p>
      <w:pPr>
        <w:pStyle w:val="TextBody"/>
        <w:bidi w:val="0"/>
        <w:spacing w:before="0" w:after="0"/>
        <w:jc w:val="left"/>
        <w:rPr/>
      </w:pPr>
      <w:r>
        <w:rPr/>
      </w:r>
    </w:p>
    <w:tbl>
      <w:tblPr>
        <w:tblW w:w="8357" w:type="dxa"/>
        <w:jc w:val="center"/>
        <w:tblInd w:w="0" w:type="dxa"/>
        <w:tblLayout w:type="fixed"/>
        <w:tblCellMar>
          <w:top w:w="28" w:type="dxa"/>
          <w:left w:w="28" w:type="dxa"/>
          <w:bottom w:w="28" w:type="dxa"/>
          <w:right w:w="28" w:type="dxa"/>
        </w:tblCellMar>
      </w:tblPr>
      <w:tblGrid>
        <w:gridCol w:w="1145"/>
        <w:gridCol w:w="1003"/>
        <w:gridCol w:w="1016"/>
        <w:gridCol w:w="209"/>
        <w:gridCol w:w="674"/>
        <w:gridCol w:w="116"/>
        <w:gridCol w:w="116"/>
        <w:gridCol w:w="116"/>
        <w:gridCol w:w="116"/>
        <w:gridCol w:w="209"/>
        <w:gridCol w:w="770"/>
        <w:gridCol w:w="116"/>
        <w:gridCol w:w="109"/>
        <w:gridCol w:w="109"/>
        <w:gridCol w:w="109"/>
        <w:gridCol w:w="196"/>
        <w:gridCol w:w="721"/>
        <w:gridCol w:w="109"/>
        <w:gridCol w:w="109"/>
        <w:gridCol w:w="109"/>
        <w:gridCol w:w="109"/>
        <w:gridCol w:w="196"/>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currency translation adjustments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comprehensive loss</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(26,901)</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ind w:left="0" w:right="0" w:firstLine="135"/>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53"/>
        <w:gridCol w:w="441"/>
        <w:gridCol w:w="443"/>
        <w:gridCol w:w="323"/>
        <w:gridCol w:w="323"/>
        <w:gridCol w:w="211"/>
        <w:gridCol w:w="109"/>
        <w:gridCol w:w="109"/>
        <w:gridCol w:w="109"/>
        <w:gridCol w:w="231"/>
        <w:gridCol w:w="390"/>
        <w:gridCol w:w="130"/>
        <w:gridCol w:w="109"/>
        <w:gridCol w:w="109"/>
        <w:gridCol w:w="109"/>
        <w:gridCol w:w="196"/>
        <w:gridCol w:w="871"/>
        <w:gridCol w:w="109"/>
        <w:gridCol w:w="109"/>
        <w:gridCol w:w="109"/>
        <w:gridCol w:w="109"/>
        <w:gridCol w:w="219"/>
        <w:gridCol w:w="845"/>
        <w:gridCol w:w="124"/>
        <w:gridCol w:w="109"/>
        <w:gridCol w:w="109"/>
        <w:gridCol w:w="109"/>
        <w:gridCol w:w="310"/>
        <w:gridCol w:w="1050"/>
        <w:gridCol w:w="175"/>
        <w:gridCol w:w="109"/>
        <w:gridCol w:w="109"/>
        <w:gridCol w:w="109"/>
        <w:gridCol w:w="196"/>
        <w:gridCol w:w="871"/>
        <w:gridCol w:w="159"/>
      </w:tblGrid>
      <w:tr>
        <w:trPr/>
        <w:tc>
          <w:tcPr>
            <w:tcW w:w="95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(401,808)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(410,210)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1,082,718 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1,075,200 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and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(410,210)</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(27,783)</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1,082,718 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53"/>
        <w:gridCol w:w="441"/>
        <w:gridCol w:w="443"/>
        <w:gridCol w:w="323"/>
        <w:gridCol w:w="323"/>
        <w:gridCol w:w="211"/>
        <w:gridCol w:w="109"/>
        <w:gridCol w:w="109"/>
        <w:gridCol w:w="109"/>
        <w:gridCol w:w="231"/>
        <w:gridCol w:w="390"/>
        <w:gridCol w:w="130"/>
        <w:gridCol w:w="109"/>
        <w:gridCol w:w="109"/>
        <w:gridCol w:w="109"/>
        <w:gridCol w:w="196"/>
        <w:gridCol w:w="871"/>
        <w:gridCol w:w="109"/>
        <w:gridCol w:w="109"/>
        <w:gridCol w:w="109"/>
        <w:gridCol w:w="109"/>
        <w:gridCol w:w="219"/>
        <w:gridCol w:w="845"/>
        <w:gridCol w:w="124"/>
        <w:gridCol w:w="109"/>
        <w:gridCol w:w="109"/>
        <w:gridCol w:w="109"/>
        <w:gridCol w:w="310"/>
        <w:gridCol w:w="1050"/>
        <w:gridCol w:w="175"/>
        <w:gridCol w:w="109"/>
        <w:gridCol w:w="109"/>
        <w:gridCol w:w="109"/>
        <w:gridCol w:w="196"/>
        <w:gridCol w:w="871"/>
        <w:gridCol w:w="159"/>
      </w:tblGrid>
      <w:tr>
        <w:trPr/>
        <w:tc>
          <w:tcPr>
            <w:tcW w:w="95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(371,618)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1,085,190 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71,559 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(381,150)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1,064,151 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1,096,514 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and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(non-employee)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(22,967)</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71,559 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(381,150)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(38,050)</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1,064,151 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TextBody"/>
        <w:bidi w:val="0"/>
        <w:spacing w:lineRule="auto" w:line="288" w:before="0" w:after="0"/>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pPr>
      <w:r>
        <w:rPr>
          <w:rFonts w:ascii="Times New Roman;sans-serif" w:hAnsi="Times New Roman;sans-serif"/>
          <w:b/>
          <w:color w:val="000000"/>
          <w:sz w:val="20"/>
        </w:rPr>
        <w:t>VERACYTE, INC.</w:t>
      </w:r>
      <w:r>
        <w:rPr>
          <w:color w:val="000000"/>
        </w:rPr>
        <w:t xml:space="preserve">  </w:t>
      </w:r>
    </w:p>
    <w:p>
      <w:pPr>
        <w:pStyle w:val="TextBody"/>
        <w:bidi w:val="0"/>
        <w:spacing w:lineRule="auto" w:line="288" w:before="0" w:after="0"/>
        <w:ind w:left="0" w:right="0" w:firstLine="135"/>
        <w:jc w:val="center"/>
        <w:rPr/>
      </w:pPr>
      <w:r>
        <w:rPr>
          <w:rFonts w:ascii="Times New Roman;sans-serif" w:hAnsi="Times New Roman;sans-serif"/>
          <w:b/>
          <w:color w:val="000000"/>
          <w:sz w:val="20"/>
        </w:rPr>
        <w:t>Condensed Consolidated Statements of Cash Flows</w:t>
      </w:r>
      <w:r>
        <w:rPr>
          <w:color w:val="000000"/>
        </w:rPr>
        <w:t> </w:t>
      </w:r>
    </w:p>
    <w:p>
      <w:pPr>
        <w:pStyle w:val="TextBody"/>
        <w:bidi w:val="0"/>
        <w:spacing w:lineRule="auto" w:line="288" w:before="0" w:after="0"/>
        <w:ind w:left="0" w:right="0" w:firstLine="135"/>
        <w:jc w:val="center"/>
        <w:rPr/>
      </w:pPr>
      <w:r>
        <w:rPr>
          <w:rFonts w:ascii="Times New Roman;sans-serif" w:hAnsi="Times New Roman;sans-serif"/>
          <w:b/>
          <w:color w:val="000000"/>
          <w:sz w:val="20"/>
        </w:rPr>
        <w:t>(Unaudited)</w:t>
      </w: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113" w:type="dxa"/>
        <w:jc w:val="center"/>
        <w:tblInd w:w="0" w:type="dxa"/>
        <w:tblLayout w:type="fixed"/>
        <w:tblCellMar>
          <w:top w:w="28" w:type="dxa"/>
          <w:left w:w="28" w:type="dxa"/>
          <w:bottom w:w="28" w:type="dxa"/>
          <w:right w:w="28" w:type="dxa"/>
        </w:tblCellMar>
      </w:tblPr>
      <w:tblGrid>
        <w:gridCol w:w="2407"/>
        <w:gridCol w:w="2118"/>
        <w:gridCol w:w="2134"/>
        <w:gridCol w:w="196"/>
        <w:gridCol w:w="736"/>
        <w:gridCol w:w="109"/>
        <w:gridCol w:w="109"/>
        <w:gridCol w:w="109"/>
        <w:gridCol w:w="109"/>
        <w:gridCol w:w="196"/>
        <w:gridCol w:w="736"/>
        <w:gridCol w:w="154"/>
      </w:tblGrid>
      <w:tr>
        <w:trPr/>
        <w:tc>
          <w:tcPr>
            <w:tcW w:w="240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end-of-term debt obligation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Revaluation of acquisition-related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on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Supplies and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 and 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maturity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taxes on vested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common stock options and employee stock 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Increase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Effect of foreign currency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Supplementary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 included in accounts payable and accrued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pPr>
      <w:r>
        <w:rPr>
          <w:rFonts w:ascii="Times New Roman;sans-serif" w:hAnsi="Times New Roman;sans-serif"/>
          <w:b/>
          <w:color w:val="000000"/>
          <w:sz w:val="16"/>
        </w:rPr>
        <w:t>Cash, Cash Equivalents and Restricted Cash</w:t>
      </w:r>
      <w:r>
        <w:rPr>
          <w:rFonts w:ascii="Times New Roman;sans-serif" w:hAnsi="Times New Roman;sans-serif"/>
          <w:b w:val="false"/>
          <w:color w:val="000000"/>
          <w:sz w:val="16"/>
        </w:rPr>
        <w:t>:</w:t>
      </w:r>
    </w:p>
    <w:tbl>
      <w:tblPr>
        <w:tblW w:w="6356" w:type="dxa"/>
        <w:jc w:val="center"/>
        <w:tblInd w:w="0" w:type="dxa"/>
        <w:tblLayout w:type="fixed"/>
        <w:tblCellMar>
          <w:top w:w="28" w:type="dxa"/>
          <w:left w:w="28" w:type="dxa"/>
          <w:bottom w:w="28" w:type="dxa"/>
          <w:right w:w="28" w:type="dxa"/>
        </w:tblCellMar>
      </w:tblPr>
      <w:tblGrid>
        <w:gridCol w:w="1216"/>
        <w:gridCol w:w="1069"/>
        <w:gridCol w:w="1074"/>
        <w:gridCol w:w="212"/>
        <w:gridCol w:w="796"/>
        <w:gridCol w:w="117"/>
        <w:gridCol w:w="109"/>
        <w:gridCol w:w="109"/>
        <w:gridCol w:w="109"/>
        <w:gridCol w:w="279"/>
        <w:gridCol w:w="1047"/>
        <w:gridCol w:w="219"/>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154,247 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192,031 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154,996 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 Description of Business and Summary of Significant Accounting Policies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 Inc., or Veracyte, or the Company, is a global diagnostics company that empowers clinicians with the high-value insights they need to guide and assure patients at pivotal moments in the race to diagnose and treat cancer. Veracyte's high-performing tests enable clinicians to make more confident diagnostic, prognostic and treatment decisions, helping patients avoid unnecessary procedures and interventions, and speed time to appropriate treatment, thereby improving outcomes for patients all over the world.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and Marseille, France.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offers tests in thyroid cancer (Afirma); prostate cancer (Decipher Prostate); breast cancer (Prosigna); interstitial lung diseases (Envisia); and bladder cancer (Decipher Bladder). The Company’s Percepta Nasal Swab test is being run in its CLIA lab in support of clinical studies and its tests for kidney cancer and lymphoma are in development, the latter as a companion diagnostic.</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serves global markets with two complementary models. In the United States, it offers laboratory developed tests, or LDTs, through its centralized, Clinical Laboratory Improvement Amendments of 1988, or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 or IVD, test that runs on the nCounter Analysis System.</w:t>
      </w:r>
    </w:p>
    <w:p>
      <w:pPr>
        <w:pStyle w:val="TextBody"/>
        <w:bidi w:val="0"/>
        <w:spacing w:before="0" w:after="0"/>
        <w:ind w:left="0" w:right="0" w:firstLine="540"/>
        <w:jc w:val="both"/>
        <w:rPr/>
      </w:pPr>
      <w:r>
        <w:rPr/>
      </w:r>
    </w:p>
    <w:p>
      <w:pPr>
        <w:pStyle w:val="TextBody"/>
        <w:bidi w:val="0"/>
        <w:spacing w:lineRule="auto" w:line="288" w:before="0" w:after="0"/>
        <w:ind w:left="0" w:right="0" w:firstLine="135"/>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June 30, 2023, the condensed consolidated statements of operations for the three and six months ended June 30, 2023 and 2022, the condensed consolidated statements of comprehensive loss for the three and six months ended June 30, 2023 and 2022, the condensed consolidated statements of stockholders' equity for the three and six months ended June 30, 2023 and 2022, and the condensed consolidated statements of cash flows for the six months ended June 30, 2023 and 2022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2022 has been derived from audited financial statements. The results for the three and six months ended June 30, 2023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2022.</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 supplies, goodwill and intangibles may be adversely affected. The Company considers the effects, to the extent knowable, of the COVID-19 pandemic in developing its estimates.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cash and cash equivalents are deposited with two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Several of the components of the Company’s sample collection kits and test reagents, and the nCounter system and related diagnostic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June 30, 2023, the Company has derived most of its revenue from the sale of Decipher and Afirma testing. To date, Decipher and Afirma testing have been delivered primarily to physicians in the United States.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June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third-party payers and other customers in excess of 10% of total revenue and their related revenue as a percentage of total revenue were as follows:</w:t>
      </w:r>
    </w:p>
    <w:p>
      <w:pPr>
        <w:pStyle w:val="TextBody"/>
        <w:bidi w:val="0"/>
        <w:spacing w:lineRule="auto" w:line="288" w:before="0" w:after="0"/>
        <w:ind w:left="0" w:right="0" w:firstLine="855"/>
        <w:jc w:val="both"/>
        <w:rPr>
          <w:color w:val="000000"/>
        </w:rPr>
      </w:pPr>
      <w:r>
        <w:rPr>
          <w:color w:val="000000"/>
        </w:rPr>
        <w:t> </w:t>
      </w:r>
    </w:p>
    <w:tbl>
      <w:tblPr>
        <w:tblW w:w="6401" w:type="dxa"/>
        <w:jc w:val="center"/>
        <w:tblInd w:w="0" w:type="dxa"/>
        <w:tblLayout w:type="fixed"/>
        <w:tblCellMar>
          <w:top w:w="28" w:type="dxa"/>
          <w:left w:w="28" w:type="dxa"/>
          <w:bottom w:w="28" w:type="dxa"/>
          <w:right w:w="28" w:type="dxa"/>
        </w:tblCellMar>
      </w:tblPr>
      <w:tblGrid>
        <w:gridCol w:w="489"/>
        <w:gridCol w:w="428"/>
        <w:gridCol w:w="434"/>
        <w:gridCol w:w="209"/>
        <w:gridCol w:w="209"/>
        <w:gridCol w:w="491"/>
        <w:gridCol w:w="209"/>
        <w:gridCol w:w="209"/>
        <w:gridCol w:w="209"/>
        <w:gridCol w:w="209"/>
        <w:gridCol w:w="209"/>
        <w:gridCol w:w="491"/>
        <w:gridCol w:w="109"/>
        <w:gridCol w:w="109"/>
        <w:gridCol w:w="109"/>
        <w:gridCol w:w="188"/>
        <w:gridCol w:w="188"/>
        <w:gridCol w:w="442"/>
        <w:gridCol w:w="188"/>
        <w:gridCol w:w="188"/>
        <w:gridCol w:w="188"/>
        <w:gridCol w:w="188"/>
        <w:gridCol w:w="188"/>
        <w:gridCol w:w="52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Medicare</w:t>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UnitedHealthcare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third-party payers in excess of 10% of total accounts receivable and their related accounts receivable balance as a percentage of total accounts receivable were as follows:</w:t>
      </w:r>
    </w:p>
    <w:p>
      <w:pPr>
        <w:pStyle w:val="TextBody"/>
        <w:bidi w:val="0"/>
        <w:spacing w:lineRule="auto" w:line="288" w:before="0" w:after="0"/>
        <w:ind w:left="0" w:right="0" w:firstLine="855"/>
        <w:jc w:val="both"/>
        <w:rPr>
          <w:color w:val="000000"/>
        </w:rPr>
      </w:pPr>
      <w:r>
        <w:rPr>
          <w:color w:val="000000"/>
        </w:rPr>
        <w:t> </w:t>
      </w:r>
    </w:p>
    <w:tbl>
      <w:tblPr>
        <w:tblW w:w="4423" w:type="dxa"/>
        <w:jc w:val="left"/>
        <w:tblInd w:w="0" w:type="dxa"/>
        <w:tblLayout w:type="fixed"/>
        <w:tblCellMar>
          <w:top w:w="28" w:type="dxa"/>
          <w:left w:w="28" w:type="dxa"/>
          <w:bottom w:w="28" w:type="dxa"/>
          <w:right w:w="28" w:type="dxa"/>
        </w:tblCellMar>
      </w:tblPr>
      <w:tblGrid>
        <w:gridCol w:w="489"/>
        <w:gridCol w:w="428"/>
        <w:gridCol w:w="434"/>
        <w:gridCol w:w="264"/>
        <w:gridCol w:w="264"/>
        <w:gridCol w:w="627"/>
        <w:gridCol w:w="109"/>
        <w:gridCol w:w="109"/>
        <w:gridCol w:w="109"/>
        <w:gridCol w:w="333"/>
        <w:gridCol w:w="333"/>
        <w:gridCol w:w="924"/>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Medicare</w:t>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UnitedHealthcare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demand deposits in a bank, money market funds and highly liquid investments with an original maturity of 90 days or less to be cash equivalents. </w:t>
      </w:r>
    </w:p>
    <w:p>
      <w:pPr>
        <w:pStyle w:val="TextBody"/>
        <w:bidi w:val="0"/>
        <w:spacing w:before="0" w:after="0"/>
        <w:ind w:left="0" w:right="0" w:firstLine="85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with maturities at the time of purchase that were between 90 days and one year. The Company classifies these investments as held-to-maturity debt securities, which are reported at amortized cost. The amortization of discounts or premiums from the purchase of the securities are recognized as a component of interest income in other income (loss), net in the condensed consolidated statements of operations. Investments are initially recorded net of an allowance for expected credit losses, if any, which are remeasured each period and any impairments are recognized as an expense. Unrealized gains and losses are not recognized in income. As of both June 30, 2023 and December 31, 2022, no allowances for expected credit losses had been recorded and there have been no impairment or credit losses on the Company's short term investments.</w:t>
      </w:r>
    </w:p>
    <w:p>
      <w:pPr>
        <w:pStyle w:val="TextBody"/>
        <w:bidi w:val="0"/>
        <w:spacing w:before="0" w:after="0"/>
        <w:ind w:left="0" w:right="0" w:firstLine="855"/>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deposits of $0.9 million and $0.7 million included in long-term assets as of June 30, 2023 and December 31, 2022, respectively, restricted from withdrawal and held by banks in the form of collateral for irrevocable standby letters of credit held as security for the Company's leases. </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Company recognizes revenue in accordance with the provisions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pStyle w:val="TextBody"/>
        <w:bidi w:val="0"/>
        <w:spacing w:before="0" w:after="0"/>
        <w:jc w:val="left"/>
        <w:rPr/>
      </w:pPr>
      <w:r>
        <w:rPr/>
      </w:r>
    </w:p>
    <w:p>
      <w:pPr>
        <w:pStyle w:val="TextBody"/>
        <w:bidi w:val="0"/>
        <w:spacing w:lineRule="auto" w:line="256" w:before="0" w:after="0"/>
        <w:ind w:left="0" w:right="0" w:firstLine="135"/>
        <w:jc w:val="left"/>
        <w:rPr>
          <w:rFonts w:ascii="Times New Roman;sans-serif" w:hAnsi="Times New Roman;sans-serif"/>
          <w:b/>
          <w:color w:val="000000"/>
          <w:sz w:val="20"/>
        </w:rPr>
      </w:pPr>
      <w:r>
        <w:rPr>
          <w:rFonts w:ascii="Times New Roman;sans-serif" w:hAnsi="Times New Roman;sans-serif"/>
          <w:b/>
          <w:color w:val="000000"/>
          <w:sz w:val="20"/>
        </w:rPr>
        <w:t>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bills for testing services at the time of test completion as defined by the delivery of test results. The Company recognizes revenue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56" w:before="0" w:after="0"/>
        <w:ind w:left="0" w:right="0" w:firstLine="135"/>
        <w:jc w:val="left"/>
        <w:rPr>
          <w:rFonts w:ascii="Times New Roman;sans-serif" w:hAnsi="Times New Roman;sans-serif"/>
          <w:b/>
          <w:color w:val="000000"/>
          <w:sz w:val="20"/>
        </w:rPr>
      </w:pPr>
      <w:r>
        <w:rPr>
          <w:rFonts w:ascii="Times New Roman;sans-serif" w:hAnsi="Times New Roman;sans-serif"/>
          <w:b/>
          <w:color w:val="000000"/>
          <w:sz w:val="20"/>
        </w:rPr>
        <w:t>Product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products consist of the Prosigna breast cancer assay, the nCounter Analysis System and related diagnostic kits. Product revenue from diagnostic kits is generally recognized upon shipment. Product revenue from instruments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 </w:t>
      </w:r>
    </w:p>
    <w:p>
      <w:pPr>
        <w:pStyle w:val="TextBody"/>
        <w:bidi w:val="0"/>
        <w:spacing w:before="0" w:after="0"/>
        <w:ind w:left="0" w:right="0" w:firstLine="450"/>
        <w:jc w:val="both"/>
        <w:rPr/>
      </w:pPr>
      <w:r>
        <w:rPr/>
      </w:r>
    </w:p>
    <w:p>
      <w:pPr>
        <w:pStyle w:val="TextBody"/>
        <w:bidi w:val="0"/>
        <w:spacing w:lineRule="auto" w:line="256" w:before="0" w:after="0"/>
        <w:ind w:left="0" w:right="0" w:firstLine="135"/>
        <w:jc w:val="left"/>
        <w:rPr>
          <w:rFonts w:ascii="Times New Roman;sans-serif" w:hAnsi="Times New Roman;sans-serif"/>
          <w:b/>
          <w:color w:val="000000"/>
          <w:sz w:val="20"/>
        </w:rPr>
      </w:pPr>
      <w:r>
        <w:rPr>
          <w:rFonts w:ascii="Times New Roman;sans-serif" w:hAnsi="Times New Roman;sans-serif"/>
          <w:b/>
          <w:color w:val="000000"/>
          <w:sz w:val="20"/>
        </w:rPr>
        <w:t>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arrangements for biopharmaceutical research and development, commercialization, and contract manufacturing and development, which are classified under biopharmaceutical and other revenue. In prior years the Company also entered into arrangements for testing services. Such arrangements may require the Company to deliver various rights, manufactured diagnostic test kits, services and/or samples, including intellectual property rights/licenses, biopharmaceutical research and development services, and/or commercialization services. The Company receives consideration in the form of upfront license fees; payments on delivery of data, test results or manufactured products; costs of service plus margin; and development and commercial performance milestone payments.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sans-serif" w:hAnsi="Times New Roman;sans-serif"/>
          <w:b w:val="false"/>
          <w:i/>
          <w:color w:val="000000"/>
          <w:sz w:val="20"/>
        </w:rPr>
        <w:t>Collaborative Arrangements</w:t>
      </w:r>
      <w:r>
        <w:rPr>
          <w:rFonts w:ascii="Times New Roman;sans-serif" w:hAnsi="Times New Roman;sans-serif"/>
          <w:b w:val="false"/>
          <w:color w:val="000000"/>
          <w:sz w:val="20"/>
        </w:rPr>
        <w:t>, or ASC 808. These milestone payments are recognized in the same manner as milestone payments from customers and are classified under 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biopharmaceutical and other revenue was $8.1 million at June 30, 2023 and $9.3 million at December 31, 2022. There was $2.4 million and $2.6 million of deferred revenue related to these agreements at June 30, 2023 and December 31, 2022, respectively. Revenue included in biopharmaceutical and other revenue for the three and six months ended June 30, 2023 and 2022 was as follows (in thousands of dollars):</w:t>
      </w:r>
    </w:p>
    <w:p>
      <w:pPr>
        <w:pStyle w:val="TextBody"/>
        <w:bidi w:val="0"/>
        <w:spacing w:before="0" w:after="0"/>
        <w:ind w:left="0" w:right="0" w:firstLine="450"/>
        <w:jc w:val="both"/>
        <w:rPr/>
      </w:pPr>
      <w:r>
        <w:rPr/>
      </w:r>
    </w:p>
    <w:tbl>
      <w:tblPr>
        <w:tblW w:w="7638" w:type="dxa"/>
        <w:jc w:val="center"/>
        <w:tblInd w:w="0" w:type="dxa"/>
        <w:tblLayout w:type="fixed"/>
        <w:tblCellMar>
          <w:top w:w="28" w:type="dxa"/>
          <w:left w:w="28" w:type="dxa"/>
          <w:bottom w:w="28" w:type="dxa"/>
          <w:right w:w="28" w:type="dxa"/>
        </w:tblCellMar>
      </w:tblPr>
      <w:tblGrid>
        <w:gridCol w:w="940"/>
        <w:gridCol w:w="826"/>
        <w:gridCol w:w="828"/>
        <w:gridCol w:w="224"/>
        <w:gridCol w:w="635"/>
        <w:gridCol w:w="124"/>
        <w:gridCol w:w="124"/>
        <w:gridCol w:w="124"/>
        <w:gridCol w:w="124"/>
        <w:gridCol w:w="224"/>
        <w:gridCol w:w="738"/>
        <w:gridCol w:w="124"/>
        <w:gridCol w:w="109"/>
        <w:gridCol w:w="109"/>
        <w:gridCol w:w="109"/>
        <w:gridCol w:w="196"/>
        <w:gridCol w:w="647"/>
        <w:gridCol w:w="109"/>
        <w:gridCol w:w="109"/>
        <w:gridCol w:w="109"/>
        <w:gridCol w:w="109"/>
        <w:gridCol w:w="196"/>
        <w:gridCol w:w="647"/>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Biopharmaceutical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manufacturing and testing</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855"/>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Testing Revenue</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Product Revenue</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Cost of product revenue consists primarily of costs of purchasing instruments and diagnostic kits from </w:t>
      </w:r>
      <w:r>
        <w:rPr>
          <w:rFonts w:ascii="Times New Roman;sans-serif" w:hAnsi="Times New Roman;sans-serif"/>
          <w:b w:val="false"/>
          <w:i/>
          <w:color w:val="000000"/>
          <w:sz w:val="20"/>
        </w:rPr>
        <w:t>third</w:t>
      </w:r>
      <w:r>
        <w:rPr>
          <w:rFonts w:ascii="Times New Roman;sans-serif" w:hAnsi="Times New Roman;sans-serif"/>
          <w:b w:val="false"/>
          <w:color w:val="000000"/>
          <w:sz w:val="20"/>
        </w:rPr>
        <w:t>-party contract manufacturers, installation, service and packaging and delivery costs, and the Company's internal labor expenses. In addition, cost of product includes royalty costs for licensed technologies included in the Company’s products.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Biopharmaceutical and Other Revenue</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 consists of costs of performing activities under arrangements that require the Company to perform biopharmaceutical research and development, commercialization, contract manufacturing and contract testing services on behalf of a customer.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Pension Liability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a defined benefit pension plan to certain non-U.S. employees of its Veracyte SAS subsidiary. As of both June 30, 2023 and December 31, 2022, the total pension obligation was $0.7 million and is included in other liabilities on the condensed consolidated balance sheets.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adopted this guidance in 2023 and such adoption had no material impact on its consolidated financial statements and related disclosures.</w:t>
      </w:r>
    </w:p>
    <w:p>
      <w:pPr>
        <w:pStyle w:val="TextBody"/>
        <w:bidi w:val="0"/>
        <w:spacing w:lineRule="auto" w:line="288" w:before="0" w:after="0"/>
        <w:ind w:left="0" w:right="0" w:firstLine="855"/>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Net Loss Per Common Share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pStyle w:val="TextBody"/>
        <w:bidi w:val="0"/>
        <w:spacing w:lineRule="auto" w:line="288" w:before="0" w:after="0"/>
        <w:ind w:left="0" w:right="0" w:firstLine="855"/>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82"/>
        <w:gridCol w:w="1216"/>
        <w:gridCol w:w="1224"/>
        <w:gridCol w:w="605"/>
        <w:gridCol w:w="270"/>
        <w:gridCol w:w="259"/>
        <w:gridCol w:w="259"/>
        <w:gridCol w:w="259"/>
        <w:gridCol w:w="259"/>
        <w:gridCol w:w="605"/>
        <w:gridCol w:w="270"/>
        <w:gridCol w:w="259"/>
        <w:gridCol w:w="109"/>
        <w:gridCol w:w="109"/>
        <w:gridCol w:w="109"/>
        <w:gridCol w:w="590"/>
        <w:gridCol w:w="281"/>
        <w:gridCol w:w="232"/>
        <w:gridCol w:w="232"/>
        <w:gridCol w:w="232"/>
        <w:gridCol w:w="232"/>
        <w:gridCol w:w="590"/>
        <w:gridCol w:w="281"/>
        <w:gridCol w:w="341"/>
      </w:tblGrid>
      <w:tr>
        <w:trPr/>
        <w:tc>
          <w:tcPr>
            <w:tcW w:w="138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subject to outstanding options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3,972,237 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3,955,687 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3,870,228 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3,830,368 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purchase plan</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49,831 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2,980,081 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2,070,624 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2,667,064 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1,835,904 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common stock equivalents</w:t>
            </w:r>
          </w:p>
        </w:tc>
        <w:tc>
          <w:tcPr>
            <w:tcW w:w="8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6,975,280 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6,092,600 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6,573,821 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5,716,103 </w:t>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Balance Sheet Components</w:t>
      </w:r>
    </w:p>
    <w:p>
      <w:pPr>
        <w:pStyle w:val="TextBody"/>
        <w:bidi w:val="0"/>
        <w:spacing w:before="0" w:after="0"/>
        <w:jc w:val="left"/>
        <w:rPr/>
      </w:pPr>
      <w:r>
        <w:rPr/>
      </w:r>
    </w:p>
    <w:p>
      <w:pPr>
        <w:pStyle w:val="TextBody"/>
        <w:bidi w:val="0"/>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$698.9 million and $695.9 million as of June 30, 2023 and December 31, 2022, respectively. The changes in the carrying amounts of goodwill during the six months ended June 30, 2023 were due to foreign currency translation. The Company has not recorded any impairment related to goodwill.</w:t>
      </w:r>
    </w:p>
    <w:p>
      <w:pPr>
        <w:pStyle w:val="TextBody"/>
        <w:bidi w:val="0"/>
        <w:spacing w:before="0" w:after="0"/>
        <w:ind w:left="0" w:right="0" w:firstLine="450"/>
        <w:jc w:val="both"/>
        <w:rPr/>
      </w:pPr>
      <w:r>
        <w:rPr/>
      </w:r>
    </w:p>
    <w:p>
      <w:pPr>
        <w:pStyle w:val="TextBody"/>
        <w:bidi w:val="0"/>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finite-lived product technology, customer relationships, licenses and trade names and indefinite-lived in-process research and development. Intangible assets consisted of the following (in thousands of dollars):</w:t>
      </w:r>
    </w:p>
    <w:p>
      <w:pPr>
        <w:pStyle w:val="TextBody"/>
        <w:bidi w:val="0"/>
        <w:spacing w:before="0" w:after="0"/>
        <w:jc w:val="left"/>
        <w:rPr/>
      </w:pPr>
      <w:r>
        <w:rPr/>
      </w:r>
    </w:p>
    <w:tbl>
      <w:tblPr>
        <w:tblW w:w="10435" w:type="dxa"/>
        <w:jc w:val="center"/>
        <w:tblInd w:w="0" w:type="dxa"/>
        <w:tblLayout w:type="fixed"/>
        <w:tblCellMar>
          <w:top w:w="28" w:type="dxa"/>
          <w:left w:w="28" w:type="dxa"/>
          <w:bottom w:w="28" w:type="dxa"/>
          <w:right w:w="28" w:type="dxa"/>
        </w:tblCellMar>
      </w:tblPr>
      <w:tblGrid>
        <w:gridCol w:w="446"/>
        <w:gridCol w:w="287"/>
        <w:gridCol w:w="288"/>
        <w:gridCol w:w="196"/>
        <w:gridCol w:w="736"/>
        <w:gridCol w:w="109"/>
        <w:gridCol w:w="109"/>
        <w:gridCol w:w="109"/>
        <w:gridCol w:w="109"/>
        <w:gridCol w:w="219"/>
        <w:gridCol w:w="739"/>
        <w:gridCol w:w="123"/>
        <w:gridCol w:w="109"/>
        <w:gridCol w:w="109"/>
        <w:gridCol w:w="109"/>
        <w:gridCol w:w="196"/>
        <w:gridCol w:w="736"/>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09"/>
        <w:gridCol w:w="109"/>
        <w:gridCol w:w="109"/>
        <w:gridCol w:w="109"/>
        <w:gridCol w:w="329"/>
        <w:gridCol w:w="329"/>
        <w:gridCol w:w="468"/>
      </w:tblGrid>
      <w:tr>
        <w:trPr/>
        <w:tc>
          <w:tcPr>
            <w:tcW w:w="4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Percepta product technology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Prosigna product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Prosigna 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nCounter Dx license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LymphMark product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Decipher product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Decipher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customer backlog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finite-lived intangibles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(58,515)</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the finite-lived intangible assets is recognized on a straight-line basis. Amortization expense of $5.3 million and $5.4 million was recognized for the three months ended June 30, 2023 and 2022, respectively, and expense of $10.7 million and $10.9 million was recognized for the six months ended June 30, 2023 and 2022, respectively.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aggregate amortization expense as of June 30, 2023 is as follows (in thousands of dollars):</w:t>
      </w:r>
    </w:p>
    <w:tbl>
      <w:tblPr>
        <w:tblW w:w="3155" w:type="dxa"/>
        <w:jc w:val="left"/>
        <w:tblInd w:w="0" w:type="dxa"/>
        <w:tblLayout w:type="fixed"/>
        <w:tblCellMar>
          <w:top w:w="28" w:type="dxa"/>
          <w:left w:w="28" w:type="dxa"/>
          <w:bottom w:w="28" w:type="dxa"/>
          <w:right w:w="28" w:type="dxa"/>
        </w:tblCellMar>
      </w:tblPr>
      <w:tblGrid>
        <w:gridCol w:w="749"/>
        <w:gridCol w:w="658"/>
        <w:gridCol w:w="662"/>
        <w:gridCol w:w="196"/>
        <w:gridCol w:w="73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remainder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color w:val="000000"/>
        </w:rPr>
      </w:pPr>
      <w:r>
        <w:rPr>
          <w:color w:val="000000"/>
        </w:rPr>
        <w:t> </w:t>
      </w:r>
    </w:p>
    <w:p>
      <w:pPr>
        <w:pStyle w:val="TextBody"/>
        <w:bidi w:val="0"/>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Supplies and Inventory</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supplies and inventory consisted of $7.5 million and $10.2 million, respectively, of lab supplies and reagents consumed in the performance of testing services, and $4.1 million and $4.1 million, respectively, of inventory related to raw materials consumed in the contract manufacturing process, as well as finished and semi-finished components used in the assembly of diagnostic kits related to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100" w:after="283"/>
        <w:ind w:left="0" w:right="0" w:firstLine="450"/>
        <w:jc w:val="both"/>
        <w:rPr/>
      </w:pPr>
      <w:r>
        <w:rPr/>
      </w:r>
    </w:p>
    <w:p>
      <w:pPr>
        <w:pStyle w:val="TextBody"/>
        <w:bidi w:val="0"/>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 of dollars):</w:t>
      </w:r>
    </w:p>
    <w:p>
      <w:pPr>
        <w:pStyle w:val="TextBody"/>
        <w:bidi w:val="0"/>
        <w:spacing w:lineRule="auto" w:line="288" w:before="0" w:after="0"/>
        <w:ind w:left="0" w:right="0" w:firstLine="135"/>
        <w:jc w:val="left"/>
        <w:rPr>
          <w:color w:val="000000"/>
        </w:rPr>
      </w:pPr>
      <w:r>
        <w:rPr>
          <w:color w:val="000000"/>
        </w:rPr>
        <w:t> </w:t>
      </w:r>
    </w:p>
    <w:tbl>
      <w:tblPr>
        <w:tblW w:w="5501" w:type="dxa"/>
        <w:jc w:val="left"/>
        <w:tblInd w:w="0" w:type="dxa"/>
        <w:tblLayout w:type="fixed"/>
        <w:tblCellMar>
          <w:top w:w="28" w:type="dxa"/>
          <w:left w:w="28" w:type="dxa"/>
          <w:bottom w:w="28" w:type="dxa"/>
          <w:right w:w="28" w:type="dxa"/>
        </w:tblCellMar>
      </w:tblPr>
      <w:tblGrid>
        <w:gridCol w:w="880"/>
        <w:gridCol w:w="774"/>
        <w:gridCol w:w="776"/>
        <w:gridCol w:w="238"/>
        <w:gridCol w:w="785"/>
        <w:gridCol w:w="132"/>
        <w:gridCol w:w="109"/>
        <w:gridCol w:w="109"/>
        <w:gridCol w:w="109"/>
        <w:gridCol w:w="313"/>
        <w:gridCol w:w="1031"/>
        <w:gridCol w:w="245"/>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expenses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w:t>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liabilities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37,774 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I: Inputs which include quoted prices in active markets for identical assets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III: Unobservable inputs that are supported by little or no market activity and that are significant to the fair value of the assets or liabilities.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$5.6 million and $131.2 million as of June 30, 2023 and December 31, 2022, respectively, and are Level I assets as described above. The deposits for the leases, included in restricted cash, were $0.9 million and $0.7 million as of June 30, 2023 and December 31, 2022, respectively, and are a Level I assets as described above. There were no transfers between Levels 1, 2 or 3 for the three and six months ended June 30, 2023 and 2022.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first achievement or occurrence, by or on behalf of Veracyte,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As of June 30, 2023 and December 31, 2022, this contingency was remeasured to $8.2 million and $8.6 million, respectively, with the corresponding changes included in general and administrative expense in the Company's condensed consolidated statements of operations. For the three months ended June 30, 2023 and 2022, an expense of $0.1 million and a reversal of expense of $0.1 million, respectively, were recorded in general and administrative expense for the changes in carrying value. For the six months ended June 30, 2023 and 2022, a reversal of expense of $0.3 million and zero, respectively, were recorded. As of June 30, 2023, the achievement of one of the milestones is forecasted to occur within the next 12 months. As a result, $3.4 million of the contingent consideration is included in short term liabilities at June 30, 2023.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milestones and the borrowing rate can significantly affect the estimated fair value of the contingent consideration. As of June 30, 2023 and December 31, 2022, the Company calculated the estimated fair value of the milestones using the following significant unobservable inputs:</w:t>
      </w:r>
    </w:p>
    <w:p>
      <w:pPr>
        <w:pStyle w:val="TextBody"/>
        <w:bidi w:val="0"/>
        <w:spacing w:lineRule="auto" w:line="288" w:before="0" w:after="0"/>
        <w:ind w:left="0" w:right="0" w:firstLine="135"/>
        <w:jc w:val="left"/>
        <w:rPr>
          <w:color w:val="000000"/>
        </w:rPr>
      </w:pPr>
      <w:r>
        <w:rPr>
          <w:color w:val="000000"/>
        </w:rPr>
        <w:t> </w:t>
      </w:r>
    </w:p>
    <w:tbl>
      <w:tblPr>
        <w:tblW w:w="6356" w:type="dxa"/>
        <w:jc w:val="left"/>
        <w:tblInd w:w="0" w:type="dxa"/>
        <w:tblLayout w:type="fixed"/>
        <w:tblCellMar>
          <w:top w:w="28" w:type="dxa"/>
          <w:left w:w="28" w:type="dxa"/>
          <w:bottom w:w="28" w:type="dxa"/>
          <w:right w:w="28" w:type="dxa"/>
        </w:tblCellMar>
      </w:tblPr>
      <w:tblGrid>
        <w:gridCol w:w="729"/>
        <w:gridCol w:w="639"/>
        <w:gridCol w:w="642"/>
        <w:gridCol w:w="109"/>
        <w:gridCol w:w="109"/>
        <w:gridCol w:w="109"/>
        <w:gridCol w:w="500"/>
        <w:gridCol w:w="500"/>
        <w:gridCol w:w="500"/>
        <w:gridCol w:w="310"/>
        <w:gridCol w:w="310"/>
        <w:gridCol w:w="310"/>
        <w:gridCol w:w="459"/>
        <w:gridCol w:w="459"/>
        <w:gridCol w:w="671"/>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 or Range (Weighted-Average)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Probability of achievement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80% - 100% (92%)</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80% - 100% (94%)</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Investments Held-to-Maturity</w:t>
      </w:r>
    </w:p>
    <w:p>
      <w:pPr>
        <w:pStyle w:val="TextBody"/>
        <w:bidi w:val="0"/>
        <w:spacing w:before="0" w:after="0"/>
        <w:ind w:left="0" w:right="0" w:firstLine="135"/>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with maturities at the time of purchase that were between 90 days and one year. The Company classifies these investments as held-to-maturity debt securities, which are reported at amortized cost, and are Level I assets as described above. As of June 30, 2023, the Company held no short-term investments and, as of December 31, 2022, short-term investments comprised U.S. treasury bills recorded at amortized cost of $24.6 million with a fair value of approximately $24.6 million. As of December 31, 2022, gross unrealized losses on short-term investments were insignificant. As part of its banking partner diversification efforts, the Company sold $40.0 million U.S. treasury bills with an amortized cost of $39.8 million for $39.8 million and realized a gross gain of $13 thousand during the six months ended June 30, 2023. No realized gains or losses on short-term investments were recognized in 2022.</w:t>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Commitments and Contingencies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and laboratory facilities in South San Francisco and San Diego, California; Austin, Texas; Marseille, France; and Richmond, Virginia, and leases certain equipment under various non-cancelable lease agreements. The lease terms extend to January 2029 and contain extension of lease terms and expansion options. The leases have a weighted average remaining lease term of 3.1 years as of June 30, 2023. The Company had deposits of $0.9 million and $0.7 million included in long-term assets as of June 30, 2023 and December 31, 2022, respectively, restricted from withdrawal and held by banks in the form of collateral for irrevocable standby letters of credit held as security for the leases.</w:t>
      </w:r>
    </w:p>
    <w:p>
      <w:pPr>
        <w:pStyle w:val="TextBody"/>
        <w:bidi w:val="0"/>
        <w:spacing w:before="0" w:after="0"/>
        <w:ind w:left="0" w:right="0" w:firstLine="855"/>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Company determined its operating lease liabilities using payments through their current expiration dates and a weighted average discount rate of 7.9%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or ASC 842, the Company classified its deferred rent for tenant improvements with its operating lease right-of-use assets on the consolidated balance sheets.</w:t>
      </w:r>
    </w:p>
    <w:p>
      <w:pPr>
        <w:pStyle w:val="TextBody"/>
        <w:bidi w:val="0"/>
        <w:spacing w:lineRule="auto" w:line="288" w:before="0" w:after="0"/>
        <w:ind w:left="0" w:right="0" w:firstLine="135"/>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June 30, 2023 are as follows (in thousands of dollars):</w:t>
      </w:r>
    </w:p>
    <w:p>
      <w:pPr>
        <w:pStyle w:val="TextBody"/>
        <w:bidi w:val="0"/>
        <w:spacing w:lineRule="auto" w:line="288" w:before="0" w:after="0"/>
        <w:ind w:left="0" w:right="0" w:firstLine="135"/>
        <w:jc w:val="center"/>
        <w:rPr>
          <w:color w:val="000000"/>
        </w:rPr>
      </w:pPr>
      <w:r>
        <w:rPr>
          <w:color w:val="000000"/>
        </w:rPr>
        <w:t> </w:t>
      </w:r>
    </w:p>
    <w:tbl>
      <w:tblPr>
        <w:tblW w:w="3740" w:type="dxa"/>
        <w:jc w:val="left"/>
        <w:tblInd w:w="0" w:type="dxa"/>
        <w:tblLayout w:type="fixed"/>
        <w:tblCellMar>
          <w:top w:w="28" w:type="dxa"/>
          <w:left w:w="28" w:type="dxa"/>
          <w:bottom w:w="28" w:type="dxa"/>
          <w:right w:w="28" w:type="dxa"/>
        </w:tblCellMar>
      </w:tblPr>
      <w:tblGrid>
        <w:gridCol w:w="1027"/>
        <w:gridCol w:w="902"/>
        <w:gridCol w:w="905"/>
        <w:gridCol w:w="196"/>
        <w:gridCol w:w="55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Amounts</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minimum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 representing interest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future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operating lease expense on a straight-line basis over the non-cancelable lease period. The following table summarizes operating lease expense and cash paid for amounts included in the measurement of lease liabilities (in thousands of dollars): </w:t>
      </w:r>
    </w:p>
    <w:p>
      <w:pPr>
        <w:pStyle w:val="TextBody"/>
        <w:bidi w:val="0"/>
        <w:spacing w:before="0" w:after="0"/>
        <w:ind w:left="0" w:right="0" w:firstLine="450"/>
        <w:jc w:val="both"/>
        <w:rPr/>
      </w:pPr>
      <w:r>
        <w:rPr/>
      </w:r>
    </w:p>
    <w:tbl>
      <w:tblPr>
        <w:tblW w:w="10084" w:type="dxa"/>
        <w:jc w:val="center"/>
        <w:tblInd w:w="0" w:type="dxa"/>
        <w:tblLayout w:type="fixed"/>
        <w:tblCellMar>
          <w:top w:w="28" w:type="dxa"/>
          <w:left w:w="28" w:type="dxa"/>
          <w:bottom w:w="28" w:type="dxa"/>
          <w:right w:w="28" w:type="dxa"/>
        </w:tblCellMar>
      </w:tblPr>
      <w:tblGrid>
        <w:gridCol w:w="1824"/>
        <w:gridCol w:w="1604"/>
        <w:gridCol w:w="1612"/>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leased laboratory equipment under various financing leases. The total right-of-use assets and total financing lease liabilities for these financing leases were $0.2 million and $0.2 million, respectively, as of June 30, 2023, and are included in property, plant and equipment, net and other liabilities in the accompanying condensed consolidated balance sheets. As of December 31, 2022, the total right-of-use assets and total financing lease liabilities for these financing leases were $0.4 million and $0.4 million,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wholly-owned foreign subsidiary has entered into an arrangement under which it expects to sign a lease agreement for facilities which will be constructed in Marseille, France. The lease will commence upon completion of the construction of the office building which the Company currently expects to occur in the second half of 2023 at which time the Company will record a lease liability and a corresponding ROU asset. The initial term of the lease will be twelve years with annual rent of approximately $1.3 million, which is subject to change based on final construction.</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pStyle w:val="TextBody"/>
        <w:bidi w:val="0"/>
        <w:spacing w:lineRule="auto" w:line="288" w:before="0" w:after="0"/>
        <w:ind w:left="0" w:right="0" w:firstLine="855"/>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855"/>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Stockholders’ Equity</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for issuance as follows:</w:t>
      </w:r>
    </w:p>
    <w:p>
      <w:pPr>
        <w:pStyle w:val="TextBody"/>
        <w:bidi w:val="0"/>
        <w:spacing w:lineRule="auto" w:line="288" w:before="0" w:after="0"/>
        <w:ind w:left="0" w:right="0" w:firstLine="135"/>
        <w:jc w:val="left"/>
        <w:rPr>
          <w:color w:val="000000"/>
        </w:rPr>
      </w:pPr>
      <w:r>
        <w:rPr>
          <w:color w:val="000000"/>
        </w:rPr>
        <w:t> </w:t>
      </w:r>
    </w:p>
    <w:tbl>
      <w:tblPr>
        <w:tblW w:w="9311" w:type="dxa"/>
        <w:jc w:val="left"/>
        <w:tblInd w:w="0" w:type="dxa"/>
        <w:tblLayout w:type="fixed"/>
        <w:tblCellMar>
          <w:top w:w="28" w:type="dxa"/>
          <w:left w:w="28" w:type="dxa"/>
          <w:bottom w:w="28" w:type="dxa"/>
          <w:right w:w="28" w:type="dxa"/>
        </w:tblCellMar>
      </w:tblPr>
      <w:tblGrid>
        <w:gridCol w:w="2169"/>
        <w:gridCol w:w="1909"/>
        <w:gridCol w:w="1921"/>
        <w:gridCol w:w="479"/>
        <w:gridCol w:w="482"/>
        <w:gridCol w:w="386"/>
        <w:gridCol w:w="109"/>
        <w:gridCol w:w="109"/>
        <w:gridCol w:w="109"/>
        <w:gridCol w:w="513"/>
        <w:gridCol w:w="465"/>
        <w:gridCol w:w="660"/>
      </w:tblGrid>
      <w:tr>
        <w:trPr/>
        <w:tc>
          <w:tcPr>
            <w:tcW w:w="216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and restricted stock units issued and outstanding</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6,860,444 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5,881,906 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and restricted stock units available for grant under stock option plans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5,256,642 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5,591,977 </w:t>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available for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1,242,954 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1,335,353 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13,360,040 </w:t>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12,809,236 </w:t>
            </w:r>
          </w:p>
        </w:tc>
        <w:tc>
          <w:tcPr>
            <w:tcW w:w="6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Components of Other Income</w:t>
      </w:r>
    </w:p>
    <w:p>
      <w:pPr>
        <w:pStyle w:val="TextBody"/>
        <w:bidi w:val="0"/>
        <w:spacing w:before="0" w:after="0"/>
        <w:jc w:val="left"/>
        <w:rPr/>
      </w:pPr>
      <w:r>
        <w:rPr/>
      </w:r>
    </w:p>
    <w:p>
      <w:pPr>
        <w:pStyle w:val="TextBody"/>
        <w:bidi w:val="0"/>
        <w:spacing w:lineRule="auto" w:line="25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the following (in thousands of dollars):</w:t>
      </w:r>
    </w:p>
    <w:p>
      <w:pPr>
        <w:pStyle w:val="TextBody"/>
        <w:bidi w:val="0"/>
        <w:spacing w:before="0" w:after="0"/>
        <w:jc w:val="left"/>
        <w:rPr/>
      </w:pPr>
      <w:r>
        <w:rPr/>
      </w:r>
    </w:p>
    <w:tbl>
      <w:tblPr>
        <w:tblW w:w="7667" w:type="dxa"/>
        <w:jc w:val="center"/>
        <w:tblInd w:w="0" w:type="dxa"/>
        <w:tblLayout w:type="fixed"/>
        <w:tblCellMar>
          <w:top w:w="28" w:type="dxa"/>
          <w:left w:w="28" w:type="dxa"/>
          <w:bottom w:w="28" w:type="dxa"/>
          <w:right w:w="28" w:type="dxa"/>
        </w:tblCellMar>
      </w:tblPr>
      <w:tblGrid>
        <w:gridCol w:w="948"/>
        <w:gridCol w:w="836"/>
        <w:gridCol w:w="840"/>
        <w:gridCol w:w="225"/>
        <w:gridCol w:w="726"/>
        <w:gridCol w:w="125"/>
        <w:gridCol w:w="125"/>
        <w:gridCol w:w="125"/>
        <w:gridCol w:w="125"/>
        <w:gridCol w:w="225"/>
        <w:gridCol w:w="640"/>
        <w:gridCol w:w="125"/>
        <w:gridCol w:w="109"/>
        <w:gridCol w:w="109"/>
        <w:gridCol w:w="109"/>
        <w:gridCol w:w="213"/>
        <w:gridCol w:w="605"/>
        <w:gridCol w:w="118"/>
        <w:gridCol w:w="118"/>
        <w:gridCol w:w="118"/>
        <w:gridCol w:w="118"/>
        <w:gridCol w:w="213"/>
        <w:gridCol w:w="605"/>
        <w:gridCol w:w="167"/>
      </w:tblGrid>
      <w:tr>
        <w:trPr/>
        <w:tc>
          <w:tcPr>
            <w:tcW w:w="94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French research tax credits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currency revaluation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Income Taxes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of $0.1 million and benefit $0.1 million for the three months ended June 30, 2023 and 2022, respectively, and expense of $0.1 million and benefit of $0.1 million for the six months ended June 30, 2023 and 2022,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was signed into law August 16, 2022, and includes significant legislation addressing taxes, inflation, climate change and renewable energy incentives, and healthcare. Key tax provisions include a 15% corporate minimum tax, clean energy incentives, and a 1% excise tax on stock buybacks. The Company does not expect the provisions of such legislation to have any impact on the effective tax rate of the Company but will continue to evaluate the tax effects should any provisions become applicable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used in this report, all references to "Veracyte," the "company," "we," "our" and "us" refer to Veracyte, Inc., together with its consolidated subsidiaries, unless otherwise noted. </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Veracyte, Afirma, Percepta, Envisia, Prosigna, Lymphmark, Decipher, GRID, HalioDx, Brightplex, Immunosign, and the Veracyte logo are registered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w:t>
      </w:r>
    </w:p>
    <w:p>
      <w:pPr>
        <w:pStyle w:val="TextBody"/>
        <w:bidi w:val="0"/>
        <w:spacing w:lineRule="auto" w:line="288" w:before="0" w:after="0"/>
        <w:ind w:left="0" w:right="0" w:firstLine="675"/>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speed time to appropriate treatment, thereby improving outcomes for patients all over the world.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offer tests in thyroid cancer (Afirma); prostate cancer (Decipher Prostate); breast cancer (Prosigna); interstitial lung diseases (Envisia); and bladder cancer (Decipher Bladder). Our Percepta Nasal Swab test is being run in our CLIA lab in support of clinical studies and our tests for kidney cancer and lymphoma are in development, the latter as a companion diagnostic.</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global markets with two complementary models. In the United States, we offer laboratory developed tests, or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Envisia, Decipher Prostate and Percepta Nasal Swab tests as IVD tests that run on the nCounter Analysis System. We believe our broad menu of advanced diagnostic tests, combined with our ability to deliver them globally, uniquely positions us in the diagnostics industry.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COVID-19 and Macroeconomic Factors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COVID-19 has impacted our total test volumes primarily during 2020 and 2021. Our customers, third-party contract manufacturers, carriers, suppliers and collaboration partners have been affected by the closure of hospitals, doctors' offices, manufacturing sites, or country borders, among other measures put in place around the world. Our operations remain subject to risk due to possible COVID-19 outbreaks at our sites. Layoffs, furloughs and unplanned loss of staff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Decipher Prostate test has been least impacted by the pandemic because our customers are mostly community-based urology practices, which generally remained more accessible to patients and our sales reps. Our Afirma thyroid cancer test was impacted by COVID-19 in 2020 and portions of 2021 as a majority of our samples come from large institutions which are less accessible to patients and our reps. We believe our pulmonology business was the most impacted since the bronchoscopy procedures used to collect samples for our Envisia test are considered elective procedures and are performed in hospital settings, which have been more restrictive. Further these tests are ordered by pulmonologists who may have been largely preoccupied with caring for COVID-19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ongoing interest rate increases and inflation in the U.S. and other markets globally, as well as turmoil in the global banking and finance system, may heighten the risk of an economic downturn or recession and volatility and dislocation in the capital or credit markets in the U.S. or globally. Moreover, the continued fluctuation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Finally, the military conflict between Russia and Ukraine has increased the risk of disruptions to energy supplies in Europe, which may impact our ability to manufacture tests and perform services from our facility in Marseille, France.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of the impact of COVID-19 and other macroeconomic factors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the impact to our sales and renewal cycles; changes in central bank policies and interest rates; rates of inflation; and changes in foreign currency exchange rates. See Risk Factors for further discussion. </w:t>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Reported Total Test Volume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the number of tests that we perform and report as completed in our CLIA-certified laboratories and Prosigna tests processed on the nCounter Analysis System. Factors impacting the number of tests that we report as completed include, but are not limited to:</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COVID-19 on patients seeking to have tests performed, as well as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availability of hospital staff to perform and support procedures needed to collect samples for our tests;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number of samples that we receive that meet the medical indication for each test performed;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quantity and quality of the sample received;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receipt of the necessary documentation, such as physician order and patient consent, required to perform, bill and collect for our tests;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patient's ability to pay or provide necessary insurance coverage for the tests performed;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time it takes us to perform our tests and report the results, including as a result of supply chain challenges;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seasonality inherent in our business, such as the impact of work-days per period, timing of industry conferences and timing of when patient deductibles are exceeded, which also impacts the reimbursement we receive from insurers;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prior authorization or meet other requirements instituted by payers, benefit managers, or regulators necessary to be paid for our tests.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Adoption of and Reimbursement for our Products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How We Recognize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recognize revenue in accordance with the provisions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Testing Revenue</w:t>
      </w:r>
    </w:p>
    <w:p>
      <w:pPr>
        <w:pStyle w:val="TextBody"/>
        <w:bidi w:val="0"/>
        <w:spacing w:before="0" w:after="0"/>
        <w:ind w:left="0" w:right="0" w:firstLine="85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incur expense for tests in the period in which the test is conducted and recognize revenue for tests in the period in which our revenue recognition criteria are met.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Biopharmaceutical and Other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arrangements to license or provide access to our assets or services, including clinical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services to our customers are recognized in accordance with ASC 606 and are classified under biopharmaceutical and other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pStyle w:val="TextBody"/>
        <w:bidi w:val="0"/>
        <w:spacing w:before="0" w:after="0"/>
        <w:ind w:left="0" w:right="0" w:firstLine="450"/>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Timing of Our Research and Development Expenses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Through June 30, 2023, we had derived most of our revenue from the sale of Decipher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pStyle w:val="TextBody"/>
        <w:bidi w:val="0"/>
        <w:spacing w:lineRule="auto" w:line="288" w:before="0" w:after="0"/>
        <w:ind w:left="0" w:right="0" w:firstLine="135"/>
        <w:jc w:val="left"/>
        <w:rPr>
          <w:color w:val="000000"/>
        </w:rPr>
      </w:pPr>
      <w:r>
        <w:rPr>
          <w:color w:val="000000"/>
        </w:rPr>
        <w:t> </w:t>
      </w:r>
    </w:p>
    <w:tbl>
      <w:tblPr>
        <w:tblW w:w="6401" w:type="dxa"/>
        <w:jc w:val="center"/>
        <w:tblInd w:w="0" w:type="dxa"/>
        <w:tblLayout w:type="fixed"/>
        <w:tblCellMar>
          <w:top w:w="28" w:type="dxa"/>
          <w:left w:w="28" w:type="dxa"/>
          <w:bottom w:w="28" w:type="dxa"/>
          <w:right w:w="28" w:type="dxa"/>
        </w:tblCellMar>
      </w:tblPr>
      <w:tblGrid>
        <w:gridCol w:w="489"/>
        <w:gridCol w:w="428"/>
        <w:gridCol w:w="434"/>
        <w:gridCol w:w="209"/>
        <w:gridCol w:w="209"/>
        <w:gridCol w:w="491"/>
        <w:gridCol w:w="209"/>
        <w:gridCol w:w="209"/>
        <w:gridCol w:w="209"/>
        <w:gridCol w:w="209"/>
        <w:gridCol w:w="209"/>
        <w:gridCol w:w="491"/>
        <w:gridCol w:w="109"/>
        <w:gridCol w:w="109"/>
        <w:gridCol w:w="109"/>
        <w:gridCol w:w="188"/>
        <w:gridCol w:w="188"/>
        <w:gridCol w:w="442"/>
        <w:gridCol w:w="188"/>
        <w:gridCol w:w="188"/>
        <w:gridCol w:w="188"/>
        <w:gridCol w:w="188"/>
        <w:gridCol w:w="188"/>
        <w:gridCol w:w="52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Medicare</w:t>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UnitedHealthcare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judgments underlying our estimated reimbursement change, our accrued revenue and financial results could be negatively impacted in future periods.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Testing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cost of testing revenue are laboratory expenses, sample collection kit costs, sample collection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Product Revenue</w:t>
      </w:r>
    </w:p>
    <w:p>
      <w:pPr>
        <w:pStyle w:val="TextBody"/>
        <w:bidi w:val="0"/>
        <w:spacing w:before="0" w:after="0"/>
        <w:ind w:left="0" w:right="0" w:firstLine="85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Biopharmaceutical and Other Revenue</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biopharmaceutical and other revenue are the costs of performing activities under arrangements that require us to perform research and development, commercialization, and contract manufacturing and development on behalf of a customer. This cost is mainly composed of compensation expense, manufacturing and laboratory supplies and pass-through costs.</w:t>
      </w:r>
    </w:p>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2022 and in the six months ended June 30, 2023 in support of our early-stage products, including Percepta Nasal Swab, as well as the development of new IVD products. Going forward, we expect to incur significant expense as we invest in the development of our innovation engine, early-stage products, including required clinical studies, the development of current tests for the nCounter instrument and the transition of manufacturing to our Veracyte Marseille facility.</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consist of compensation expenses, direct marketing expenses, professional fees, other expenses such as travel and communications costs, as well as allocation of facility and information technology expenses. Our sales team of approximately 120 representatives is organized by business unit in the U.S., with separate teams calling on thyroid cancer, urologic cancers, and pulmonology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compensation expenses for executive officers and administrative, billing and client service personnel, professional fees for legal and audit services, occupancy costs, depreciation and amortization,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such as information technology and miscellaneous expenses, offset by allocation of facility and information technology expenses to other functions. We expect general and administrative expenses to continue to increase as we build our infrastructure to scale revenue growth, and to stabilize thereafter.</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Intangible Asset Amortization</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finite-lived intangible assets, acquired in business combinations, are being amortized over 4 to 15 years, using the straight-line method. Amortization expense is expected to be approximately $21.3 million per year through 2024 and decrease thereafter.</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is attributable to our borrowings under debt agreements and costs associated with the prepayment of debt.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Income (Loss), Net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(loss), net consists primarily of realized and unrealized gains and losses on foreign currency transactions, French research tax credits, interest expense on our debt and interest income from our cash held in interest bearing accounts. The French research tax credits (crédit d’impôt recherche or CIR) are generated by our wholly-owned subsidiary, Veracyte SAS, in connection with its research efforts performed in Marseille, France.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Comparison of the three and six months ended June 30, 2023 and 2022 (in thousands of dollars, except percentages and test volume):</w:t>
      </w:r>
    </w:p>
    <w:p>
      <w:pPr>
        <w:pStyle w:val="TextBody"/>
        <w:bidi w:val="0"/>
        <w:spacing w:lineRule="auto" w:line="288" w:before="0" w:after="0"/>
        <w:ind w:left="0" w:right="0" w:firstLine="135"/>
        <w:jc w:val="left"/>
        <w:rPr>
          <w:color w:val="000000"/>
        </w:rPr>
      </w:pPr>
      <w:r>
        <w:rPr>
          <w:color w:val="000000"/>
        </w:rPr>
        <w:t> </w:t>
      </w:r>
    </w:p>
    <w:tbl>
      <w:tblPr>
        <w:tblW w:w="10518" w:type="dxa"/>
        <w:jc w:val="center"/>
        <w:tblInd w:w="0" w:type="dxa"/>
        <w:tblLayout w:type="fixed"/>
        <w:tblCellMar>
          <w:top w:w="28" w:type="dxa"/>
          <w:left w:w="28" w:type="dxa"/>
          <w:bottom w:w="28" w:type="dxa"/>
          <w:right w:w="28" w:type="dxa"/>
        </w:tblCellMar>
      </w:tblPr>
      <w:tblGrid>
        <w:gridCol w:w="515"/>
        <w:gridCol w:w="453"/>
        <w:gridCol w:w="458"/>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85"/>
        <w:gridCol w:w="142"/>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75"/>
        <w:gridCol w:w="152"/>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Testing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Biopharmaceutical and other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testing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biopharmaceutical and 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Operating Data:</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Diagnostic tests reported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tests sold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test volume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$17.5 million for the three months ended June 30, 2023 compared to the same period in 2022. This was primarily due to a $22.0 million increase in testing revenue driven by a 28% volume increase, partially offset by a $5.5 million decrease in our Biopharmaceutical and other revenue. Afirma and Decipher Prostate tests drove the increase in testing revenue and tests reported for the three months ended June 30, 2023. Product revenue increased $0.9 million for the three months ended June 30, 2023 compared to the same period in 2022, driven primarily by an increase in product test kits sold, as well as sales of the nCounter Analysis System. This growth includes an improvement in currency exchange rates, which positively impacted product revenue by $0.1 million. Biopharmaceutical and other revenue decreased by $5.5 million for the three months ended June 30, 2023 driven primarily by the reduction of customer projects given overall spending constraints across the industry. Currency exchange rates positively impacted our total revenue by $0.1 million for the three months ended June 30, 2023 when compared to rates for the same period in 2022.</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$32.1 million for the six months ended June 30, 2023 compared to the same period in 2022. This was primarily due to a $38.4 million increase in testing revenue driven by a 26% volume increase, partially offset by a $8.2 million decrease in our Biopharmaceutical and other revenue. The increase in testing revenue and tests reported for the six months ended June 30, 2023 was due to Afirma and Decipher Prostate tests, which contributed $38.7 million of the increase. The remaining testing business decreased by $0.3 million primarily due to our decision to discontinue our Immunoscore test and to stop actively marketing our Percepta GSC test. Product revenue increased $1.8 million for the six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compared to the same period in 2022, driven primarily by an increase in product test kits sold as well as sales of the nCounter Analysis System. This growth was partially offset by a decline in currency exchange rates, which negatively impacted product revenue by $0.1 million. Biopharmaceutical and other revenue decreased by $8.2 million for the six months ended June 30, 2023 driven primarily by the reduction of customer projects given overall spending constraints across the industry. Currency exchange rates negatively impacted our total revenue by $0.2 million for the six months ended June 30, 2023 when compared to rates for the same period in 2022.</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three and six months ended June 30, 2023 and 2022 is as follows (in thousands of dollars, except percentages):</w:t>
      </w:r>
    </w:p>
    <w:p>
      <w:pPr>
        <w:pStyle w:val="TextBody"/>
        <w:bidi w:val="0"/>
        <w:spacing w:lineRule="auto" w:line="288" w:before="0" w:after="0"/>
        <w:ind w:left="0" w:right="0" w:firstLine="135"/>
        <w:jc w:val="left"/>
        <w:rPr>
          <w:color w:val="000000"/>
        </w:rPr>
      </w:pPr>
      <w:r>
        <w:rPr>
          <w:color w:val="000000"/>
        </w:rPr>
        <w:t> </w:t>
      </w:r>
    </w:p>
    <w:tbl>
      <w:tblPr>
        <w:tblW w:w="10880" w:type="dxa"/>
        <w:jc w:val="center"/>
        <w:tblInd w:w="0" w:type="dxa"/>
        <w:tblLayout w:type="fixed"/>
        <w:tblCellMar>
          <w:top w:w="28" w:type="dxa"/>
          <w:left w:w="28" w:type="dxa"/>
          <w:bottom w:w="28" w:type="dxa"/>
          <w:right w:w="28" w:type="dxa"/>
        </w:tblCellMar>
      </w:tblPr>
      <w:tblGrid>
        <w:gridCol w:w="810"/>
        <w:gridCol w:w="370"/>
        <w:gridCol w:w="216"/>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76"/>
        <w:gridCol w:w="280"/>
        <w:gridCol w:w="25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76"/>
        <w:gridCol w:w="280"/>
        <w:gridCol w:w="301"/>
      </w:tblGrid>
      <w:tr>
        <w:trPr/>
        <w:tc>
          <w:tcPr>
            <w:tcW w:w="81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testing revenue:</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Sample collection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royalties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biopharmaceutical and other revenue:</w:t>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royalties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testing revenue increased $4.7 million, or 26%, for the three months ended June 30, 2023 compared to the same period in 2022. The increase in cost of testing revenue was due to increased volume in testing, primarily related to Afirma and Decipher Prostate.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testing revenue increased $6.9 million, or 19%, for the six months ended June 30, 2023 compared to the same period in 2022. The increase in cost of testing revenue was due to increased volume in testing, primarily related to Afirma and Decipher Prostate.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revenue is related to sales of Prosigna and nCounter Analysis Systems. Cost of product revenue increased $0.7 million, or 41%, for the three months ended June 30, 2023 compared to the same period in 2022, driven by increased test volume and nCounter Analysis Systems.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revenue is related to sales of Prosigna and nCounter Analysis Systems. Cost of product revenue increased $1.3 million, or 39%, for the six months ended June 30, 2023 compared to the same period in 2022, primarily driven by increased test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biopharmaceutical and other revenue includes labor costs incurred by our employees working on customer projects, laboratory supplies and pass-through expenses incurred on these projects. Cost of biopharmaceutical and other revenue decreased by $0.8 million and $1.0 million driven by reductions of variable expenses related to projects.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three and six months ended June 30, 2023 and 2022 is as follows (in thousands of dollars, except percentages):</w:t>
      </w:r>
    </w:p>
    <w:p>
      <w:pPr>
        <w:pStyle w:val="TextBody"/>
        <w:bidi w:val="0"/>
        <w:spacing w:lineRule="auto" w:line="288" w:before="0" w:after="0"/>
        <w:ind w:left="0" w:right="0" w:firstLine="135"/>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61"/>
        <w:gridCol w:w="400"/>
        <w:gridCol w:w="401"/>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30"/>
        <w:gridCol w:w="130"/>
        <w:gridCol w:w="13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9"/>
        <w:gridCol w:w="212"/>
        <w:gridCol w:w="306"/>
      </w:tblGrid>
      <w:tr>
        <w:trPr/>
        <w:tc>
          <w:tcPr>
            <w:tcW w:w="5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research and development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$3.2 million, or 34%, for the three months ended June 30, 2023 compared to the same period in 2022. The increase in compensation expense was primarily due to annual merit increases and additional headcount. The increase in direct research and development expense was primarily related to our on-going clinical studies including, but not limited to, furthering the support and evidence of our Percepta Nasal Swab test. The increase in other expenses was primarily driven by increased support in developing our IVD platform. We recognized a $0.1 million unfavorable impact from foreign currency exchange when compared to the rates for the three months ended June 30, 2022.</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$6.8 million, or 36%, for the six months ended June 30, 2023 compared to the same period in 2022. The increase in compensation expense was primarily due to annual merit increases and additional headcount. The increase in direct research and development expense was primarily related to our on-going clinical studies including, but not limited to, furthering the support and evidence of our Percepta Nasal Swab test. The increase in other expenses was primarily driven by increased support in developing our IVD platform. We recognized a $0.1 million favorable impact from foreign currency exchange rates for the six months ended June 30, 2023 when compared to the rates for the same period in 2022.</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and marketing</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six months ended June 30, 2023 and 2022 is as follows (in thousands of dollars, except percentages):</w:t>
      </w:r>
    </w:p>
    <w:p>
      <w:pPr>
        <w:pStyle w:val="TextBody"/>
        <w:bidi w:val="0"/>
        <w:spacing w:lineRule="auto" w:line="288" w:before="0" w:after="0"/>
        <w:ind w:left="0" w:right="0" w:firstLine="135"/>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616"/>
        <w:gridCol w:w="268"/>
        <w:gridCol w:w="26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72"/>
        <w:gridCol w:w="174"/>
        <w:gridCol w:w="25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4"/>
        <w:gridCol w:w="167"/>
        <w:gridCol w:w="304"/>
      </w:tblGrid>
      <w:tr>
        <w:trPr/>
        <w:tc>
          <w:tcPr>
            <w:tcW w:w="6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 expense:</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marketing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 increased $1.8 million, or 7%, for the three months ended June 30, 2023 compared to the same period in 2022. The increase in compensation expense was primarily due to additional employees hired and increased commissions to support the growth of Afirma and Decipher test volume. Other expenses increased primarily due to higher travel and entertainment expense to also support the growth of Afirma and Decipher test volume. The increase was partially offset by reduced expenses related to Immunoscore and Percepta support.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 increased $4.1 million, or 9%, for the six months ended June 30, 2023 compared to the same period in 2022. The increase in compensation expense was primarily due to additional employees hired and increased commissions to support the growth of Afirma and Decipher test volume. Other expenses increased primarily due to higher travel and entertainment expense to also support the growth of Afirma and Decipher test volume. The increase was partially offset by reduced expenses related to Immunoscore and Percepta support.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three and six months ended June 30, 2023 and 2022 is as follows (in thousands of dollars, except percentages):</w:t>
      </w:r>
    </w:p>
    <w:p>
      <w:pPr>
        <w:pStyle w:val="TextBody"/>
        <w:bidi w:val="0"/>
        <w:spacing w:lineRule="auto" w:line="288" w:before="0" w:after="0"/>
        <w:ind w:left="0" w:right="0" w:firstLine="135"/>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442"/>
        <w:gridCol w:w="363"/>
        <w:gridCol w:w="364"/>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25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303"/>
      </w:tblGrid>
      <w:tr>
        <w:trPr/>
        <w:tc>
          <w:tcPr>
            <w:tcW w:w="44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by $5.2 million for the three months ended June 30, 2023, compared to the same period in 2022. Compensation expense for the three months ended June 30, 2023 compared to the same period in 2022 increased primarily due to a $3.4 million increase in stock based compensation, inclusive of $1.4 million related to the departure of our former executive chair in June 2023, and a $3.8 million increase in other compensation. Other compensation is partially related to recording certain expenses to the gross account and subsequently allocating, where historically we booked these expenses directly to their allocated location. These increases were partially offset by a decrease in other expenses driven by the $3.3 million that was recorded in the three months ended June 30, 2022 related to the impairment of an intangible asset. General and administrative expenses related to occupancy costs and information technology costs are allocated to general and administrative expense, selling and marketing expense, research and development expense, and cost of revenue based on the headcount and employee location. We recognized a $0.1 million unfavorable impact from foreign currency exchange rates when compared to the rates for the three months ended June 30, 2022.</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by $6.8 million for the six months ended June 30, 2023, compared to the same period in 2022. Compensation expense increased primarily due to a $3.9 million increase in stock based compensation, inclusive of $1.4 million related to the departure of our former executive chair in June 2023, and a $3.8 million increase in other compensation. Other compensation is partially related to recording certain expenses to the gross account and subsequently allocating, where historically we booked these expenses directly to their allocated location. Other expenses includes a $1.4 million of impairment of right-of-use and fixed assets in relation to exiting our Richmond facility in the six months ended June 30, 2023 and our recorded expense of $3.3 million in the six months ended June 30, 2022 related to the impairment of an intangible asset. We recognized a $0.1 million favorable impact from foreign currency exchange rates for the six months ended June 30, 2023 when compared to the rate for the same period in 2022.</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decreased $1.3 million for the three months ended June 30, 2023 compared to the same period in 2022, primarily due to a decrease of $2.4 million related to reserves established for the French research tax credit receivable and revisions to the current year estimate, partially offset by an increase of $1.0 million from interest income.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$0.3 million for the six months ended June 30, 2023 compared to the same period in 2022, primarily due to an increase of $2.2 million from interest income, and an increase of $0.6 million due to unrealized foreign currency gain, partially offset by a decrease of $2.3 million related to reserves established for the French research tax credit receivable and revisions to the current year estimate.</w:t>
      </w:r>
    </w:p>
    <w:p>
      <w:pPr>
        <w:pStyle w:val="TextBody"/>
        <w:bidi w:val="0"/>
        <w:spacing w:before="0" w:after="0"/>
        <w:ind w:left="0" w:right="0" w:firstLine="450"/>
        <w:jc w:val="both"/>
        <w:rPr/>
      </w:pPr>
      <w:r>
        <w:rPr/>
      </w:r>
    </w:p>
    <w:p>
      <w:pPr>
        <w:pStyle w:val="TextBody"/>
        <w:bidi w:val="0"/>
        <w:spacing w:before="0" w:after="0"/>
        <w:ind w:left="0" w:right="0" w:firstLine="85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June 30, 2023, we have been financed primarily through net proceeds from the sale of our equity securities. We have incurred net losses since our inception. For the six months ended June 30, 2023, we had a net loss of $16.5 million, and we expect to incur additional losses for the remainder of 2023 and potentially in future years. As of June 30, 2023, we had an accumulated deficit of $410.2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10, 2023, Silicon Valley Bank, or SVB, one of our banking partners, was closed by the California Department of Financial Protection &amp; Innovation, and the Federal Deposit Insurance Corporation, or FDIC, was named as Receiver. At the time of closing on March 10, 2023, we had cash and cash equivalents and short-term investments at SVB or under SVB management, however the majority of these assets were not restricted by the FDIC action to take control of SVB as most of our cash and cash equivalents and short-term investments resided in a custodial account with a third-party bank for which SVB acted as advisor. The FDIC subsequently transferred SVB’s deposits to a newly created bridge bank, named Silicon Valley Bridge Bank, N.A. and, on March 26, 2023, the FDIC announced that First Citizens Bank &amp; Trust Company had agreed to purchase and assume all deposits and loans of Silicon Valley Bridge Bank. As a result, the closure of SVB did not impact our ability to satisfy our operations and obligations and we have full access to funds that were previously held at SVB. Our ongoing cash management strategy is to ensure diversity in our deposit accounts across financial institutions, but deposits in these institutions may exceed the amount of insurance provided on such deposits. We have not realized any losses on our deposits of cash and cash equivalents other than exchange rate losses related to foreign currency denominated accounts.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of $191.1 million as of June 30, 2023, and cash flows generated by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banking system may impact liquidity both in the short term and long term and may result in adverse impacts to our or our customers’ business, including in our customers’ ability to pay for our products.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office and laboratory facilities in South San Francisco and San Diego, California; Austin, Texas; Marseille, France; and Richmond, Virginia, and lease certain equipment under various non-cancelable lease agreements. The lease terms extend to October 2030 and contain extension of lease term and expansion options. As of June 30, 2023, the leases have a weighted average remaining lease term of 3.1 years and total future minimum lease payments of $16.7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 SAS has signed a lease agreement for facilities which are under construction in Marseille, France. The lease will commence upon completion of the construction of the office building which we currently expect to occur in the second half of 2023 at which time we will record a lease liability and a corresponding ROU asset. The initial term of the lease will be twelve years with annual rent of approximately $1.3 million, which is subject to change based on final construction.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Acquisition-Related Contingent Consideration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we acquired from NanoString the exclusive global diagnostics license to the nCounter Analysis System, the Prosigna breast cancer prognostic gene signature assay, and the LymphMark lymphoma subtyping assay. Pursuant to the terms of the agreement, we paid NanoString $40.0 million in cash and $10.0 million in Veracyte common stock, and may pay up to an additional $10.0 million in cash, contingent upon first achievement or occurrence, by or on behalf of Veracyte, of the commercial launch of the first, second and third diagnostic tests for use on the nCounter multiplex analysis system. As of June 30, 2023, the achievement of one of the milestones is forecasted to occur within the next 12 months, requiring payments totaling $3.5 million.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HalioDx Acquisition-Related Payments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HalioDx on August 2, 2021, or the HalioDx Acquisition, 11,031 unvested HalioDx free ordinary share awards, or free shares, were modified to provide us the right to purchase the vested free shares (call option) from the holders and the holders the right to sell the vested free shares to us (put option) from time to time through late 2023. As a result of the call and put options, the free shares have been classified as a liability. Additionally, in connection with the HalioDx Acquisition, all of HalioDx's equity-classified options that were outstanding prior to the HalioDx Acquisition were terminated and cancelled at the acquisition date. We committed to pay cash consideration of $1.5 million to holders of unvested options on the date the employee satisfies the original service requirement.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agreement, we held back $16.8 million of the cash consideration, or the holdback, which was payable to the founders of HalioDx based on their continuous employment with us. Fifty percent of the holdback was placed in escrow on the founders' behalf on the first anniversary of the closing date and the remainder was paid directly to the founders on the second anniversary in August 2023.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remaining amount to be paid for all HalioDx related items was $7.4 million subject to holders continued service, excluding any potential associated French government social tax charges.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six months ended June 30, 2023 and 2022 (in thousands of dollars): </w:t>
      </w:r>
    </w:p>
    <w:p>
      <w:pPr>
        <w:pStyle w:val="TextBody"/>
        <w:bidi w:val="0"/>
        <w:spacing w:lineRule="auto" w:line="288" w:before="0" w:after="0"/>
        <w:ind w:left="0" w:right="0" w:firstLine="855"/>
        <w:jc w:val="both"/>
        <w:rPr>
          <w:color w:val="000000"/>
        </w:rPr>
      </w:pPr>
      <w:r>
        <w:rPr>
          <w:color w:val="000000"/>
        </w:rPr>
        <w:t> </w:t>
      </w:r>
    </w:p>
    <w:tbl>
      <w:tblPr>
        <w:tblW w:w="5952" w:type="dxa"/>
        <w:jc w:val="left"/>
        <w:tblInd w:w="0" w:type="dxa"/>
        <w:tblLayout w:type="fixed"/>
        <w:tblCellMar>
          <w:top w:w="28" w:type="dxa"/>
          <w:left w:w="28" w:type="dxa"/>
          <w:bottom w:w="28" w:type="dxa"/>
          <w:right w:w="28" w:type="dxa"/>
        </w:tblCellMar>
      </w:tblPr>
      <w:tblGrid>
        <w:gridCol w:w="1331"/>
        <w:gridCol w:w="1169"/>
        <w:gridCol w:w="1174"/>
        <w:gridCol w:w="197"/>
        <w:gridCol w:w="652"/>
        <w:gridCol w:w="110"/>
        <w:gridCol w:w="110"/>
        <w:gridCol w:w="110"/>
        <w:gridCol w:w="110"/>
        <w:gridCol w:w="197"/>
        <w:gridCol w:w="637"/>
        <w:gridCol w:w="155"/>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for the six months ended June 30, 2023 was $14.5 million. Our net loss of $16.5 million includes non-cash charges of $18.4 million of stock-based compensation expense, $13.5 million of depreciation and amortization, of which $10.7 million was related to intangible asset amortization, $1.4 million tied to the impairment of right-of-use and fixed assets, and the remainder was due to a non-cash lease expense of $2.0 million. Cash used as a result of changes in operating assets and liabilities was $4.0 million, primarily composed of a decrease in accrued liabilities and deferred revenue of $3.7 million, an increase in prepaids and other current assets of $2.5 million, a decrease in operating lease liability of $2.1 million, and an increase in other assets of $1.0 million. These amounts were partially offset by a decrease in supplies and inventory of $2.8 million, a decrease in accounts receivable of $1.8 million, and an increase in accounts payable of $0.8 million. </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for the six months ended June 30, 2022 was $9.2 million. The net loss of $24.0 million includes non-cash charges of $12.6 million of stock-based compensation expense and $13.0 million of depreciation and amortization, of which $10.9 million was related to intangible asset amortization and $1.6 million was tied to non-cash lease expense. Cash used as a result of changes in operating assets and liabilities was $16.5 million, primarily composed of a decrease in accrued liabilities and deferred revenue of $5.3 million, an increase in supplies and inventory of $3.7 million, an increase in accounts receivable of $2.9 million, an increase in prepaid expense and other current assets of $1.8 million and a $2.1 million impact from other working capital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six months ended June 30, 2023 was $20.4 million, consisting of $44.8 million generated from the sale and maturity of short-term investments, partially offset by $19.7 million used in the purchase of short-term investments and $4.7 million used in the purchase of property, plant and equipment.</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six months ended June 30, 2022 was $11.8 million for the acquisition of short-term investments and property and equipment.</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six months ended June 30, 2023 was $2.1 million, consisting of $5.3 million in proceeds from the exercise of options to purchase our common stock and the purchase of stock under our Employee Stock Purchase Plan, or ESPP, partially offset by $3.2 million in tax payments during the period related to the vesting of restricted stock units granted to employees.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six months ended June 30, 2022 was $1.9 million, consisting of $3.9 million in proceeds from the exercise of options to purchase our common stock and the purchase of stock under our ESPP, partially offset by $1.9 million in tax payments during the period related to the vesting of restricted stock units granted to employees.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76" w:before="0" w:after="0"/>
        <w:ind w:left="0" w:right="0" w:firstLine="450"/>
        <w:jc w:val="both"/>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We adopted this guidance in 2023 with no material impact on our consolidated financial statements and related disclosures.</w:t>
      </w:r>
    </w:p>
    <w:p>
      <w:pPr>
        <w:pStyle w:val="TextBody"/>
        <w:bidi w:val="0"/>
        <w:spacing w:before="0" w:after="0"/>
        <w:ind w:left="0" w:right="0" w:firstLine="85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We had cash and cash equivalents of $191.1 million as of June 30, 2023 which consisted of bank deposits, money market funds and U.S. treasury securities. Such interest-bearing instruments carry a degree of risk; however, a hypothetical 10% change in interest rates during any of the periods presented would not have had a material impact on our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held $2.9 million of bank deposits denominated in Euros. Such Euro denominated deposits carry a degree of risk from changes in currency exchange rates as the gains or losses from changes in exchange rates are included in our net loss and comprehensive loss. As of June 30, 2023 a hypothetical 10% appreciation or depreciation of the U.S. dollar relative to the Euro would not have had a material impact on our condensed consolidated financial statements.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facing inflation headwinds in compensation, travel and inventory costs. This impact on our business, financial condition, and operating results to date has primarily been offset with operational efficiencies.</w:t>
      </w:r>
    </w:p>
    <w:p>
      <w:pPr>
        <w:pStyle w:val="TextBody"/>
        <w:bidi w:val="0"/>
        <w:spacing w:before="0" w:after="0"/>
        <w:ind w:left="0" w:right="0" w:firstLine="45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continuously seek to improve the efficiency and effectiveness of our internal controls. This results in refinements to processes throughout our Company. There were no changes in our internal control over financial reporting (as such term is defined in Rule 13a-15(f) under the Exchange Act) identified in connection with the evaluation identified above that occurred during the quarter ended June 30, 2023,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pPr>
      <w:r>
        <w:rPr>
          <w:rFonts w:ascii="Times New Roman;sans-serif" w:hAnsi="Times New Roman;sans-serif"/>
          <w:b w:val="false"/>
          <w:i/>
          <w:color w:val="000000"/>
          <w:sz w:val="20"/>
        </w:rPr>
        <w:t>Risks Related to Our Business</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231F20"/>
          <w:sz w:val="20"/>
        </w:rPr>
        <w:t>We have a history of losses, and we expect to incur net losses for the foreseeable future and may never achieve or sustain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Our financial results currently depend mainly on sales of our Afirma and Decipher Prostate tests, and we will need to generate sufficient revenue from these and our other diagnostic tests to grow our business.</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If we are unable to grow sales of our portfolio of tests including Prosigna, Envisia, and Decipher Bladder, or we are unable to launch or commercialize our new tests, our business may suffer.</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We depend on a few payers for a significant portion of our revenue; if one or more significant payers stops providing reimbursement or decreases the amount of reimbursement for our tests our revenue could decline.</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We may experience limits on our revenue if physicians decide not to order our tests or if patients decide not to use our tests as a result of increased costs, fees or changing insurer policies.</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If we fail to comply with federal, state and foreign licensing requirements, we could lose the ability to perform our tests or experience disruptions to our business.</w:t>
      </w:r>
      <w:r>
        <w:rPr>
          <w:color w:val="000000"/>
        </w:rPr>
        <w:t xml:space="preserve"> </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 xml:space="preserve">If our general strategy of seeking growth through acquisitions and collaborations is not successful, or if we do not successfully integrate </w:t>
      </w:r>
      <w:r>
        <w:rPr>
          <w:rFonts w:ascii="Times New Roman;sans-serif" w:hAnsi="Times New Roman;sans-serif"/>
          <w:b w:val="false"/>
          <w:color w:val="000000"/>
          <w:sz w:val="20"/>
        </w:rPr>
        <w:t>companies or assets that we acquire into our business, our prospects and financial condition will suffer.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future success and international growth depend, in part, on our ability to adapt and manufacture select tests to be performed on the nCounter Analysis System.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revenue that we are expecting in our biopharma and other services business may not transpire</w:t>
      </w:r>
      <w:r>
        <w:rPr>
          <w:rFonts w:ascii="Times New Roman;sans-serif" w:hAnsi="Times New Roman;sans-serif"/>
          <w:b/>
          <w:i/>
          <w:color w:val="000000"/>
          <w:sz w:val="20"/>
        </w:rPr>
        <w: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COVID-19 pandemic has had, and may continue to have, an adverse effect on certain of our businesses,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We rely on sole suppliers for some of the reagents, equipment, and other materials used to perform our tests, and we may not be able to find replacements or transition to alternative suppliers, which may materially impact our ability to generate revenue.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We depend on a specialized cytopathology practice to perform the cytopathology component of our Afirma test, and our ability to perform our diagnostic solution would be harmed if we were unable to secure a replacement.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We may be unable to manage our future growth effectively, which could make it difficult to execute our business strategy.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If we are unable to support demand for our tests, services or products, our business could suffer.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Changes in healthcare policy, including legislation reforming the U.S. healthcare system, may have a material adverse effect on our financial condition and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Because of Medicare billing rules, we may not receive reimbursement for all tests provided to Medicare patients.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If the FDA or foreign authorities were to begin regulating those of our tests that they do not currently regulate, we could incur substantial costs and delays associated with trying to obtain premarket clearance, approval or certification.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If we are unable to compete successfully, we may be unable to increase or sustain our revenue and/or achieve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depend on our senior management team, and the loss of one or more of our executive officers, or the inability to attract and retain highly-skilled employees or other key personnel, could adversely affect our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Billing for our diagnostic tests is complex, and we must dedicate substantial time and resources to the billing process in order to collect cash and be paid.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If our internal sales force is less successful than anticipated, our business expansion plans could suffer and our ability to generate revenue could be diminished.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Developing new products involves a lengthy and complex process, and if we do not achieve our projected development and commercialization goals in the timeframes we announce and expect, our business will suffer and our stock price may decline.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We must successfully integrate the HalioDx and Decipher Biosciences businesses to realize the financial goals that we currently ant</w:t>
      </w:r>
      <w:r>
        <w:rPr>
          <w:rFonts w:ascii="Times New Roman;sans-serif" w:hAnsi="Times New Roman;sans-serif"/>
          <w:b w:val="false"/>
          <w:color w:val="000000"/>
          <w:sz w:val="20"/>
        </w:rPr>
        <w:t>icipate.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Aspects of our international business expose us to business, personnel, regulatory, political, operational, financial, and economic risks associated with doing business outside of the United States.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operating results may be adversely affected by unfavorable macroeconomic and market conditions.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If we are unable to protect our intellectual property effectively our business would be harmed.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involved in litigation related to intellectual property, which could be time-intensive and costly and may adversely affect our business, operating results or financial condition.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pPr>
      <w:r>
        <w:rPr>
          <w:rFonts w:ascii="Times New Roman;sans-serif" w:hAnsi="Times New Roman;sans-serif"/>
          <w:b w:val="false"/>
          <w:i/>
          <w:color w:val="000000"/>
          <w:sz w:val="20"/>
        </w:rPr>
        <w:t>Risks Related to Being a Public Compa</w:t>
      </w:r>
      <w:r>
        <w:rPr>
          <w:rFonts w:ascii="Times New Roman;sans-serif" w:hAnsi="Times New Roman;sans-serif"/>
          <w:b w:val="false"/>
          <w:color w:val="000000"/>
          <w:sz w:val="20"/>
        </w:rPr>
        <w:t>ny</w:t>
      </w:r>
    </w:p>
    <w:p>
      <w:pPr>
        <w:pStyle w:val="TextBody"/>
        <w:bidi w:val="0"/>
        <w:spacing w:before="0" w:after="0"/>
        <w:jc w:val="left"/>
        <w:rPr/>
      </w:pPr>
      <w:r>
        <w:rPr/>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000000"/>
          <w:sz w:val="20"/>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Common Stock</w:t>
      </w:r>
    </w:p>
    <w:p>
      <w:pPr>
        <w:pStyle w:val="TextBody"/>
        <w:bidi w:val="0"/>
        <w:spacing w:before="0" w:after="0"/>
        <w:ind w:left="0" w:right="0" w:firstLine="450"/>
        <w:jc w:val="both"/>
        <w:rPr/>
      </w:pPr>
      <w:r>
        <w:rPr/>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000000"/>
          <w:sz w:val="20"/>
        </w:rPr>
        <w:t>Our stock price may be volatile, and you may not be able to sell shares of our common stock at or above the price you paid.</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a history of losses, and we expect to incur net losses for the foreseeable future and may never achieve or sustain profitability.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For the six months ended June 30, 2023 and 2022, we had net losses of $16 million and $24 million, respectively. As of June 30, 2023, we had an accumulated deficit of $410 million. We expect to incur additional losses in the future, and we may never achieve revenue sufficient to offset our expenses. We have experienced and may continue to experience decreases in total test volume due to the impact of COVID-19, including as a result of additional COVID-19 variants. Additionally, ongoing widespread inflationary pressures in the U.S. and across global economies have resulted in higher costs for our raw materials, non-material costs, labor and other business costs, and significant increases in the future could adversely affect our results of operations. We expect to continue to devote substantially all of our resources to increase adoption of and reimbursement for our molecular diagnostic portfolio of tests, as well as the development of additional tests. We may never achieve or sustain profitability, and our failure to achieve and sustain profitability in the future could cause the market price of our common stock to decline.</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financial results currently depend mainly on sales of our Afirma and Decipher Prostate tests, and we will need to generate sufficient revenue from these and our other diagnostic tests to grow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Once tests are clinically validated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Decipher Prostate tests, or develop and commercialize other tests, our revenue and our ability to achieve and sustain profitability would be impaired, and the market price of our common stock could decline.</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grow sales of our portfolio of tests including Prosigna, Envisia, and Decipher Bladder, or we are unable to launch or commercialize our new tests, our business may suffer.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a number of our tests, such as Prosigna, Envisia, and Decipher Bladder, have not contributed significant revenue to date, we expect them to grow and become an increasingly important component of our portfolio, as well as our results of operations. We plan to introduce new tests going forward as well. There can be no assurance that we will be successful in our launch or commercialization of new tests, nor that physicians will request our new tests be performed in sufficient volumes for our revenue to meet our projections. Additionally, we anticipate expanding the reach of our tests to international markets; if our products are not widely adopted internationally, our business and results of operations may be adversely affected. </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depend on a few payers for a significant portion of our revenue; if one or more significant payers stops providing reimbursement or decreases the amount of reimbursement for our tests, our revenue could decline.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Medicare funding and state budgets are limited and have been placed under tremendous strain in recent years, which is likely to be further exacerbated as a result of reduced tax receipts and greater deficit spending as a result of the COVID-19 pandemic and the following economic downturn.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tests performed on patients covered by Medicare and UnitedHealthcare Group was 32% and 10%, respectively, of our revenue for the six months ended June 30, 2023, compared with 30% and 10%, respectively, for the six months ended June 30, 2022.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MolDX program, administered by Palmetto GBA, under an LCD.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Since the Afirma GSC CPT code 81546 was newly issued in 2021, the first PAMA data reporting period for 81546 under the current triennial data reporting process is expected to be January 2027 through March 2027, resulting in a new potential reimbursement rate effective January 1, 2028. There is no guarantee that the Afirma GSC Medicare rate will not be negatively impacted in future PAMA reporting cycles based on the reported weighted median of private commercial payers.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in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submit claims to Medicare for Decipher Prostate Biopsy and Decipher Prostate RP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Since the CPT code was issued in 2020, we expect the next PAMA reporting period to take place between January 2027 and March 2027, resulting in a potential new reimbursement rate effective January 1, 2028. There can be no assurance that the Medicare payment rates for Decipher Prostate Biopsy and Decipher Prostate RP will not decrease during a future reporting cycle under PAMA.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LCD was issued for Prosigna by Palmetto GBA in August 2015, which has been in effect since October 1, 2015. There can be no assurance that the Prosigna payment rate will not decrease during subsequent reporting cycles under PAMA.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Noridian Healthcare Solutions provided Medicare coverage for the Envisia Genomic Classifier on April 11, 2019.</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2023, the Medicare payment rate for 81554 is $5,520. There can be no assurance that the Medicare payment rate for Envisia will not be reduced when it is set based on the volume-weighted median of private payer rates. Current ADLT PAMA regulations require us to report these private payer rates for Envisia, 81554, annually.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will submit claims to Medicare for Decipher Bladder using CPT code 0016M. CMS assigned 0016M to the gapfilling process in 2021. Since January 1, 2022, the payment rate for 0016M has been $3,489.63, based on the median of payment rates set by the MACs through the gapfilling process. There is no assurance that the Medicare payment rate for Decipher Bladder will not decrease during a future reporting cycle under PAMA.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pStyle w:val="TextBody"/>
        <w:bidi w:val="0"/>
        <w:spacing w:before="0" w:after="0"/>
        <w:ind w:left="0" w:right="0" w:firstLine="45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not experimental or investigational;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pre-authorized and appropriate for the specific patient;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cost-effective;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supported by peer-reviewed publications;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included in clinical practice guidelines.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each payer makes its own decision as to whether to establish a coverage policy or enter into a contract to reimburse our tests, seeking these approvals is a time-consuming and costly process.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substantial resources on increasing adoption, coverage and reimbursement for the Afirma, Decipher Prostate, Prosigna, Envisia and Decipher Bladder, as well as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experience limits on our revenue if physicians decide not to order our tests.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certain patients have been deferring elective procedures and medical visits as a result of the COVID-19 pandemic, and we have experienced, and expect to continue to experience, a reduction in patient demand or physician recommendations, which has and may continue to adversely affect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 Subsequently, Decipher also received a “Level 1” evidence designation in the NCCN’s update to the 2023 prostate cancer guidelines.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Afirma, Decipher Prostate Biopsy, Decipher Prostate RP, Envisia, and Decipher Bladder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experience limits on our revenue if patients decide not to use our tests as a result of increased costs, fees or changing insurer policies.</w:t>
      </w:r>
    </w:p>
    <w:p>
      <w:pPr>
        <w:pStyle w:val="TextBody"/>
        <w:bidi w:val="0"/>
        <w:spacing w:before="0" w:after="0"/>
        <w:ind w:left="0" w:right="0" w:firstLine="144"/>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In addition, rising interest rates and ongoing inflation in the U.S.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licensing requirements, we could lose the ability to perform our tests or experience disruptions to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it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new approvals by regulatory bodies such as the New York State Department of Health, and we may not be able to offer our new tests until such approvals are received.</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financial and operating results depend on sales of our products in the markets we operate and are sensitive to a number of factors, including patient and clinician demand, market conditions in the US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pStyle w:val="TextBody"/>
        <w:bidi w:val="0"/>
        <w:spacing w:before="0" w:after="0"/>
        <w:jc w:val="left"/>
        <w:rPr/>
      </w:pPr>
      <w:r>
        <w:rPr/>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conduct substantial research and development;</w:t>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obtain the necessary testing samples and related data;</w:t>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conduct analytical and clinical validation studies, as well as clinical utility studies;</w:t>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expend significant funds;</w:t>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expand and scale-up our laboratory processes;</w:t>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expand and train our sales force;</w:t>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gain acceptance from a large number of ordering clinicians;</w:t>
      </w:r>
    </w:p>
    <w:p>
      <w:pPr>
        <w:pStyle w:val="TextBody"/>
        <w:bidi w:val="0"/>
        <w:spacing w:lineRule="auto" w:line="288" w:before="0" w:after="60"/>
        <w:ind w:left="0" w:right="0" w:firstLine="90"/>
        <w:jc w:val="both"/>
        <w:rPr/>
      </w:pPr>
      <w:r>
        <w:rPr>
          <w:color w:val="000000"/>
        </w:rPr>
        <w:t>•</w:t>
      </w:r>
      <w:r>
        <w:rPr>
          <w:rFonts w:ascii="Times New Roman;sans-serif" w:hAnsi="Times New Roman;sans-serif"/>
          <w:b w:val="false"/>
          <w:color w:val="000000"/>
          <w:sz w:val="20"/>
        </w:rPr>
        <w:t>gain acceptance from ordering laboratories; and</w:t>
      </w:r>
    </w:p>
    <w:p>
      <w:pPr>
        <w:pStyle w:val="TextBody"/>
        <w:bidi w:val="0"/>
        <w:spacing w:lineRule="auto" w:line="288" w:before="0" w:after="60"/>
        <w:ind w:left="0" w:right="0" w:hanging="630"/>
        <w:jc w:val="both"/>
        <w:rPr/>
      </w:pPr>
      <w:r>
        <w:rPr>
          <w:color w:val="000000"/>
        </w:rPr>
        <w:t>•</w:t>
      </w:r>
      <w:r>
        <w:rPr>
          <w:rFonts w:ascii="Times New Roman;sans-serif" w:hAnsi="Times New Roman;sans-serif"/>
          <w:b w:val="false"/>
          <w:color w:val="000000"/>
          <w:sz w:val="20"/>
        </w:rPr>
        <w:t>seek and obtain regulatory clearances, approvals or certifications of our new solutions, as required by applicable regulatory bodies.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process involves a high degree of risk and may take up to several years or more. Our test development and commercialization efforts may be delayed or fail for many reasons, including:</w:t>
      </w:r>
    </w:p>
    <w:p>
      <w:pPr>
        <w:pStyle w:val="TextBody"/>
        <w:bidi w:val="0"/>
        <w:spacing w:before="0" w:after="0"/>
        <w:jc w:val="left"/>
        <w:rPr/>
      </w:pPr>
      <w:r>
        <w:rPr/>
      </w:r>
    </w:p>
    <w:p>
      <w:pPr>
        <w:pStyle w:val="TextBody"/>
        <w:bidi w:val="0"/>
        <w:spacing w:lineRule="auto" w:line="288" w:before="0" w:after="60"/>
        <w:ind w:left="0" w:right="0" w:hanging="630"/>
        <w:jc w:val="both"/>
        <w:rPr/>
      </w:pPr>
      <w:r>
        <w:rPr>
          <w:color w:val="000000"/>
        </w:rPr>
        <w:t>•</w:t>
      </w:r>
      <w:r>
        <w:rPr>
          <w:rFonts w:ascii="Times New Roman;sans-serif" w:hAnsi="Times New Roman;sans-serif"/>
          <w:b w:val="false"/>
          <w:color w:val="000000"/>
          <w:sz w:val="20"/>
        </w:rPr>
        <w:t>failure of the test at the research or development stage;</w:t>
      </w:r>
    </w:p>
    <w:p>
      <w:pPr>
        <w:pStyle w:val="TextBody"/>
        <w:bidi w:val="0"/>
        <w:spacing w:lineRule="auto" w:line="288" w:before="0" w:after="60"/>
        <w:ind w:left="0" w:right="0" w:hanging="630"/>
        <w:jc w:val="both"/>
        <w:rPr/>
      </w:pPr>
      <w:r>
        <w:rPr>
          <w:color w:val="000000"/>
        </w:rPr>
        <w:t>•</w:t>
      </w:r>
      <w:r>
        <w:rPr>
          <w:rFonts w:ascii="Times New Roman;sans-serif" w:hAnsi="Times New Roman;sans-serif"/>
          <w:b w:val="false"/>
          <w:color w:val="000000"/>
          <w:sz w:val="20"/>
        </w:rPr>
        <w:t>difficulty in accessing suitable testing samples, especially testing samples with known clinical results;</w:t>
      </w:r>
    </w:p>
    <w:p>
      <w:pPr>
        <w:pStyle w:val="TextBody"/>
        <w:bidi w:val="0"/>
        <w:spacing w:lineRule="auto" w:line="288" w:before="0" w:after="60"/>
        <w:ind w:left="0" w:right="0" w:hanging="630"/>
        <w:jc w:val="both"/>
        <w:rPr/>
      </w:pPr>
      <w:r>
        <w:rPr>
          <w:color w:val="000000"/>
        </w:rPr>
        <w:t>•</w:t>
      </w:r>
      <w:r>
        <w:rPr>
          <w:rFonts w:ascii="Times New Roman;sans-serif" w:hAnsi="Times New Roman;sans-serif"/>
          <w:b w:val="false"/>
          <w:color w:val="000000"/>
          <w:sz w:val="20"/>
        </w:rPr>
        <w:t>lack of analytical and clinical validation data to support the effectiveness of the test, or lack of clinical utility data to support the value of the test;</w:t>
      </w:r>
    </w:p>
    <w:p>
      <w:pPr>
        <w:pStyle w:val="TextBody"/>
        <w:bidi w:val="0"/>
        <w:spacing w:lineRule="auto" w:line="288" w:before="0" w:after="60"/>
        <w:ind w:left="0" w:right="0" w:hanging="630"/>
        <w:jc w:val="both"/>
        <w:rPr/>
      </w:pPr>
      <w:r>
        <w:rPr>
          <w:color w:val="000000"/>
        </w:rPr>
        <w:t>•</w:t>
      </w:r>
      <w:r>
        <w:rPr>
          <w:rFonts w:ascii="Times New Roman;sans-serif" w:hAnsi="Times New Roman;sans-serif"/>
          <w:b w:val="false"/>
          <w:color w:val="000000"/>
          <w:sz w:val="20"/>
        </w:rPr>
        <w:t>delays resulting from the failure of third-party suppliers or contractors to meet their obligations in a timely and cost-effective manner;</w:t>
      </w:r>
    </w:p>
    <w:p>
      <w:pPr>
        <w:pStyle w:val="TextBody"/>
        <w:bidi w:val="0"/>
        <w:spacing w:lineRule="auto" w:line="288" w:before="0" w:after="60"/>
        <w:ind w:left="0" w:right="0" w:hanging="630"/>
        <w:jc w:val="both"/>
        <w:rPr/>
      </w:pPr>
      <w:r>
        <w:rPr>
          <w:color w:val="000000"/>
        </w:rPr>
        <w:t>•</w:t>
      </w:r>
      <w:r>
        <w:rPr>
          <w:rFonts w:ascii="Times New Roman;sans-serif" w:hAnsi="Times New Roman;sans-serif"/>
          <w:b w:val="false"/>
          <w:color w:val="000000"/>
          <w:sz w:val="20"/>
        </w:rPr>
        <w:t>failure to obtain or maintain necessary clearances, approvals or certifications to market the test;</w:t>
      </w:r>
    </w:p>
    <w:p>
      <w:pPr>
        <w:pStyle w:val="TextBody"/>
        <w:bidi w:val="0"/>
        <w:spacing w:lineRule="auto" w:line="288" w:before="0" w:after="60"/>
        <w:ind w:left="0" w:right="0" w:hanging="630"/>
        <w:jc w:val="both"/>
        <w:rPr/>
      </w:pPr>
      <w:r>
        <w:rPr>
          <w:color w:val="000000"/>
        </w:rPr>
        <w:t>•</w:t>
      </w:r>
      <w:r>
        <w:rPr>
          <w:rFonts w:ascii="Times New Roman;sans-serif" w:hAnsi="Times New Roman;sans-serif"/>
          <w:b w:val="false"/>
          <w:color w:val="000000"/>
          <w:sz w:val="20"/>
        </w:rPr>
        <w:t>manufacturing constraints due to limited energy supply in Europe or other supply constraints; or</w:t>
      </w:r>
    </w:p>
    <w:p>
      <w:pPr>
        <w:pStyle w:val="TextBody"/>
        <w:bidi w:val="0"/>
        <w:spacing w:lineRule="auto" w:line="288" w:before="0" w:after="0"/>
        <w:ind w:left="0" w:right="0" w:hanging="630"/>
        <w:jc w:val="both"/>
        <w:rPr/>
      </w:pPr>
      <w:r>
        <w:rPr>
          <w:color w:val="000000"/>
        </w:rPr>
        <w:t>•</w:t>
      </w:r>
      <w:r>
        <w:rPr>
          <w:rFonts w:ascii="Times New Roman;sans-serif" w:hAnsi="Times New Roman;sans-serif"/>
          <w:b w:val="false"/>
          <w:color w:val="000000"/>
          <w:sz w:val="20"/>
        </w:rPr>
        <w:t>lack of commercial acceptance by patients, clinicians or third-party payers.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not be able to obtain reimbursement for the test.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if the U.S. dollar strengthens relative to the Euro, our results of operations may be adversely affected even where our underlying business is performing as anticipated.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our general strategy of seeking growth through acquisitions and collaborations is not successful, or if we do not successfully integrate companies or assets that we acquire into our business, our prospects and financial condition will suffer.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pPr>
      <w:r>
        <w:rPr>
          <w:rFonts w:ascii="Times New Roman;sans-serif" w:hAnsi="Times New Roman;sans-serif"/>
          <w:b/>
          <w:i/>
          <w:color w:val="000000"/>
          <w:sz w:val="20"/>
        </w:rPr>
        <w:t>Our future success and international growth depend, in part, on our ability to adapt and manufacture select tests to be performed on the nCounter Analysis System.</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to expand into international markets depends on our ability to successfully acquire and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genetic tests to be performed on the nCounter Analysis System, or if the nCounter Analysis System fails to be competitive against other diagnostic platforms,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pStyle w:val="TextBody"/>
        <w:bidi w:val="0"/>
        <w:spacing w:before="0" w:after="0"/>
        <w:jc w:val="left"/>
        <w:rPr/>
      </w:pPr>
      <w:r>
        <w:rPr/>
      </w:r>
    </w:p>
    <w:p>
      <w:pPr>
        <w:pStyle w:val="TextBody"/>
        <w:bidi w:val="0"/>
        <w:spacing w:lineRule="auto" w:line="276" w:before="0" w:after="0"/>
        <w:ind w:left="0" w:right="0" w:firstLine="144"/>
        <w:jc w:val="left"/>
        <w:rPr>
          <w:rFonts w:ascii="Times New Roman;sans-serif" w:hAnsi="Times New Roman;sans-serif"/>
          <w:b/>
          <w:i/>
          <w:color w:val="000000"/>
          <w:sz w:val="20"/>
        </w:rPr>
      </w:pPr>
      <w:r>
        <w:rPr>
          <w:rFonts w:ascii="Times New Roman;sans-serif" w:hAnsi="Times New Roman;sans-serif"/>
          <w:b/>
          <w:i/>
          <w:color w:val="000000"/>
          <w:sz w:val="20"/>
        </w:rPr>
        <w:t>The revenue that we are expecting in our biopharma and other services business may not transpire.</w:t>
      </w:r>
    </w:p>
    <w:p>
      <w:pPr>
        <w:pStyle w:val="TextBody"/>
        <w:bidi w:val="0"/>
        <w:spacing w:before="0" w:after="0"/>
        <w:ind w:left="0" w:right="0" w:firstLine="144"/>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entered into technology licensing, collaboration, and other services arrangements, such as our collaborations with Johnson &amp; Johnson in December 2018, with Acerta Pharma, the hematology research and development arm of AstraZeneca, in December 2019 and with CareDx in May 2020. With the acquisition of Decipher Biosciences and HalioDx, we continue to seek to expand the range of our biopharma services offerings to pharmaceutical partners with services such as clinically relevant biomarker identification, patient stratification for clinical trials, and development of companion diagnostics. The success of our biopharma services business depends in part on our ability to identify and successfully negotiate with appropriate pharma partners. We cannot guarantee that we will be successful in the identification of appropriate pharma partners or the successful and timely negotiation with such partners, or that existing partners will not terminate their agreements with us.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The COVID-19 pandemic has had, and may continue to have, an adverse effect on certain of our businesses,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and the ongoing emergence of new variants has caused significant volatility in global financial markets.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collaboration partners, and disrupted our operations. The global COVID-19 pandemic continues to evolve. While many countries have re-opened, the uncertainty of COVID-19 (and other public health concerns) may require a return to restrictions. 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FDA has approved several vaccines. Although vaccines are increasingly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or variants, which could negatively impact our volumes and revenue and limit our ability to reliably forecast our test volumes and levels of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COVID-19 and related governmental reactions have had and may continue to have a negative impact on our business, liquidity, results of operations, and stock price due to the occurrence of some or all of the following events or circumstances among others:</w:t>
      </w:r>
    </w:p>
    <w:p>
      <w:pPr>
        <w:pStyle w:val="TextBody"/>
        <w:bidi w:val="0"/>
        <w:spacing w:before="0" w:after="0"/>
        <w:ind w:left="0" w:right="0" w:firstLine="45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Inability of healthcare providers to deliver anticipated total test volumes due to temporary or permanent staff attrition.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not be able to manage our business effectively due to lab or other key employees becoming ill, and/or being unable to travel to our facilities.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and our customers, suppliers, third-party contract manufacturers, and collaboration partners may be prevented from operating worksites, including manufacturing facilities, due to employee illness, reluctance to appear at work or “stay-at-home”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Interruptions in manufacturing (including the sourcing of reagents or supplies) and timely shipment of our products due to challenges in receiving reagents and supplies may impact our ability to perform our tests.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Reduced patient demand for, or provider capacity to deliver, diagnostic testing and elective procedures generally (which may impact our ability to deliver to our revenue estimates).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Delays in our clinical trials and studies due to temporary or permanent staff attrition at our investigator sites, or patient reticence to participate in clinical studies.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Disruptions of the operations of our third-party contract manufacturers and suppliers, which could impact our ability to purchase components at efficient prices and in sufficient amounts.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need to raise capital, and if we raise capital by issuing equity securities, our common stock may be diluted.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market price of our common stock may drop or remain volatile.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incur significant employee health care costs under our insurance programs.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Inability or delay of regulatory bodies to conduct inspections/surveys, review or clear/approve our regulatory filings and submissions, and perform other activities necessary for us to conduct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rely on sole suppliers for some of the reagents, equipment and other materials used to perform our tests, and we may not be able to find replacements or transition to alternative suppliers, which may materially impact our ability to generate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sole suppliers for critical supply of reagents, equipment and other materials and services that we use to perform our tests, to manufacture the nCounter Analysis System for diagnostic use and Prosigna test kits sold to customers. We also purchase components used in our sample collection kits from sole-source suppliers. Some of these items are unique to these suppliers and vendors and their inability to provide us with reagents that perform to specifications, could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impact our ability to provide timely response and reports to our customers and, as a result, may materially impact our ability to generate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tests to physicians or deliver patient reports and we may incur higher one-time switching costs.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NanoString for the supply of the nCounter Analysis System for diagnostic use and Prosigna test kits. As part of the HalioDx Acquisition we intended to, and have begun to, migrate manufacture of the test kits for the nCounter from NanoString to HalioDx. In the future, we may need to transition the manufacture of the nCounter Analysis System for diagnostic use from NanoString to Veracyte. While we are preparing for such transition, we cannot be certain that we will be successful in effectively manufacturing the system or acquiring or retaining the talent, skillset, or suppliers required to manufacture the system.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Carriers responsible for transporting samples to us continue to operate at lower than usual capacity because of COVID-19, at times causing 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depend on a specialized cytopathology practice to perform the cytopathology component of our Afirma test, and our ability to perform our diagnostic solution would be harmed if we were unable to secure a replacement.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Thyroid Cytopathology Partners, or TCP, to provide cytopathology professional diagnoses on thyroid fine needle aspiration, or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2023, and automatically renews every year unless either party provides notice of intent not to renew at least 12 months prior to the end of the then-current term.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TCP were unexpectedly unable to support our current cytology test volume or future increases in total cytology test volume or to provide the quality of services we require, or if we were unable to agree on commercial terms and our relationship with TCP were to terminate, our business could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be unable to manage our future growth effectively, which could make it difficult to execute our business strategy.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support demand for our tests, services or products, our business could suffer.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demand for our tests, services and products grow, we will need to continue to scale our capacity and processing technology, expand customer service, billing and systems processes, enhance our internal quality assurance program and expand our manufacturing capacity. We will also need additional certified laboratory scientists as well as other scientific and technical personnel to process higher volumes. We cannot assure you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Changes in healthcare policy, including legislation reforming the U.S. healthcare system, may have a material adverse effect on our financial condition and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involved the use of a range of rates that fell between zero and 80% of the calculated California-specific Medicare rate and the calculation of a weighted average (based on units billed) of such rates. Effective for dates of service on or after July 1, 2022, the cap at 80% of the Medicare rate has been replaced with a cap at 100% of the lowest maximum allowance established by the federal Medicare program for the same or similar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 sales of our tests outside the United States subject our business to foreign regulatory requirements and cost-reduction measures, which may also change over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CMS bundles payments for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There can be no assurance that the payment rate for Afirma or Prosigna will not decrease in the future or that the payment rates for Decipher Prostate Biopsy, Decipher Prostate RP or Decipher Bladder will not be adversely affected by the PAMA law and regulations.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in its enactment of the CAA, Congress enacted the No Surprises Act. This law, which took effect on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 xml:space="preserve">Because of Medicare billing rules, we may not receive reimbursement for all tests provided to Medicare patients.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Afirma, Decipher Prostate Biopsy, Decipher Prostate RP,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CY 2020 Hospital Outpatient Prospective Payment System Proposed Rule, CMS solicited comments on potential revisions to these billing rules that could have impacted our ability to bill Medicare directly for our Afirma, Decipher Prostate Biopsy, Decipher Prostate RP, Envisia, and Decipher Bladder classifiers, as well as for Prosigna, when performed on specimens collected from hospital outpatients. Although these changes were not finalized, if CMS makes similar changes in the future, it could negatively impact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maintain CLIA compliance and certification to sell our tests and be eligible to bill for diagnostic services provided to Medicare beneficiaries.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the FDA or foreign authorities were to begin regulating those of our tests that they do not currently regulate, we could incur substantial costs and delays associated with trying to obtain premarket clearance, approval or certification.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maintains its authority to regulate LDTs, it continues to exercise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We believe that the Afirma, Decipher Prostate Biopsy, Decipher Prostate RP, Envisia, and Decipher Bladder classifiers, have been developed and are performed in a manner consistent with FDA’s enforcement discretion policy concerning LDTs.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FDA regulatory requirements. The FDA Commissioner and the Director of the Center for Devices and Radiological Health, or CDRH, have expressed significant concerns regarding disparities between some LDTs and in vitro diagnostics that have been reviewed, cleared, authorized or approved by the FDA. If the FDA were to determine that Afirma, Decipher Prostate Biopsy, Decipher Prostate RP, Envisia and Decipher Bladder classifiers are not within the scope of FDA's enforcement discretion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LDTs, we could experience reduced revenue or increased costs, which could adversely affect our business, prospects, results of operations and financial condition.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included in the Food and Drug Administration (FDA) Safety and Landmark Advancements Act (FDASLA) reported to the Senate on July 13, 2022. As proposed, the bill would create a precertification program for lower risk tests not otherwise required to go through premarket review. It would grandfather certain existing tests from some requirements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it is possible that our Afirma, Decipher Prostate Biopsy, Decipher Prostate RP, Envisia, and Decipher Bladder classifiers, would be “grandfathered” and therefore exempted from some new regulatory requirements, there can be no assurance of what the FDA might ultimately require if it issues a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future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Federal Food, Drug, and Cosmetic Act, or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including increasing the cost of testing or delaying, limiting or prohibiting the purchase of reagents, instruments, software or components necessary to perform testing. Such actions could also lead FDA to investigate our purchase and use of supplier products and for the Agency to question whether or not Veracyte has violated the FDC Act.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process rather than through a PMA for class I or class II devices if the 510(k) pathway is not available. 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marketing authorization we obtain for any future device product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510(k) clearance, or De Novo authorization approval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will remain valid until June 30, 2030. Manufacturers may choose to use the UKCA mark on a voluntary basis until June 30, 2030.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2030, subject to validity on the certificate. For medical devices, including IVD MDs, placed on the market in Great Britain after this period, the UKCA marking will be mandatory and subject to positive review and issuance of a certificate by an accredited Authorized Body. In contrast, UKCA marking and certificates issued by UK notified regulatory bodies are not yet recognized on the EU market.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mutual recognition agreement (MRA) aligning in vitro diagnostic (IVD) regulations between the European Union and Switzerland has officially expired following the In Vitro Diagnostic Medical Devices Regulation’s (IVDR) May 26, 2022 date of application, impacting certification and authorized representation requirements for manufacturers. The Swiss government has issued its own Ordinance on In Vitro Diagnostic Medical Devices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modifications may have an effect on the way we intend to conduct our business in these countries.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are subject to ongoing and increasingly extensive regulatory requirements, which may be subject to change, and our failure to comply with these requirements could substantially harm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is our only test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IVDR became applicable five years after publication on May 26, 2022 and once applicable to a particular product, the IVDR will among other things:</w:t>
      </w:r>
    </w:p>
    <w:p>
      <w:pPr>
        <w:pStyle w:val="TextBody"/>
        <w:bidi w:val="0"/>
        <w:spacing w:before="0" w:after="0"/>
        <w:ind w:left="0" w:right="0" w:firstLine="45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strengthen the rules on placing devices on the market and reinforce surveillance once they are available;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explicit provisions on manufacturers’ responsibilities for the follow-up of the quality, performance and safety of devices placed on the market;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establish explicit provisions on importers’ and distributors’ obligations and responsibilities;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impose an obligation to identify a responsible person who is ultimately responsible for all aspects of compliance with the requirements of the new regulation;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set up a central database (Eudamed) to provide patients, healthcare professionals and the public with comprehensive information on products available in the EU;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recourse for damage caused by a defective device;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strengthen rules for the assessment of certain high-risk devices that may have to undergo an additional check by experts before they are placed on the market.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regulatory bodies may also issue guidelines and regulations that could impact the development of our products, including companion diagnostic tests. For example, the European Medicines Agency recently launched an initiative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FDA has issued a proposed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compete successfully, we may be unable to increase or sustain our revenue and/or achieve profitability.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market. For our Afirma genomic classifier we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Decipher Prostate test faces competition from Myriad Genetics and MDx Health, which offer genomic testing for prognostic purposes within localized prostate cancer. Additionally, traditional methods used by pathologists and clinicians to estimate risk of disease progression pose competitive threats to our business in addition to new technologies such as artificial intelligence and digital pathology.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primary competition in pulmonology with our Envisia classifiers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expand our portfolio of tests, we may also face competition from companies informing treatment decisions such as Guardant Health or Foundation Medicine, Inc. Competition could also emerge using alternative samples, such as blood, urine or sputum.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we also face competition from commercial laboratories, such as Laboratory Corporation of America Holdings, Quest Diagnostics,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Neogenomics, Adaptive, Tempus and Akoya.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compete successfully, we must be able to demonstrate, among other things, that our diagnostic test results are accurate and cost effective, and we must secure a meaningful level of reimbursement for our products.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potential competitors have widespread brand recognition and substantially greater financial, technical and research and development resources, and selling and marketing capabilities than we do. Others may develop products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products and services, we will face many of these same competitive risks.</w:t>
      </w:r>
    </w:p>
    <w:p>
      <w:pPr>
        <w:pStyle w:val="TextBody"/>
        <w:bidi w:val="0"/>
        <w:spacing w:before="0" w:after="0"/>
        <w:jc w:val="left"/>
        <w:rPr/>
      </w:pPr>
      <w:r>
        <w:rPr/>
      </w:r>
    </w:p>
    <w:p>
      <w:pPr>
        <w:pStyle w:val="TextBody"/>
        <w:bidi w:val="0"/>
        <w:spacing w:lineRule="auto" w:line="26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depend on our senior management team, and the loss of one or more of our executive officers, or any inability to attract and retain highly-skilled employees and other key personnel,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Billing for our diagnostic tests is complex, and we must dedicate substantial time and resources to the billing process in order to collect cash and be paid.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Several factors make the billing process complex,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differences between the list price for our tests and the reimbursement rates of payers;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compliance with complex federal and state regulations related to billing government payers, such as Medicare and Medicaid, including requirements to have an active CLIA certificate;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 of government audits related to billing Medicare and other government payers;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disputes among payers as to which party is responsible for payment;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differences in coverage and in information and billing requirements among payers, including the need for prior authorization and/or advanced notification;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patient co-payments or co-insurance;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individual payers may argue technical contract noncompliance and withhold payment;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to billing codes used for our tests;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incorrect or missing billing information;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resources required to manage the billing and claims appeals process.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Biopsy and Decipher Prostate RP tests. Effective January 1, 2021, we began using the new CPT code 81554 to bill for our Envisia classifier. Effective October 1, 2020, we began using CPT code 0016M to bill for our Decipher Bladder test.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total revenue and cash flow.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rely on a third-party provider to transmit claims to payers, and any delay in transmitting claims could have an adverse effect on our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pStyle w:val="TextBody"/>
        <w:bidi w:val="0"/>
        <w:spacing w:before="0" w:after="0"/>
        <w:jc w:val="left"/>
        <w:rPr/>
      </w:pPr>
      <w:r>
        <w:rPr/>
      </w:r>
    </w:p>
    <w:p>
      <w:pPr>
        <w:pStyle w:val="TextBody"/>
        <w:bidi w:val="0"/>
        <w:spacing w:lineRule="auto" w:line="288" w:before="0" w:after="0"/>
        <w:ind w:left="0" w:right="0" w:firstLine="454"/>
        <w:jc w:val="both"/>
        <w:rPr>
          <w:rFonts w:ascii="Times New Roman;sans-serif" w:hAnsi="Times New Roman;sans-serif"/>
          <w:b w:val="false"/>
          <w:color w:val="000000"/>
          <w:sz w:val="20"/>
        </w:rPr>
      </w:pPr>
      <w:r>
        <w:rPr>
          <w:rFonts w:ascii="Times New Roman;sans-serif" w:hAnsi="Times New Roman;sans-serif"/>
          <w:b w:val="false"/>
          <w:color w:val="000000"/>
          <w:sz w:val="20"/>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pStyle w:val="TextBody"/>
        <w:bidi w:val="0"/>
        <w:spacing w:before="0" w:after="0"/>
        <w:jc w:val="left"/>
        <w:rPr/>
      </w:pPr>
      <w:r>
        <w:rPr/>
      </w:r>
    </w:p>
    <w:p>
      <w:pPr>
        <w:pStyle w:val="TextBody"/>
        <w:bidi w:val="0"/>
        <w:spacing w:lineRule="auto" w:line="276" w:before="0" w:after="0"/>
        <w:ind w:left="0" w:right="0" w:firstLine="144"/>
        <w:jc w:val="left"/>
        <w:rPr/>
      </w:pPr>
      <w:r>
        <w:rPr>
          <w:rFonts w:ascii="Times New Roman;sans-serif" w:hAnsi="Times New Roman;sans-serif"/>
          <w:b/>
          <w:i/>
          <w:color w:val="000000"/>
          <w:sz w:val="20"/>
        </w:rPr>
        <w:t xml:space="preserve">Developing new products involves a lengthy and complex process, and </w:t>
      </w:r>
      <w:r>
        <w:rPr>
          <w:rFonts w:ascii="Times New Roman;sans-serif" w:hAnsi="Times New Roman;sans-serif"/>
          <w:b/>
          <w:i/>
          <w:color w:val="000000"/>
          <w:sz w:val="20"/>
          <w:shd w:fill="FFFFFF" w:val="clear"/>
        </w:rPr>
        <w:t>if we do not achieve our projected development and commercialization goals in the timeframes we announce and expect, our business will suffer and our stock price may decline</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as publicly announced, the commercialization of our tests may be delayed or may not occur at all and, as a result, our business will suffer and our stock price may decline.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w:t>
      </w:r>
      <w:r>
        <w:rPr>
          <w:rFonts w:ascii="Times New Roman;sans-serif" w:hAnsi="Times New Roman;sans-serif"/>
          <w:b w:val="false"/>
          <w:color w:val="000000"/>
          <w:sz w:val="20"/>
          <w:shd w:fill="FFFFFF" w:val="clear"/>
        </w:rPr>
        <w:t>individual</w:t>
      </w:r>
      <w:r>
        <w:rPr>
          <w:color w:val="000000"/>
        </w:rPr>
        <w:t xml:space="preserve"> </w:t>
      </w:r>
      <w:r>
        <w:rPr>
          <w:rFonts w:ascii="Times New Roman;sans-serif" w:hAnsi="Times New Roman;sans-serif"/>
          <w:b w:val="false"/>
          <w:color w:val="000000"/>
          <w:sz w:val="20"/>
        </w:rPr>
        <w:t>payers to obtain reimbursement. Moreover, we may experience delays in the development and introduction of new products due to the effects of the current COVID-19 pandemic.</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develop and commercialize diagnostic tests to be run in our CLIA lab, we need to:</w:t>
      </w:r>
    </w:p>
    <w:p>
      <w:pPr>
        <w:pStyle w:val="TextBody"/>
        <w:bidi w:val="0"/>
        <w:spacing w:before="0" w:after="0"/>
        <w:ind w:left="0" w:right="0" w:firstLine="45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expend significant funds to conduct substantial research and development;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conduct successful analytical and clinical studies;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scale our laboratory processes to accommodate new tests;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build the commercial, regulatory, and compliance infrastructure to market and sell new products.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development process involves a high degree of risk and may take several years. Our test and product development efforts may fail for many reasons, including: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to identify a genomic signature in biomarker discovery;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inability to secure sufficient numbers of samples at an acceptable cost and on an acceptable timeframe to conduct analytical and clinical studies;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of clinical validation studies to support the effectiveness of the test.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products to keep pace with rapid technological, medical and scientific change, our operating results and competitive position could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Medicare billing and payment regulations applicable to clinical laboratories, including requirements to have an active CLIA certificate;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False Claims Act, which imposes liability on any person or entity who knowingly presents, or causes to be presented, a false, fictitious, or fraudulent claim for payment to the federal government;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Protecting Access to Medicare Act of 2014, which requires us to report private payer rates and test volumes for specific CPT codes on a triennial basis and imposes penalties for failures to report, omissions, or misrepresentations;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Foreign Corrupt Practices Act of 1977, and other similar laws, which apply to our international activities;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unclaimed property (escheat) laws and regulations, which may require us to turn over to governmental authorities the property of others held by us that has been unclaimed for a specified period of time;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enforcing our intellectual property rights;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foreign laws and regulations equivalent to the above.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laws and regulations are complex and are subject to interpretation by the courts and by government agencies, and we cannot ensure that all our employees, agents, contractors, vendors, licensees, partners or collaborators will comply, or have 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contamination or injury, we could be liable for resulting damages.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must successfully integrate the HalioDx and Decipher Biosciences businesses to realize the financial goals that we currently anticipate.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Risks we face in connection with the ongoing integration of HalioDx and Decipher Biosciences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have difficulties managing acquired products and tests or retaining key personnel from the acquired businesses;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Prior to the acquisitions, neither HalioDx nor Decipher Biosciences were required to maintain an internal control infrastructure that would meet the standards of a public company, including the requirements of the Sarbanes-Oxley Act of 2002. During 2022, we integrated the operations of HalioDx and Decipher Biosciences into our internal control structure and implemented additional internal controls where needed. As we continue to integrate and improve the operations of HalioDx and Decipher Biosciences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experience a failure of development activities on behalf of a HalioDx customer where HalioDx bears development risk resulting in a refund of development fees;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 including rolling blackouts due to energy shortages in Europe;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not realize the anticipated accretion to our gross margins as a result of transitioning manufacturing of test kits to HalioDx;</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experience disagreements with the French employee work council or French union;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may have failed to identify or assess the magnitude of certain liabilities, shortcomings or other circumstances prior to acquiring either of the acquired businesses, which could result in unexpected litigation or regulatory exposure,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accounting or tax treatment, a diversion of management’s attention and resources, and other adverse effects on our business, financial condition, and operating results.</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are exposed to risks associated with transactions denominated in foreign currency.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Aspects of our international business expose us to business, regulatory, political, operational, financial and economic risks associated with doing business outside of the United States.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Doing business internationally involves a number of risks,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tax laws, privacy laws, export and import restrictions, employment laws, regulatory requirements and other governmental approvals, permits and licenses;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maintaining the manufacturing output we anticipate at the Marseille, France facility as a result of rolling blackouts due to energy shortages in Europe resulting from the Russian invasion of Ukraine;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by us to obtain regulatory approvals or certifications where required for the use of our solutions in various countries;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complexities associated with managing multiple payer reimbursement regimes, government payers or patient self-pay systems, including payers mandating additional evidence requirements for reimbursement consideration;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logistics and regulations associated with shipping tissue samples, including infrastructure conditions and transportation delays;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challenges associated with establishing laboratory partners, including proper sample collection techniques, management of supplies, sample logistics, billing and promotional activities;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limits on our ability to penetrate international markets if we are not able to process tests locally;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financial risks, such as longer payment cycles, difficulty in collecting from payers, the effect of local and regional financial crises, and exposure to foreign currency exchange rate fluctuations;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outbreak of disease, including COVID-19, boycotts, curtailment of trade and other business restrictions (including as a direct or indirect result of the conflict in Ukraine);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be adversely affected by unfavorable macroeconomic and market conditions.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or financial results may be adversely impacted by uncertain economic conditions, including: the impact of the COVID-19 pandemic, turmoil in the global banking and finance system, adverse changes in interest rates, foreign currency exchange rates, tax laws or tax rates; inflation; a recession;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and interest rates, resulting from global as well as local factors. For example, the short and long-term implications of the military conflict between Russia and Ukraine are difficult to predict at this time, including as it relates to our site in Marseille, France. The impact to Ukraine as well as actions taken by other countries, including new and stricter sanctions imposed by the U.S.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Additionally, financial pressures may cause government or other third-party payers to more aggressively seek cost containment measures in healthcare and other settings.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reliance on distributors for sales of our products outside of the United States, and on clinical laboratories for delivery of Prosigna testing services, could limit or prevent us from selling our products and impact our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pStyle w:val="TextBody"/>
        <w:bidi w:val="0"/>
        <w:spacing w:before="0" w:after="0"/>
        <w:jc w:val="left"/>
        <w:rPr/>
      </w:pPr>
      <w:r>
        <w:rPr/>
      </w:r>
    </w:p>
    <w:p>
      <w:pPr>
        <w:pStyle w:val="TextBody"/>
        <w:bidi w:val="0"/>
        <w:spacing w:lineRule="auto" w:line="288" w:before="0" w:after="0"/>
        <w:ind w:left="0" w:right="0" w:firstLine="144"/>
        <w:jc w:val="left"/>
        <w:rPr>
          <w:rFonts w:ascii="Times New Roman;sans-serif" w:hAnsi="Times New Roman;sans-serif"/>
          <w:b/>
          <w:i/>
          <w:color w:val="000000"/>
          <w:sz w:val="20"/>
        </w:rPr>
      </w:pPr>
      <w:r>
        <w:rPr>
          <w:rFonts w:ascii="Times New Roman;sans-serif" w:hAnsi="Times New Roman;sans-serif"/>
          <w:b/>
          <w:i/>
          <w:color w:val="000000"/>
          <w:sz w:val="20"/>
        </w:rPr>
        <w:t>Errors or defects in our products or services could harm our reputation, decrease market acceptance of our products or services or expose us to product liability claims, and we could face substantial liabilities that exceed our resources.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business and the operations of our laboratories are subject to the risk of disruptions caused by pandemics, political events, war, terrorism, earthquakes, fire, power outages, severe weather, floods, and other catastrophic events.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War, terrorism, geopolitical uncertainties, including any developments or consequences of the conflict in Ukraine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may continue to have, a negative effect on consumer confidence and spending, and other impacts, which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business, and is subject to the risk of power outages resulting from constrained European energy supply.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 </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inability to raise additional capital on acceptable terms in the future may limit our ability to develop and commercialize new solutions and technologies and expand our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as a result of the COVID-19 pandemic,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on March 10, 2023, SVB was closed by the California Department of Financial Protection &amp; Innovation, and the FDIC was named as Receiver. At the time of closing on March 10, 2023, we had cash and cash equivalents and short-term investments at SVB or under SVB management. While the majority of these assets were not restricted by the FDIC action to take control of SVB as most of our cash and cash equivalents and short-term investments resided in a custodial account with a third-party bank for which SVB acted as advisor and the FDIC has taken steps to make whole all depositors of SVB,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SVB, in addition to other global macroeconomic conditions, may cause further turbulence and uncertainty in the capital markets.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aspects of our business, any of which could adversely affect our business, including by materially damaging our reputation.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has announced that it intends to lift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pStyle w:val="TextBody"/>
        <w:bidi w:val="0"/>
        <w:spacing w:before="0" w:after="0"/>
        <w:ind w:left="0" w:right="0" w:firstLine="45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Risks associated with data privacy issues, including evolving laws, regulations and associated compliance efforts, may adversely impact our business and financial results.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The EU Commission announced in December 2022 that it had begun the process of adopting an adequacy decision that would apply to the United States based on an executive order issued by President Biden in October 2022; even if the EU Commission approves the adequacy decisions, however, it is widely expected that the new data transfer framework may be challenged before the CJEU.</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is expected to increase data breach litigation. The CCPA and CPRA may increase our compliance costs and potential liability. Following the lead of California, several other states, including Colorado, Utah, Virginia and Connecticut have each enacted laws similar to the CCPA/CPRA and other states are considering enacting privacy laws as well. The multiple layers of privacy law within the United States could increase our potential liability, increase our compliance costs, and adversely affect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color w:val="000000"/>
        </w:rPr>
      </w:pPr>
      <w:r>
        <w:rPr>
          <w:rFonts w:ascii="Times New Roman;sans-serif" w:hAnsi="Times New Roman;sans-serif"/>
          <w:b w:val="false"/>
          <w:color w:val="000000"/>
          <w:sz w:val="20"/>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and effective November 1, 2021 was China’s Personal Information Protection Law (</w:t>
      </w:r>
      <w:r>
        <w:rPr>
          <w:rFonts w:eastAsia="Times New Roman;sans-serif"/>
          <w:b w:val="false"/>
          <w:color w:val="000000"/>
          <w:sz w:val="20"/>
        </w:rPr>
        <w:t>个人信息保护法</w:t>
      </w:r>
      <w:r>
        <w:rPr>
          <w:rFonts w:ascii="Times New Roman;sans-serif" w:hAnsi="Times New Roman;sans-serif"/>
          <w:b w:val="false"/>
          <w:color w:val="000000"/>
          <w:sz w:val="20"/>
        </w:rPr>
        <w:t>, PIPL), both of which broadly regulate the processing of personal information and impose compliance obligations and penalties comparable to those of the GDPR.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effectively our business would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time-consuming, and the outcome would be unpredictable. In addition, courts outside the United States may be less willing to protect trade secrets.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be involved in litigation related to intellectual property, which could be time-intensive and costly and may adversely affect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could experience significant costs and management distraction.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may be limited and may result in increased future tax liability to us.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since our inception and may never achieve profitability. As of December 31, 2022, we had net operating loss, or NOL, carryforwards of approximately $402.0 million, $78.8 million and $126.1 million available to reduce future taxable income, if any, for federal, California and other state income tax purposes, respectively. The U.S. federal NOL carryforwards will begin to expire in 2031 while for state purposes, the NOL carryforwards begin to expire in 2023. In addition, as of December 31, 2022, we had foreign net operating loss carryforwards of approximately $69.9 million and $44.2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pStyle w:val="TextBody"/>
        <w:bidi w:val="0"/>
        <w:spacing w:before="0" w:after="0"/>
        <w:ind w:left="0" w:right="0" w:firstLine="45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Impairment in the value of our goodwill or other intangible assets could have a material adverse effect on our operating results and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effective tax rate may fluctuate and we may incur obligations in tax jurisdictions in excess of amounts that have been accrued.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Changes in financial accounting standards or practices may cause adverse, unexpected financial reporting fluctuations and affect our reported operating results.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condensed consolidated financial statements are subject to change and if our estimates or judgments relating to our critical accounting policies prove to be incorrect, our operating results could be adversely affected.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pStyle w:val="TextBody"/>
        <w:bidi w:val="0"/>
        <w:spacing w:before="0" w:after="0"/>
        <w:ind w:left="0" w:right="0" w:firstLine="864"/>
        <w:jc w:val="both"/>
        <w:rPr/>
      </w:pPr>
      <w:r>
        <w:rPr/>
      </w:r>
    </w:p>
    <w:p>
      <w:pPr>
        <w:pStyle w:val="TextBody"/>
        <w:bidi w:val="0"/>
        <w:spacing w:lineRule="auto" w:line="268" w:before="0" w:after="0"/>
        <w:ind w:left="0" w:right="0" w:firstLine="144"/>
        <w:jc w:val="both"/>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will continue to incur increased costs and demands on management as a result of compliance with laws and regulations applicable to public companies, which could harm our operating results.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Investors’ expectations of our performance relating to environmental, social and governance factors may impose additional costs and expose us to new risks.</w:t>
      </w:r>
    </w:p>
    <w:p>
      <w:pPr>
        <w:pStyle w:val="TextBody"/>
        <w:bidi w:val="0"/>
        <w:spacing w:before="0" w:after="0"/>
        <w:ind w:left="0" w:right="0" w:firstLine="144"/>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ind w:left="0" w:right="0" w:firstLine="144"/>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and you may not be able to sell shares of our common stock at or above the price you paid.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continue to be highly volatile and could be subject to wide fluctuations in response to various factors, some of which are beyond our control. These factors include:</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actual or anticipated variations in our and our competitors’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global macroeconomic impact of the current COVID-19 outbreak, rising interest rates or inflationary pressures;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announcements by us or our competitors of new products, commercial relationships or capital commitments;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reimbursement by current or potential payers, including governmental payers;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issuance of new securities analysts’ reports or changed recommendations for our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fluctuations in our revenue, due in part to the way in which we recognize revenue;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actual or anticipated changes in regulatory oversight of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commencement of, or our involvement in, litigation;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announced or completed acquisitions of businesses or technologies by us or our competitors, including the effect of additional equity we or our competitors issue as consideration for such acquisitions;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instability in the global banking system;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any major change in our management;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economic conditions, including inflation and changes in interest rates, and slow or negative growth of our markets.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discourage, delay or prevent a change in control and may affect the trading price of our common stock.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authorize our board of directors to issue, without further action by the stockholders, up to 5.0 million shares of undesignated preferred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specify that special meetings of our stockholders can be called only by our board of directors, our chairman of the board, or our chief executive officer;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that our board of directors is divided into three classes, Class I, Class II and Class III, with each class serving staggered terms;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our directors may be removed only for cause;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vacancies on our board of directors may, except as otherwise required by law, be filled only by a majority of directors then in office, even if less than a quorum;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the federal district courts of the United States shall be the exclusive forum for the resolution of any complaint asserting a cause of action arising under the Securities Act of 1933, as amended;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specify that no stockholder is permitted to cumulate votes at any election of directors;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require a super-majority of votes to amend certain of the above-mentioned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never paid dividends on our capital stock, and we do not anticipate paying dividends in the foreseeable future.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pStyle w:val="TextBody"/>
        <w:bidi w:val="0"/>
        <w:spacing w:before="0" w:after="0"/>
        <w:ind w:left="0" w:right="0" w:firstLine="14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5C. Insider Trading Arrangements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ind w:left="0" w:right="0" w:firstLine="855"/>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5"/>
        <w:gridCol w:w="259"/>
        <w:gridCol w:w="260"/>
        <w:gridCol w:w="109"/>
        <w:gridCol w:w="109"/>
        <w:gridCol w:w="109"/>
        <w:gridCol w:w="1230"/>
        <w:gridCol w:w="1079"/>
        <w:gridCol w:w="1090"/>
        <w:gridCol w:w="117"/>
        <w:gridCol w:w="117"/>
        <w:gridCol w:w="117"/>
        <w:gridCol w:w="209"/>
        <w:gridCol w:w="209"/>
        <w:gridCol w:w="210"/>
        <w:gridCol w:w="117"/>
        <w:gridCol w:w="117"/>
        <w:gridCol w:w="117"/>
        <w:gridCol w:w="286"/>
        <w:gridCol w:w="265"/>
        <w:gridCol w:w="187"/>
        <w:gridCol w:w="117"/>
        <w:gridCol w:w="117"/>
        <w:gridCol w:w="117"/>
        <w:gridCol w:w="263"/>
        <w:gridCol w:w="263"/>
        <w:gridCol w:w="264"/>
        <w:gridCol w:w="117"/>
        <w:gridCol w:w="117"/>
        <w:gridCol w:w="117"/>
        <w:gridCol w:w="243"/>
        <w:gridCol w:w="243"/>
        <w:gridCol w:w="245"/>
        <w:gridCol w:w="117"/>
        <w:gridCol w:w="117"/>
        <w:gridCol w:w="117"/>
        <w:gridCol w:w="292"/>
        <w:gridCol w:w="292"/>
        <w:gridCol w:w="439"/>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Filed </w:t>
              <w:br/>
              <w:t>Herewith</w:t>
            </w:r>
          </w:p>
        </w:tc>
      </w:tr>
      <w:tr>
        <w:trPr/>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Amendment to the Restated Certificate of Incorporation of the Registrant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Restated Certificate of Incorporation of the Registrant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the Registrant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106-30x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06-30x2023.htm">
              <w:r>
                <w:rPr>
                  <w:rStyle w:val="InternetLink"/>
                  <w:rFonts w:ascii="Times New Roman;sans-serif" w:hAnsi="Times New Roman;sans-serif"/>
                  <w:b w:val="false"/>
                  <w:color w:val="0000FF"/>
                  <w:sz w:val="20"/>
                  <w:u w:val="single"/>
                </w:rPr>
                <w:t>Certification of Principal Executive Officer pursuant to Rules 13a-14(a)/15d-14(a), as adopted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206-30x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06-30x2023.htm">
              <w:r>
                <w:rPr>
                  <w:rStyle w:val="InternetLink"/>
                  <w:rFonts w:ascii="Times New Roman;sans-serif" w:hAnsi="Times New Roman;sans-serif"/>
                  <w:b w:val="false"/>
                  <w:color w:val="0000FF"/>
                  <w:sz w:val="20"/>
                  <w:u w:val="single"/>
                </w:rPr>
                <w:t>Certification of Principal Financial Officer pursuant to Rule 13a-14(a)/15d-14(a), as adopted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106-30x2023.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06-30x2023.htm">
              <w:r>
                <w:rPr>
                  <w:rStyle w:val="InternetLink"/>
                  <w:rFonts w:ascii="Times New Roman;sans-serif" w:hAnsi="Times New Roman;sans-serif"/>
                  <w:b w:val="false"/>
                  <w:color w:val="0000FF"/>
                  <w:sz w:val="20"/>
                  <w:u w:val="single"/>
                </w:rPr>
                <w:t>Certification of Principal Executive Officer pursuant to 18 U.S.C. § 1350 (Section 906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206-30x2023.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6-30x2023.htm">
              <w:r>
                <w:rPr>
                  <w:rStyle w:val="InternetLink"/>
                  <w:rFonts w:ascii="Times New Roman;sans-serif" w:hAnsi="Times New Roman;sans-serif"/>
                  <w:b w:val="false"/>
                  <w:color w:val="0000FF"/>
                  <w:sz w:val="20"/>
                  <w:u w:val="single"/>
                </w:rPr>
                <w:t>Certification of Principal Financial Officer pursuant to 18 U.S.C. § 1350 (Section 906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and contained in Exhibit 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r>
        <w:trPr/>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9" w:type="dxa"/>
            <w:gridSpan w:val="3"/>
            <w:tcBorders/>
            <w:vAlign w:val="center"/>
          </w:tcPr>
          <w:p>
            <w:pPr>
              <w:pStyle w:val="TableContents"/>
              <w:bidi w:val="0"/>
              <w:spacing w:before="0" w:after="283"/>
              <w:jc w:val="left"/>
              <w:rPr>
                <w:sz w:val="4"/>
                <w:szCs w:val="4"/>
              </w:rPr>
            </w:pPr>
            <w:r>
              <w:rPr>
                <w:sz w:val="4"/>
                <w:szCs w:val="4"/>
              </w:rPr>
            </w:r>
          </w:p>
        </w:tc>
        <w:tc>
          <w:tcPr>
            <w:tcW w:w="5665" w:type="dxa"/>
            <w:gridSpan w:val="3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eeaede6d2194bbd913ecaff0087cedf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9, 2023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color w:val="000000"/>
        </w:rPr>
      </w:pPr>
      <w:r>
        <w:rPr>
          <w:color w:val="000000"/>
        </w:rPr>
        <w:t> </w:t>
      </w:r>
    </w:p>
    <w:tbl>
      <w:tblPr>
        <w:tblW w:w="46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7"/>
        <w:gridCol w:w="267"/>
        <w:gridCol w:w="267"/>
        <w:gridCol w:w="267"/>
        <w:gridCol w:w="267"/>
        <w:gridCol w:w="271"/>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ind w:left="0" w:right="0" w:firstLine="135"/>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PRINCIPAL EXECUTIVE OFFICER’S CERTIFICATION PURSUANT TO</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rFonts w:ascii="Times New Roman;sans-serif" w:hAnsi="Times New Roman;sans-serif"/>
          <w:b w:val="false"/>
          <w:color w:val="000000"/>
          <w:sz w:val="20"/>
        </w:rPr>
      </w:pPr>
      <w:r>
        <w:rPr>
          <w:rFonts w:ascii="Times New Roman;sans-serif" w:hAnsi="Times New Roman;sans-serif"/>
          <w:b w:val="false"/>
          <w:color w:val="000000"/>
          <w:sz w:val="20"/>
        </w:rPr>
        <w:t>I, Marc Stapley, certify that: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Veracyte, Inc. for the quarter ended June 30, 2023;</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855"/>
        <w:jc w:val="center"/>
        <w:rPr>
          <w:color w:val="000000"/>
        </w:rPr>
      </w:pPr>
      <w:r>
        <w:rPr>
          <w:color w:val="000000"/>
        </w:rPr>
        <w:t> </w:t>
      </w:r>
    </w:p>
    <w:tbl>
      <w:tblPr>
        <w:tblW w:w="48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266"/>
        <w:gridCol w:w="266"/>
        <w:gridCol w:w="266"/>
        <w:gridCol w:w="266"/>
        <w:gridCol w:w="266"/>
        <w:gridCol w:w="266"/>
        <w:gridCol w:w="266"/>
        <w:gridCol w:w="266"/>
        <w:gridCol w:w="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35"/>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PRINCIPAL FINANCIAL OFFICER’S CERTIFICATION PURSUANT TO</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rFonts w:ascii="Times New Roman;sans-serif" w:hAnsi="Times New Roman;sans-serif"/>
          <w:b w:val="false"/>
          <w:color w:val="000000"/>
          <w:sz w:val="20"/>
        </w:rPr>
      </w:pPr>
      <w:r>
        <w:rPr>
          <w:rFonts w:ascii="Times New Roman;sans-serif" w:hAnsi="Times New Roman;sans-serif"/>
          <w:b w:val="false"/>
          <w:color w:val="000000"/>
          <w:sz w:val="20"/>
        </w:rPr>
        <w:t>I, Rebecca Chambers, certify that: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Veracyte, Inc. for the quarter ended June 30, 2023;</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135"/>
        <w:jc w:val="center"/>
        <w:rPr>
          <w:color w:val="000000"/>
        </w:rPr>
      </w:pPr>
      <w:r>
        <w:rPr>
          <w:color w:val="000000"/>
        </w:rPr>
        <w:t> </w:t>
      </w:r>
    </w:p>
    <w:tbl>
      <w:tblPr>
        <w:tblW w:w="486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267"/>
        <w:gridCol w:w="267"/>
        <w:gridCol w:w="267"/>
        <w:gridCol w:w="267"/>
        <w:gridCol w:w="267"/>
        <w:gridCol w:w="267"/>
        <w:gridCol w:w="267"/>
        <w:gridCol w:w="267"/>
        <w:gridCol w:w="3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35"/>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Veracyte, Inc. (the “Company”) on Form 10-Q for the quarter ended June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8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266"/>
        <w:gridCol w:w="266"/>
        <w:gridCol w:w="266"/>
        <w:gridCol w:w="266"/>
        <w:gridCol w:w="266"/>
        <w:gridCol w:w="266"/>
        <w:gridCol w:w="266"/>
        <w:gridCol w:w="266"/>
        <w:gridCol w:w="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ind w:left="0" w:right="0" w:firstLine="135"/>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35"/>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Veracyte, Inc. (the “Company”) on Form 10-Q for the quarter ended June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86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267"/>
        <w:gridCol w:w="267"/>
        <w:gridCol w:w="267"/>
        <w:gridCol w:w="267"/>
        <w:gridCol w:w="267"/>
        <w:gridCol w:w="267"/>
        <w:gridCol w:w="267"/>
        <w:gridCol w:w="267"/>
        <w:gridCol w:w="3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ind w:left="0" w:right="0" w:firstLine="135"/>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84101/000138410123000112/ex31-certificateofamendmen.htm" TargetMode="External"/><Relationship Id="rId3" Type="http://schemas.openxmlformats.org/officeDocument/2006/relationships/hyperlink" Target="https://www.sec.gov/Archives/edgar/data/1384101/000138410123000112/ex31-certificateofamendmen.htm" TargetMode="External"/><Relationship Id="rId4" Type="http://schemas.openxmlformats.org/officeDocument/2006/relationships/hyperlink" Target="https://www.sec.gov/Archives/edgar/data/1384101/000138410123000112/ex32-restatedcertificateof.htm" TargetMode="External"/><Relationship Id="rId5" Type="http://schemas.openxmlformats.org/officeDocument/2006/relationships/hyperlink" Target="https://www.sec.gov/Archives/edgar/data/1384101/000138410123000112/ex32-restatedcertificateof.htm" TargetMode="External"/><Relationship Id="rId6" Type="http://schemas.openxmlformats.org/officeDocument/2006/relationships/hyperlink" Target="https://www.sec.gov/Archives/edgar/data/1384101/000138410123000112/ex33-veracytexamendedandre.htm" TargetMode="External"/><Relationship Id="rId7" Type="http://schemas.openxmlformats.org/officeDocument/2006/relationships/hyperlink" Target="https://www.sec.gov/Archives/edgar/data/1384101/000138410123000112/ex33-veracytexamendedandre.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50673</Words>
  <Characters>279598</Characters>
  <CharactersWithSpaces>329109</CharactersWithSpaces>
  <Paragraphs>3383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