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880" w:right="1740" w:hanging="3800"/>
        <w:spacing w:after="0" w:line="438" w:lineRule="auto"/>
        <w:tabs>
          <w:tab w:leader="none" w:pos="38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200" w:lineRule="exact"/>
        <w:rPr>
          <w:sz w:val="24"/>
          <w:szCs w:val="24"/>
          <w:color w:val="auto"/>
        </w:rPr>
      </w:pPr>
    </w:p>
    <w:p>
      <w:pPr>
        <w:spacing w:after="0" w:line="206" w:lineRule="exact"/>
        <w:rPr>
          <w:sz w:val="24"/>
          <w:szCs w:val="24"/>
          <w:color w:val="auto"/>
        </w:rPr>
      </w:pPr>
    </w:p>
    <w:p>
      <w:pPr>
        <w:ind w:left="14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Arial" w:cs="Arial" w:eastAsia="Arial" w:hAnsi="Arial"/>
                <w:sz w:val="18"/>
                <w:szCs w:val="18"/>
                <w:b w:val="1"/>
                <w:bCs w:val="1"/>
                <w:color w:val="auto"/>
                <w:w w:val="90"/>
              </w:rPr>
              <w:t>Commission file number 001-36156</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Arial" w:cs="Arial" w:eastAsia="Arial" w:hAnsi="Arial"/>
                <w:sz w:val="18"/>
                <w:szCs w:val="18"/>
                <w:color w:val="auto"/>
              </w:rPr>
              <w:t>________________________________</w:t>
            </w:r>
          </w:p>
        </w:tc>
      </w:tr>
      <w:tr>
        <w:trPr>
          <w:trHeight w:val="481"/>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Arial" w:cs="Arial" w:eastAsia="Arial" w:hAnsi="Arial"/>
                <w:sz w:val="29"/>
                <w:szCs w:val="29"/>
                <w:b w:val="1"/>
                <w:bCs w:val="1"/>
                <w:color w:val="auto"/>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Arial" w:cs="Arial" w:eastAsia="Arial" w:hAnsi="Arial"/>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Arial" w:cs="Arial" w:eastAsia="Arial" w:hAnsi="Arial"/>
                <w:sz w:val="18"/>
                <w:szCs w:val="18"/>
                <w:b w:val="1"/>
                <w:bCs w:val="1"/>
                <w:color w:val="auto"/>
                <w:w w:val="93"/>
              </w:rPr>
              <w:t>Delaware</w:t>
            </w:r>
          </w:p>
        </w:tc>
        <w:tc>
          <w:tcPr>
            <w:tcW w:w="5320" w:type="dxa"/>
            <w:vAlign w:val="bottom"/>
          </w:tcPr>
          <w:p>
            <w:pPr>
              <w:jc w:val="center"/>
              <w:ind w:left="4176"/>
              <w:spacing w:after="0"/>
              <w:rPr>
                <w:sz w:val="20"/>
                <w:szCs w:val="20"/>
                <w:color w:val="auto"/>
              </w:rPr>
            </w:pPr>
            <w:r>
              <w:rPr>
                <w:rFonts w:ascii="Arial" w:cs="Arial" w:eastAsia="Arial" w:hAnsi="Arial"/>
                <w:sz w:val="18"/>
                <w:szCs w:val="18"/>
                <w:b w:val="1"/>
                <w:bCs w:val="1"/>
                <w:color w:val="auto"/>
                <w:w w:val="89"/>
              </w:rPr>
              <w:t>20-5455398</w:t>
            </w:r>
          </w:p>
        </w:tc>
      </w:tr>
      <w:tr>
        <w:trPr>
          <w:trHeight w:val="218"/>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4"/>
              </w:rPr>
              <w:t>(State or other jurisdiction of</w:t>
            </w:r>
          </w:p>
        </w:tc>
        <w:tc>
          <w:tcPr>
            <w:tcW w:w="5320" w:type="dxa"/>
            <w:vAlign w:val="bottom"/>
          </w:tcPr>
          <w:p>
            <w:pPr>
              <w:jc w:val="center"/>
              <w:ind w:left="4176"/>
              <w:spacing w:after="0"/>
              <w:rPr>
                <w:sz w:val="20"/>
                <w:szCs w:val="20"/>
                <w:color w:val="auto"/>
              </w:rPr>
            </w:pPr>
            <w:r>
              <w:rPr>
                <w:rFonts w:ascii="Arial" w:cs="Arial" w:eastAsia="Arial" w:hAnsi="Arial"/>
                <w:sz w:val="14"/>
                <w:szCs w:val="14"/>
                <w:color w:val="auto"/>
                <w:w w:val="95"/>
              </w:rPr>
              <w:t>(I.R.S. Employer</w:t>
            </w:r>
          </w:p>
        </w:tc>
      </w:tr>
      <w:tr>
        <w:trPr>
          <w:trHeight w:val="203"/>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5"/>
              </w:rPr>
              <w:t>incorporation or organization)</w:t>
            </w:r>
          </w:p>
        </w:tc>
        <w:tc>
          <w:tcPr>
            <w:tcW w:w="5320" w:type="dxa"/>
            <w:vAlign w:val="bottom"/>
          </w:tcPr>
          <w:p>
            <w:pPr>
              <w:jc w:val="center"/>
              <w:ind w:left="4156"/>
              <w:spacing w:after="0"/>
              <w:rPr>
                <w:sz w:val="20"/>
                <w:szCs w:val="20"/>
                <w:color w:val="auto"/>
              </w:rPr>
            </w:pPr>
            <w:r>
              <w:rPr>
                <w:rFonts w:ascii="Arial" w:cs="Arial" w:eastAsia="Arial" w:hAnsi="Arial"/>
                <w:sz w:val="14"/>
                <w:szCs w:val="14"/>
                <w:color w:val="auto"/>
                <w:w w:val="99"/>
              </w:rPr>
              <w:t>Identification No.)</w:t>
            </w:r>
          </w:p>
        </w:tc>
      </w:tr>
      <w:tr>
        <w:trPr>
          <w:trHeight w:val="367"/>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b w:val="1"/>
                <w:bCs w:val="1"/>
                <w:color w:val="auto"/>
                <w:w w:val="92"/>
              </w:rPr>
              <w:t>6000 Shoreline Court, Suite 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b w:val="1"/>
                <w:bCs w:val="1"/>
                <w:color w:val="auto"/>
                <w:w w:val="92"/>
              </w:rPr>
              <w:t>South San Francisco, California 94080</w:t>
            </w:r>
          </w:p>
        </w:tc>
      </w:tr>
      <w:tr>
        <w:trPr>
          <w:trHeight w:val="182"/>
        </w:trPr>
        <w:tc>
          <w:tcPr>
            <w:tcW w:w="2020" w:type="dxa"/>
            <w:vAlign w:val="bottom"/>
          </w:tcPr>
          <w:p>
            <w:pPr>
              <w:spacing w:after="0"/>
              <w:rPr>
                <w:sz w:val="15"/>
                <w:szCs w:val="15"/>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4"/>
              </w:rPr>
              <w:t>(Address of principal executive offices, zip code)</w:t>
            </w:r>
          </w:p>
        </w:tc>
      </w:tr>
      <w:tr>
        <w:trPr>
          <w:trHeight w:val="304"/>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Arial" w:cs="Arial" w:eastAsia="Arial" w:hAnsi="Arial"/>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Arial" w:cs="Arial" w:eastAsia="Arial" w:hAnsi="Arial"/>
                <w:sz w:val="18"/>
                <w:szCs w:val="18"/>
                <w:color w:val="auto"/>
                <w:w w:val="89"/>
              </w:rPr>
              <w:t>________________________________</w:t>
            </w:r>
          </w:p>
        </w:tc>
      </w:tr>
    </w:tbl>
    <w:p>
      <w:pPr>
        <w:spacing w:after="0" w:line="197" w:lineRule="exact"/>
        <w:rPr>
          <w:sz w:val="24"/>
          <w:szCs w:val="24"/>
          <w:color w:val="auto"/>
        </w:rPr>
      </w:pPr>
    </w:p>
    <w:p>
      <w:pPr>
        <w:ind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firstLine="243"/>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26" w:lineRule="exact"/>
        <w:rPr>
          <w:sz w:val="24"/>
          <w:szCs w:val="24"/>
          <w:color w:val="auto"/>
        </w:rPr>
      </w:pPr>
    </w:p>
    <w:p>
      <w:pPr>
        <w:ind w:right="220" w:firstLine="243"/>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5" w:lineRule="exact"/>
        <w:rPr>
          <w:sz w:val="24"/>
          <w:szCs w:val="24"/>
          <w:color w:val="auto"/>
        </w:rPr>
      </w:pPr>
    </w:p>
    <w:tbl>
      <w:tblPr>
        <w:tblLayout w:type="fixed"/>
        <w:tblInd w:w="1420" w:type="dxa"/>
        <w:tblCellMar>
          <w:top w:w="0" w:type="dxa"/>
          <w:left w:w="0" w:type="dxa"/>
          <w:bottom w:w="0" w:type="dxa"/>
          <w:right w:w="0" w:type="dxa"/>
        </w:tblCellMar>
      </w:tblPr>
      <w:tr>
        <w:trPr>
          <w:trHeight w:val="182"/>
        </w:trPr>
        <w:tc>
          <w:tcPr>
            <w:tcW w:w="4540" w:type="dxa"/>
            <w:vAlign w:val="bottom"/>
          </w:tcPr>
          <w:p>
            <w:pPr>
              <w:jc w:val="center"/>
              <w:ind w:right="1828"/>
              <w:spacing w:after="0"/>
              <w:rPr>
                <w:sz w:val="20"/>
                <w:szCs w:val="20"/>
                <w:color w:val="auto"/>
              </w:rPr>
            </w:pPr>
            <w:r>
              <w:rPr>
                <w:rFonts w:ascii="Arial" w:cs="Arial" w:eastAsia="Arial" w:hAnsi="Arial"/>
                <w:sz w:val="14"/>
                <w:szCs w:val="14"/>
                <w:color w:val="auto"/>
                <w:w w:val="93"/>
              </w:rPr>
              <w:t>Large 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7"/>
              </w:rPr>
              <w:t>Accelerated filer x</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5"/>
              </w:rPr>
              <w:t>Non-accelerated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3"/>
              </w:rPr>
              <w:t>Smaller reporting company o</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4"/>
              </w:rPr>
              <w:t>(Do not check if a smaller reporting company)</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4"/>
              </w:rPr>
              <w:t>Emerging growth company x</w:t>
            </w:r>
          </w:p>
        </w:tc>
      </w:tr>
    </w:tbl>
    <w:p>
      <w:pPr>
        <w:spacing w:after="0" w:line="34" w:lineRule="exact"/>
        <w:rPr>
          <w:sz w:val="24"/>
          <w:szCs w:val="24"/>
          <w:color w:val="auto"/>
        </w:rPr>
      </w:pPr>
    </w:p>
    <w:p>
      <w:pPr>
        <w:ind w:right="360" w:firstLine="243"/>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93"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19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April 28, 2017, there were 33,870,122 shares of common stock, par value $0.001 per share, outstanding.</w:t>
      </w:r>
    </w:p>
    <w:p>
      <w:pPr>
        <w:sectPr>
          <w:pgSz w:w="11900" w:h="16838" w:orient="portrait"/>
          <w:cols w:equalWidth="0" w:num="1">
            <w:col w:w="11280"/>
          </w:cols>
          <w:pgMar w:left="240" w:top="229" w:right="3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No.</w:t>
            </w:r>
          </w:p>
        </w:tc>
      </w:tr>
      <w:tr>
        <w:trPr>
          <w:trHeight w:val="189"/>
        </w:trPr>
        <w:tc>
          <w:tcPr>
            <w:tcW w:w="10020" w:type="dxa"/>
            <w:vAlign w:val="bottom"/>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8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Financial Statements (Unaudited)</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2017 and December 31, 2016</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Month Periods Ended March 31, 2017 and 2016</w:t>
              </w:r>
            </w:hyperlink>
          </w:p>
        </w:tc>
        <w:tc>
          <w:tcPr>
            <w:tcW w:w="64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Three Month Periods Ended March 31, 2017 and 2016</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2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246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9360" w:type="dxa"/>
            <w:vAlign w:val="bottom"/>
            <w:gridSpan w:val="14"/>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6480" w:type="dxa"/>
            <w:vAlign w:val="bottom"/>
            <w:gridSpan w:val="11"/>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880" w:type="dxa"/>
            <w:vAlign w:val="bottom"/>
            <w:gridSpan w:val="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800" w:type="dxa"/>
            <w:vAlign w:val="bottom"/>
            <w:gridSpan w:val="4"/>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80" w:type="dxa"/>
            <w:vAlign w:val="bottom"/>
            <w:gridSpan w:val="5"/>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20" w:type="dxa"/>
            <w:vAlign w:val="bottom"/>
            <w:gridSpan w:val="1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040" w:type="dxa"/>
            <w:vAlign w:val="bottom"/>
            <w:gridSpan w:val="9"/>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6.</w:t>
              </w:r>
            </w:hyperlink>
          </w:p>
        </w:tc>
        <w:tc>
          <w:tcPr>
            <w:tcW w:w="1060" w:type="dxa"/>
            <w:vAlign w:val="bottom"/>
            <w:gridSpan w:val="3"/>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830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SIGNATURES</w:t>
              </w:r>
            </w:hyperlink>
          </w:p>
        </w:tc>
        <w:tc>
          <w:tcPr>
            <w:tcW w:w="8920" w:type="dxa"/>
            <w:vAlign w:val="bottom"/>
            <w:gridSpan w:val="1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EXHIBIT INDEX</w:t>
              </w:r>
            </w:hyperlink>
          </w:p>
        </w:tc>
        <w:tc>
          <w:tcPr>
            <w:tcW w:w="8740" w:type="dxa"/>
            <w:vAlign w:val="bottom"/>
            <w:gridSpan w:val="12"/>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Supplies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66,295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Finite-lived intangible assets, net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92,606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liability,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1"/>
              </w:rPr>
              <w:t>Preferred stock, $0.001 par value; 5,000,000 shares authorized, no shares issued and outstanding as of March</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31, 2017 and December 31, 2016</w:t>
            </w:r>
          </w:p>
        </w:tc>
        <w:tc>
          <w:tcPr>
            <w:tcW w:w="2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Common stock, $0.001 par value; 125,000,000 shares authorized, 33,867,975 and 33,762,278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and outstanding as of March 31, 2017 and December 31, 2016,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241,617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239,631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53,350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92,606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3,461</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6,228</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23,301</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(10,075)</w:t>
            </w:r>
          </w:p>
        </w:tc>
      </w:tr>
      <w:tr>
        <w:trPr>
          <w:trHeight w:val="251"/>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8320" w:type="dxa"/>
            <w:vAlign w:val="bottom"/>
          </w:tcPr>
          <w:p>
            <w:pPr>
              <w:ind w:left="40"/>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33,823,889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27,817,993</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(8,217)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expense</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Genzyme co-promotion fee amortization</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and write-off of debt discount and issuance costs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on debt balloon payment and prepayment penalty</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Supplies inventory</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current other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 and deferred rent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(8,086)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restricted cash</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end-of-term debt obligation and prepayment penalty</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capital lease liability</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59,219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9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51,506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47,456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included in accounts payable and accrued liabilities</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Unpaid deferred stock offering</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Inc. (“Veracyte” or the “Company”)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is a leading genomic diagnostics company that is fundamentally improving patient care by resolving diagnostic uncertainty with evidence that is trustworthy and actionable. The Company's products uniquely combine genomic technology, clinical science and machine learning to provide answers that give physicians and patients a clear path forward without risky, costly surgery that is often unnecessary.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Company's founding in 2008, it has commercialized three genomic tests that it believes is transforming diagnostics:</w:t>
      </w:r>
    </w:p>
    <w:p>
      <w:pPr>
        <w:spacing w:after="0" w:line="225"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i w:val="1"/>
          <w:iCs w:val="1"/>
          <w:color w:val="auto"/>
        </w:rPr>
        <w:t xml:space="preserve">Afirma Thyroid FNA Analysis </w:t>
      </w:r>
      <w:r>
        <w:rPr>
          <w:rFonts w:ascii="Arial" w:cs="Arial" w:eastAsia="Arial" w:hAnsi="Arial"/>
          <w:sz w:val="18"/>
          <w:szCs w:val="18"/>
          <w:color w:val="auto"/>
        </w:rPr>
        <w:t>- The Afirma GEC, which employs a proprietary 142-gene signature to determine whether thyroid nodules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classified by cytopathology as indeterminate can be reclassified as benign, thus enabling the patient to avoid an unnecessary surgery. An additional 25 genes are used to differentiate uncommon neoplasm subtypes.</w:t>
      </w:r>
    </w:p>
    <w:p>
      <w:pPr>
        <w:spacing w:after="0" w:line="181"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i w:val="1"/>
          <w:iCs w:val="1"/>
          <w:color w:val="auto"/>
        </w:rPr>
        <w:t xml:space="preserve">Percepta Bronchial Genomic Classifier - </w:t>
      </w:r>
      <w:r>
        <w:rPr>
          <w:rFonts w:ascii="Arial" w:cs="Arial" w:eastAsia="Arial" w:hAnsi="Arial"/>
          <w:sz w:val="18"/>
          <w:szCs w:val="18"/>
          <w:color w:val="auto"/>
        </w:rPr>
        <w:t>The 23-gene Percepta classifier improves lung cancer screening and diagnosis by identifying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at low risk of cancer among those whose lung nodules are not clearly benign or malignant following traditional evaluation. The test analyzes genomic changes that occur in the epithelial cells lining the airways of current or former smokers to assess a patient’s risk of having lung cancer, without the need to test the often-hard-to-reach nodule directly.</w:t>
      </w:r>
    </w:p>
    <w:p>
      <w:pPr>
        <w:spacing w:after="0" w:line="187" w:lineRule="exact"/>
        <w:rPr>
          <w:sz w:val="20"/>
          <w:szCs w:val="20"/>
          <w:color w:val="auto"/>
        </w:rPr>
      </w:pPr>
    </w:p>
    <w:p>
      <w:pPr>
        <w:jc w:val="both"/>
        <w:ind w:left="1060"/>
        <w:spacing w:after="0" w:line="279" w:lineRule="auto"/>
        <w:rPr>
          <w:sz w:val="20"/>
          <w:szCs w:val="20"/>
          <w:color w:val="auto"/>
        </w:rPr>
      </w:pPr>
      <w:r>
        <w:rPr>
          <w:rFonts w:ascii="Arial" w:cs="Arial" w:eastAsia="Arial" w:hAnsi="Arial"/>
          <w:sz w:val="17"/>
          <w:szCs w:val="17"/>
          <w:i w:val="1"/>
          <w:iCs w:val="1"/>
          <w:color w:val="auto"/>
        </w:rPr>
        <w:t xml:space="preserve">Envisia Genomic Classifier </w:t>
      </w:r>
      <w:r>
        <w:rPr>
          <w:rFonts w:ascii="Arial" w:cs="Arial" w:eastAsia="Arial" w:hAnsi="Arial"/>
          <w:sz w:val="17"/>
          <w:szCs w:val="17"/>
          <w:color w:val="auto"/>
        </w:rPr>
        <w:t>- Commercialized in October 2016, the Envisia classifier is designed to improve physicians’ ability to differentiate</w:t>
      </w:r>
      <w:r>
        <w:rPr>
          <w:rFonts w:ascii="Arial" w:cs="Arial" w:eastAsia="Arial" w:hAnsi="Arial"/>
          <w:sz w:val="17"/>
          <w:szCs w:val="17"/>
          <w:i w:val="1"/>
          <w:iCs w:val="1"/>
          <w:color w:val="auto"/>
        </w:rPr>
        <w:t xml:space="preserve"> </w:t>
      </w:r>
      <w:r>
        <w:rPr>
          <w:rFonts w:ascii="Arial" w:cs="Arial" w:eastAsia="Arial" w:hAnsi="Arial"/>
          <w:sz w:val="17"/>
          <w:szCs w:val="17"/>
          <w:color w:val="auto"/>
        </w:rPr>
        <w:t>idiopathic pulmonary fibrosis, or IPF, from other interstitial lung diseases, or ILD, without the need for invasive and potentially risky surgery. The Envisia classifier uses machine learning coupled with powerful, deep RNA sequencing to detect the presence or absence of usual interstitial pneumonia, or UIP, a classic diagnostic pattern whose presence is essential for the diagnosis of IPF.</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of the Company's testing services are made available through its clinical reference laboratories located in San Francisco, California and Austin, Texas, which are each certified under the Clinical Laboratory Improvement Amendments of 1988, or CLIA.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financial statements have been prepared in accordance with accounting principles generally accepted in the United States (“GAAP”). Certain information and note disclosures normally included in financial statements prepared in accordance with GAAP have been condensed or omitted pursuant to such rules and regulations. The condensed balance sheet as of March 31, 2017, the condensed statements of operations and comprehensive loss for the three months ended March 31, 2017 and 2016, and the condensed statements of cash flows for the three months ended March 31, 2017 and 2016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2016 has been derived from audited financial statements. The results for the three months ended March 31, 2017 are not necessarily indicative of the results expected for the full year or any other period.</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March 31, 2017, all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7"/>
          </w:tcPr>
          <w:p>
            <w:pPr>
              <w:jc w:val="right"/>
              <w:ind w:right="376"/>
              <w:spacing w:after="0"/>
              <w:rPr>
                <w:sz w:val="20"/>
                <w:szCs w:val="20"/>
                <w:color w:val="auto"/>
              </w:rPr>
            </w:pPr>
            <w:r>
              <w:rPr>
                <w:rFonts w:ascii="Arial" w:cs="Arial" w:eastAsia="Arial" w:hAnsi="Arial"/>
                <w:sz w:val="18"/>
                <w:szCs w:val="18"/>
                <w:color w:val="auto"/>
                <w:w w:val="95"/>
              </w:rPr>
              <w:t>The Company’s significant third-party payers and their related accounts receivable balance as a percentage of total accounts receivable were as</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follows: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rPr>
              <w:t>March 31,</w:t>
            </w:r>
          </w:p>
        </w:tc>
        <w:tc>
          <w:tcPr>
            <w:tcW w:w="15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had deposits of $120,000 included in current assets as of March 31, 2017 and December 31, 2016, pledged for corporate credit cards. The Company also had deposits of $603,000 included in long-term assets as of March 31, 2017 and December 31, 2016, restricted from withdrawal and held by a bank in the form of collateral for an irrevocable standby letter of credit held as security for the lease of the Company’s South San Francisco facility signed in April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recognizes revenue in accordance with the provision of ASC 954-605, </w:t>
      </w:r>
      <w:r>
        <w:rPr>
          <w:rFonts w:ascii="Arial" w:cs="Arial" w:eastAsia="Arial" w:hAnsi="Arial"/>
          <w:sz w:val="17"/>
          <w:szCs w:val="17"/>
          <w:i w:val="1"/>
          <w:iCs w:val="1"/>
          <w:color w:val="auto"/>
        </w:rPr>
        <w:t>Health Care Entities — Revenue Recognition</w:t>
      </w:r>
      <w:r>
        <w:rPr>
          <w:rFonts w:ascii="Arial" w:cs="Arial" w:eastAsia="Arial" w:hAnsi="Arial"/>
          <w:sz w:val="17"/>
          <w:szCs w:val="17"/>
          <w:color w:val="auto"/>
        </w:rPr>
        <w:t xml:space="preserve"> ("ASC 954")</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revenue is generated from the provision of diagnostic services. The service is completed upon the delivery of test results to the prescribing physician, at which time the Company bills for the service. The Company recognizes revenue related to billings for tests delivered on an accrual basis when amounts that will ultimately be realized can be estimated. The estimates of amounts that will ultimately be realized require significant judgment by management. Until a contract has been negotiated with a commercial payer or governmental program, the Company's tests may or may not be covered by these entities’ existing reimbursement policies. In addition, patients do not enter into direct agreements with the Company that commit them to pay any portion of the cost of the tests in the event that their insurance declines to reimburse the Company.</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may bill the patient directly for these amounts in the form of co-payments and co-insurance in accordance with their insurance carrier and health plans. In the absence of contracted reimbursement or the ability to estimate the amount that will ultimately be realized for the Company’s services, revenue is recognized on the cash basis.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recognized for the three months ended March 31, 2017 and 2016 was as follows (in thousands of dollars):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7"/>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on the accrual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15,138</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8,226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Revenue recognized on the cash basis</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13,550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Prior to July 1, 2016, the Company accrued less than 50% of the billed GEC test volume per fiscal period. The Company believed it did not have a consistent enough payment history to accrue the remaining GEC tests delivered to customers and, as noted above, recognized revenue on the cash basis for such tests. The Company has been analyzing the amounts received for tests performed since commercialization, and during the quarter ended September 30, 2016, sufficient information developed to support a reasonable estimate of the amount of revenue to accrue upon test delivery for a number of payers that had been previously recognized on the cash basis. As a result, starting in the quarter ended September 30, 2016, the Company began accruing substantially all of its billed GEC test volume. In determining the amount to accrue for a particular test, the Company considered factors such as payer coverage, whether there is a reimbursement contract between the payer and the Company, timeliness of payment, payment as a percentage of agreed upon rate (if applicable), amount paid per test and any current developments or changes that could impact reimbursement. As a result, the Company recognized $3.5 million of incremental revenue during the quarter ended September 30, 2016 upon test delivery that previously would not have been recognized until cash was received. Tests performed prior to July 1, 2016 that did not meet the Company’s accrual criteria at the time of delivery will continue to be recognized as revenue on the cash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supersede nearly all existing revenue recognition guidance under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including identifying performance obligations in a contract, estimating the amount of variable consideration to include in the transaction price and allocating the transaction price to each separate performance obligation. The Company will adopt the new revenue standard as of January 1, 2018 using the modified retrospective method. The Company has also completed its assessment of the first step which included identifying the Company’s customers. The Company is currently assessing the remainder of the steps and is in the process of evaluating the effect of adoption of the new revenue standard on its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160" w:firstLine="567"/>
        <w:spacing w:after="0" w:line="310" w:lineRule="auto"/>
        <w:rPr>
          <w:sz w:val="20"/>
          <w:szCs w:val="20"/>
          <w:color w:val="auto"/>
        </w:rPr>
      </w:pPr>
      <w:r>
        <w:rPr>
          <w:rFonts w:ascii="Arial" w:cs="Arial" w:eastAsia="Arial" w:hAnsi="Arial"/>
          <w:sz w:val="15"/>
          <w:szCs w:val="15"/>
          <w:color w:val="auto"/>
        </w:rPr>
        <w:t>In February 2016, the FASB issued ASU No. 2016-2, Leases.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asset and corresponding lease liability, including leases currently accounted for as operating leases. The ASU will be effective for interim and annual periods beginning after December 15, 2018. Early adoption is permitted. The Company is currently evaluating the potential effect of this standard on its financial statements.</w:t>
      </w:r>
    </w:p>
    <w:p>
      <w:pPr>
        <w:spacing w:after="0" w:line="19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 xml:space="preserve">In March 2016, the FASB issued ASU 2016-9,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This ASU also permits an election for the impact of forfeitures on the recognition of expense for share-based payment awards where forfeitures can be estimated or recognized when they occur. This ASU is effective for interim and annual periods beginning after December 15, 2016. The Company adopted this ASU as of January 1, 2017 and elected to continue using its forfeiture estimation method for share-based payment awards. This ASU was adopted prospectively and the impact of adoption on the Company's financial statements was not material.</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The Company does not anticipate that the adoption of this ASU will have a significant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5,638,214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4,459,732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29,350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25,029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39,500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 common stock equivalents</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5,707,064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4,484,761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3. Accrued Liabilities</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expenses</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recognizes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estimated fair value of the Company’s debt is estimated using the net present value of the payments, discounted at an interest rate that is consistent with market interest rates, which is a Level II input. The accounting guidance for fair value provides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only of money market funds, was $52.0 million and $58.7 million as of March 31, 2017 and December 31, 2016,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The Company had deposits of $603,000 included in long-term assets as of March 31, 2017 and December 31, 2016, restricted from withdrawal and held by a bank in the form of collateral for an irrevocable standby letter of credit held as security for the lease of the South San Francisco facility.</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also leases laboratory and office space in Austin, Texas under a lease that expires on July 31, 2018. The Company provided a cash security deposit of $75,000, which is included in other assets in the Company’s condensed balance sheets as of March 31, 2017 and December 31, 2016.</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March 31, 2017 are as follows (in thousands of dollars):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9,812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19,784</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period. Rent expense was $457,000 and $628,000 for the three months ended March 31,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entered into a capital lease in December 2016 for $1.2 million of equipment and the associated equipment has not been placed into service as of March 31, 2017. Amortization of the equipment will commence when the equipment is placed into service and ready for its intended use. The Company paid an upfront amount of $330,000 and the present value of the total future minimum lease payments was $874,000 at December 31, 2016. The short-term portion of the capital lease included in accrued liabilities on the Company's balance sheet was $280,000 and $275,000, respectively, as of March 31, 2017 and December 31, 2016. The long-term portion of the capital lease included in capital lease liability on the Company's balance sheet was $528,000 and $599,000, as of March 31, 2017 and December 31, 2016. As of March 31, 2017, the annual future min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imum lease payments will be $238,000, $317,000 and $317,000, respectively for the years ending 2017, 2018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non-cancelable purchase commitments with suppliers to purchase a minimum quantity of supplies for approximately $1.2 million at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litigation pending that could have, individually or in the aggregate,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2016, the Company entered into a credit agreement (the “Credit Agreement”) with Visium Healthcare Partners, LP (“Visium”). Under the Credit Agreement, two term loans are available to the Company with an aggregate principal amount of up to $40.0 million. The Company drew down the initial $25.0 million term loan (the “Initial Term Loan”) on March 30, 2016, of which $5.0 million was used to pay the outstanding balance of the Company’s existing long-term debt, which was cancelled at that date. On or prior to June 30, 2017, the Company is permitted to request the second term loan of up to $15.0 million (the “Second Term Loan” and together with the Initial Term Loan, the “Term Loans”). The Term Loans mature on March 31, 2022.</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Term Loans bear interest at a fixed rate of 12.0% per annum, payable quarterly at the end of each March, June, September and December. No principal payments will be due during an interest-only period, commencing on the funding date for the Initial Term Loan (the “Initial Borrowing Date”) and continuing through and including March 31, 2020. The Company is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the Company may elect to pay interest in cash on the outstanding principal amounts of the Term Loans at a fixed rate of 9.0%, with the remaining 3.0% of the 12.0% interest paid-in-kind by adding such paid-in-kind interest to the outstanding principal amounts of the Term Loans. The Company elected to pay interest in-kind for the quarters ended June 30, 2016 and September 30, 2016 and has recorded a total of $385,000 of paid-in-kind interest through March 31, 2017.</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 acquires certain subsidiaries domiciled in the United States, those subsidiaries are required to be guarantors of the Company’s obligations under the Credit Agreement. As of March 31, 2017, the Company was in compliance with the loan covenants.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2017, the net debt obligation for borrowings made under the Credit Agreement was as follows (in thousands of dollars):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principal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25,385</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Unamortized deferred debt issuance costs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obligation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900" w:type="dxa"/>
            <w:vAlign w:val="bottom"/>
            <w:gridSpan w:val="2"/>
            <w:vMerge w:val="restart"/>
          </w:tcPr>
          <w:p>
            <w:pPr>
              <w:ind w:left="620"/>
              <w:spacing w:after="0"/>
              <w:rPr>
                <w:sz w:val="20"/>
                <w:szCs w:val="20"/>
                <w:color w:val="auto"/>
              </w:rPr>
            </w:pPr>
            <w:r>
              <w:rPr>
                <w:rFonts w:ascii="Arial" w:cs="Arial" w:eastAsia="Arial" w:hAnsi="Arial"/>
                <w:sz w:val="18"/>
                <w:szCs w:val="18"/>
                <w:color w:val="auto"/>
              </w:rPr>
              <w:t>Future principal payments under the Credit Agreement are as follows (in thousands of dollars):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99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5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25,385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2013, the Company entered into a loan and security agreement as subsequently amended (“2013 Loan Agreement”) with a financial institution that provided for borrowings of up to $10.0 million in aggregate. Borrowings under the 2013 Loan Agreement totaled $5.0 million, which was outstanding at January 1, 2016 until March 30, 2016 when it was repaid upon the Company entering into the Credit Agreement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was as follows (in thousands of dollars):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Nominal interest</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Amortization and write-off of debt discount and debt issuance costs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 penalty</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End-of-term payment interest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7. Stockholders’ Equity</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b w:val="1"/>
                <w:bCs w:val="1"/>
                <w:i w:val="1"/>
                <w:iCs w:val="1"/>
                <w:color w:val="auto"/>
              </w:rPr>
              <w:t>Common Stock</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tcPr>
          <w:p>
            <w:pPr>
              <w:ind w:left="660"/>
              <w:spacing w:after="0"/>
              <w:rPr>
                <w:sz w:val="20"/>
                <w:szCs w:val="20"/>
                <w:color w:val="auto"/>
              </w:rPr>
            </w:pPr>
            <w:r>
              <w:rPr>
                <w:rFonts w:ascii="Arial" w:cs="Arial" w:eastAsia="Arial" w:hAnsi="Arial"/>
                <w:sz w:val="18"/>
                <w:szCs w:val="18"/>
                <w:color w:val="auto"/>
              </w:rPr>
              <w:t>The Company had reserved shares of common stock for issuance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 issued and outstanding</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6,549,315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5,251,832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Stock options and restricted stock units available for grant under stock option plans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918,294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887,724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available for the Employee Stock Purchase Plan</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525,794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609,053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7,993,403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6,748,609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Genzyme Co-Promotion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received a percentage of U.S. cash receipts that the Company has received related to Afirma as co-promotion fees. The percentage was 50% in 2012, 40% from January 2013 through February 2014, and 32% beginning in February 2014.</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November 2014, the Company signed an Amended and Restated U.S. Co-Promotion Agreement (“Amended Agreement”) with Genzyme. Under the Amended Agreement, the co-promotion fees Genzyme receives as a percentage of U.S. cash receipts were reduced from 32% to 15% beginning January 1, 2015. Through August 11, 2014, the Company amortized the $10.0 million upfront co-promotion fee on a straight-line basis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could terminate the agreement without penalty. The Company accounted for the change in accounting estimate prospectively. The agreement was terminable by either party with six months prior notice, however, under the Amended Agreement, neither party could terminate the agreement for convenience prior to June 30, 2016. The agreement with Genzyme was to expire in 2027. On March 9, 2016, the Company gave Genzyme notice of termination of the Amended Agreement effective September 9, 2016 and the amortization of the upfront co-promotion fee was further extended to that date. The extension of the amortization period has no impact on the Company's 2016 financial statements on an annual basis.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2015, the Company entered into an Ex-U.S. Co-promotion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pays Genzyme 25% of net revenue from the sale of the Afirma GEC test in Brazil and Singapore over a five-year period commencing January 1, 2015. These payments have been immaterial for all periods presented. Beginning in the fourth year of the agreement, if the Company terminates the agreement for convenience, the Company may be required to pay a termination fee contingent on the number of GEC billable results generated during the 12 months immediately prior to the notice of termination.</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incurred $2.1 million in co-promotion expense, excluding the amortization of the upfront co-promotion fee, for the three months ended March 31, 2016, which is included in selling and marketing expenses in the condensed statements of operations and comprehensive loss. The Company had no outstanding obligations to Genzyme as of March 31, 2017 and December 31, 2016.</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amortized $431,000 of the $10.0 million upfront co-promotion fee in the three months ended March 31, 2016, which is reflected as a reduction to selling and marketing expenses in the condensed statements of operations and comprehensive loss. No such related costs were incurred during the three-months ended March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Thyroid Cytopathology Partners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was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sublease a portion of the Company’s facility in Austin, Texas. The Company does not have an ownership interest in or provide any form of financial or other support to TCP.</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statements of operations and comprehensive loss. The Company incurred $1.2 million and $1.3 million for the three months ended March 31, 2017 and 2016, respectively, in cytopathology testing and evaluation services expenses with TCP. The Company’s outstanding obligations to TCP for cytopathology testing services were $440,000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and $426,000 as of March 31, 2017 and December 31, 2016, respectively, and are included in accounts payable on the Company’s condensed balance sheets.</w:t>
      </w:r>
    </w:p>
    <w:p>
      <w:pPr>
        <w:spacing w:after="0" w:line="2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TCP reimburses the Company for TCP's proportionate share of the Company’s rent and related operating expenses for the leased facility. TCP’s portion of rent and related operating expenses for the shared space at the Austin, Texas facility was $25,000 and $23,000 for the three months ended March 31, 2017 and 2016, respectively, and is included in other income, net in the Company’s condensed statements of operations and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months ended March 31, 2017 and 2016. The Company continues to maintain a full valuation allowance against its net deferred tax assets.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2017, the Company had unrecognized tax benefits of $2.3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March 31, 2017 will significantly increase or decrease within the next 12 months. There was no interest expense or penalties related to unrecognized tax benefits recorded through March 31, 2017.</w:t>
      </w:r>
    </w:p>
    <w:p>
      <w:pPr>
        <w:spacing w:after="0" w:line="171" w:lineRule="exact"/>
        <w:rPr>
          <w:sz w:val="20"/>
          <w:szCs w:val="20"/>
          <w:color w:val="auto"/>
        </w:rPr>
      </w:pPr>
    </w:p>
    <w:p>
      <w:pPr>
        <w:jc w:val="both"/>
        <w:ind w:firstLine="686"/>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2016.</w:t>
      </w:r>
    </w:p>
    <w:p>
      <w:pPr>
        <w:spacing w:after="0" w:line="18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7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our tests;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and collaborations;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products and technologies;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Veracyte, Afirma, Percepta, Envisia, the Veracyte logo and the Afirma logo are our trademarks. We also refer to trademarks of other corporations or organizations in this report.</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leading genomic diagnostics company that is fundamentally improving patient care by resolving diagnostic uncertainty with evidence that is trustworthy and actionable. Our products uniquely combine genomic technology, clinical science and machine learning to provide answers that give physicians and patients a clear path forward without risky, costly surgery that is often unnecessary.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vision is to lead a transformation of diagnostics with a new genomic standard of truth. Our goal is to drive shareholder value by improving patient outcomes and reducing the cost of healthcare.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genomic and technological advances are fueling the imagination about what is possible in medicine, we remain focused on delivering tests that change clinical decision making and improve patient outcomes.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deploy machine learning methods and RNA expression to improve diagnostic clarity for cancer and other diseases. In our thyroid and lung cancer indications, diagnosis can be ambiguous in approximately 15-70% of patients undergoing diagnostic evaluation. Our tests provide clarity of diagnosis that can in turn guide treatment decisions in approximately half of those cases, eliminating costly, risky surgeries and other unnecessary medical procedures, improving the lives of patients and saving the healthcare system money.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our founding in 2008, we have commercialized three genomic tests that we believe are transforming diagnostics: the Afirma Gene Expression Classifier, or GEC,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Patients typically access our tests through their physician during the diagnostic process. All of our testing services are made available through our clinical reference laboratories located in San Francisco, California and Austin, Texas, which are each certified under the Clinical Laboratory Improvement Amendments of 1988, or CLIA.</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published evidence supporting our tests demonstrates the robustness of our science and clinical studies. Patients and physicians can access our full list of publications on our website. Nearly 30 clinical studies covering our products have been published, including two landmark clinical validation papers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We continue to build upon our extensive library of clinical evidence. We also expect to continue expanding our offerings in thyroid cancer, lung cancer and interstitial lung diseases such as IPF as well as other cancer indications that we believe will benefit from our technology and approach.</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our focus on developing clinically useful tests that change patient care is enabling the company to set new standards in genomic test reimbursement. Our flagship product, the Afirma GEC, is now covered for more than 228 million people in the U.S. for use in thyroid cancer diagnosis and our second commercial product, the Percepta classifier, is the first genomic test to gain Medicare coverage for improved lung cancer screening and diagnosis.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2017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three-month period ended March 31, 2017, as compared to the first quarter of 2016:</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$16.4 million, an increase of 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were $23.9 million, an increase of 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$8.2 million, an 18% improvement;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Cash Burn </w:t>
      </w:r>
      <w:r>
        <w:rPr>
          <w:rFonts w:ascii="Arial" w:cs="Arial" w:eastAsia="Arial" w:hAnsi="Arial"/>
          <w:sz w:val="17"/>
          <w:szCs w:val="17"/>
          <w:color w:val="auto"/>
        </w:rPr>
        <w:t>(which is defined as net cash used in operating activities and net capital expenditures) was $8.3 million, a 28% improvement;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$51.5 million at March 31,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2017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GEC volume by 9% during the first quarter of 2017, compared to the first quarter of 2016.</w:t>
      </w:r>
    </w:p>
    <w:p>
      <w:pPr>
        <w:spacing w:after="0" w:line="23" w:lineRule="exact"/>
        <w:rPr>
          <w:rFonts w:ascii="Arial" w:cs="Arial" w:eastAsia="Arial" w:hAnsi="Arial"/>
          <w:sz w:val="18"/>
          <w:szCs w:val="18"/>
          <w:color w:val="auto"/>
        </w:rPr>
      </w:pPr>
    </w:p>
    <w:p>
      <w:pPr>
        <w:ind w:left="660" w:right="70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Executed agreement with Quest Diagnostics, which is now offering the Afirma GEC to its large network of physician customers through its AmeriPath anatomic pathology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Progress:</w:t>
      </w:r>
    </w:p>
    <w:p>
      <w:pPr>
        <w:spacing w:after="0" w:line="23" w:lineRule="exact"/>
        <w:rPr>
          <w:sz w:val="20"/>
          <w:szCs w:val="20"/>
          <w:color w:val="auto"/>
        </w:rPr>
      </w:pPr>
    </w:p>
    <w:p>
      <w:pPr>
        <w:ind w:left="660" w:right="14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Announced ten new coverage policies for the Afirma GEC with Blues plans and secured coverage from the Blues Federal Employee Program. This brings the total number of covered lives for the test to nearly 230 million, including more than 75 million Blues plan members.</w:t>
      </w:r>
    </w:p>
    <w:p>
      <w:pPr>
        <w:ind w:left="660" w:right="4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the number of health plan members with in-network access to the Afirma GEC to approximately 160 million, including more than 30 million through Blues plans.</w:t>
      </w:r>
    </w:p>
    <w:p>
      <w:pPr>
        <w:ind w:left="660" w:right="60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Secured final Medicare coverage and pricing for the Percepta classifier for use in lung cancer screening and diagnosis, that is in line with our expectations and similar to the Medicare price for the Afirma GEC.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Evidence Development:</w:t>
      </w:r>
    </w:p>
    <w:p>
      <w:pPr>
        <w:spacing w:after="0" w:line="23" w:lineRule="exact"/>
        <w:rPr>
          <w:sz w:val="20"/>
          <w:szCs w:val="20"/>
          <w:color w:val="auto"/>
        </w:rPr>
      </w:pPr>
    </w:p>
    <w:p>
      <w:pPr>
        <w:jc w:val="both"/>
        <w:ind w:left="660" w:right="1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Unveiled data from our pivotal clinical validation study demonstrating that the next-generation Afirma Genomic Sequencing Classifier achieved its endpoint of identifying 30% more benign patients than the current GEC. The new data will be shared May 4, 2017 during the American Association of Clinical Endocrinologists annual meeting in Austin, Texas.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study demonstrating the cost-effectiveness of the Percepta classifier was accepted for publication in a major pulmonology journal.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Molecular Test Volume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performance depends on the number of molecular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1300" w:hanging="40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23" w:lineRule="exact"/>
        <w:rPr>
          <w:rFonts w:ascii="Arial" w:cs="Arial" w:eastAsia="Arial" w:hAnsi="Arial"/>
          <w:sz w:val="18"/>
          <w:szCs w:val="18"/>
          <w:color w:val="auto"/>
        </w:rPr>
      </w:pPr>
    </w:p>
    <w:p>
      <w:pPr>
        <w:ind w:left="1300" w:hanging="40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20" w:lineRule="exact"/>
        <w:rPr>
          <w:rFonts w:ascii="Arial" w:cs="Arial" w:eastAsia="Arial" w:hAnsi="Arial"/>
          <w:sz w:val="17"/>
          <w:szCs w:val="17"/>
          <w:color w:val="auto"/>
        </w:rPr>
      </w:pPr>
    </w:p>
    <w:p>
      <w:pPr>
        <w:ind w:left="1300" w:hanging="40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 and</w:t>
      </w:r>
    </w:p>
    <w:p>
      <w:pPr>
        <w:spacing w:after="0" w:line="9" w:lineRule="exact"/>
        <w:rPr>
          <w:rFonts w:ascii="Arial" w:cs="Arial" w:eastAsia="Arial" w:hAnsi="Arial"/>
          <w:sz w:val="18"/>
          <w:szCs w:val="18"/>
          <w:color w:val="auto"/>
        </w:rPr>
      </w:pPr>
    </w:p>
    <w:p>
      <w:pPr>
        <w:ind w:left="1300" w:hanging="401"/>
        <w:spacing w:after="0" w:line="26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substantially all our revenue from genomic testing services, including the rendering of a cytopathology diagnosis as part of the Afirma solution. We do not accrue revenue for tests performed and reported that do not meet our accrual criteria. For the Afirma GEC, we do not accrue revenue for approximately 5%-10% of the tests that we perform and report as complete due principally to insufficient RNA from which to render a result and tests performed for which we do not reasonably expect to be paid. For tests that we perform that do not meet our accrual criteria, we recognize revenue upon cash receipt.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 growth depends on both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Afirma, we increased our sales force over the last several years, along with increasing our marketing efforts. We have hired institutional channel managers to focus on the institutional segment, where accounts generally send us FNAs for the GEC only, and account managers, dedicated to serving existing accounts, thereby freeing up our product specialists to focus on transacting new business. If we are unable to expand the base of prescribing physicians and penetration within these accounts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an acceptable rate, or if we are not able to execute our strategy for increasing reimbursement, we may not be able to effectively increase our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recognize revenue on an accrual basis when we are able to make a reasonable estimate of reimbursement at the time delivery is complete. In the first period in which revenue is accrued for a particular payer or test, there generally is a one-time increase in revenue. Until we have contracts with payers or can reasonably estimate the amount that will ultimately be received, we recognize the related revenue on the cash basis. As we commercialize new products, we will need to be able to make a reasonable estimate of the amount that will ultimately be received from each payer for each new product offering prior to being able to recognize the related revenue on an accrual basis. Because the timing and amount of cash payments received from payers as well as one-time increases in revenue from newly accrued payers are difficult to predict, we expect that our revenue may fluctuate significantly in any given quarter.</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2017,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$160.6 million.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2016, cumulative amounts billed at list price for tests processed which were not recognized as revenue upon delivery of a patient report because our accrual revenue recognition criteria were not met and for which we have not collected cash or written off as uncollectible, totaled $161.2 million. Of this amount, we recognized revenue of approximately $1.2 million in the three months ended March 31, 2017, when cash was received.</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calculate the average GEC reimbursement from all payers, whether they are on the cash or an accrual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GEC represents the total cash collected to date against GEC tests performed during the relevant period divided by the number of GEC tests performed during that same period.</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tests that were on average one year old, our average reimbursement per GEC was approximately $2,300 for the quarter ended March 31, 2017 as compared with approximately $2,100 for the same period in 2016. The average GEC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quarter ended March 31, 2017, on average we accrued between $2,300 and $2,400 for the Afirma GEC tests that met our revenue recognition standard, which was between 90%-95% of the reported Afirma GEC test volume.</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as we did in July 2015, it will increase the cumulative amounts billed.</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 the eight quarters ended March 31, 2017, we generated between $2.1 to $2.7 million in revenue per quarter from providing cytopathology services associated with our Afirma solution.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We launched the Percepta test in April 2015. Additionally, we introduced in October 2016 a solution for interstitial lung disease, our Envisia Genomic Classifier, that will offer an alternative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surgery by developing a genomic signature to classify samples collected through less invasive bronchoscopy techniques.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January 2012 through September 9, 2016, we were party to a Co-Promotion Agreement with Genzyme to market the Afirma solution in the United States. The agreement required that we pay a certain percentage of our cash receipts from the sale of the Afirma solution to Genzyme, which percentage decreased over time, ranging from 50% in 2012 to 15% beginning January 1, 2015. We received a $10.0 million upfront co-promotion fee from Genzyme under the Co-Promotion Agreement, which we amortized over the estimated useful life based on the provisions of the agreement as a reduction to selling and marketing expenses. On March 9, 2016, we gave Genzyme notice of termination of the Agreement effective September 9, 2016 and the amortization of the upfront co-promotion fee was extended to that date. The final payments totaling $4.0 million under the Agreement were made in September 2016.</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Ex-U.S. Agreement, or Ex-U.S. Agreement, we have agreed to pay Genzyme 25% of net revenue from the sale of the Afirma GEC test in Brazil and Singapore over a five-year period commencing January 1, 2015. Beginning in the fourth year of the agreement, which was effective in February 2015, if we terminate the agreement for convenience, we may be required to pay a termination fee contingent on the number of GEC billable results generated.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March 31, 2017, all of our revenue has been derived from the sale of Afirma. To date, Afirma has been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1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tests performed where we can reasonably estimate the amount we will ultimately receive at the time delivery is complete we recognize the related revenue upon delivery of a patient report to the prescribing physician based on the established billing rate less contractual and other adjustments to arrive at the amount that we expect to ultimately receive. We determine the amount we expect to ultimately receive based on a per payer, per contract or agreement basis. Upon ultimate collection, the amount received where reimbursement was estimated is compared to previous estimates and the amount accrued is adjusted accordingly. In other situations, where we cannot reasonably estimate the amount that will be ultimately received, we recognize revenue on the cash basis. Our ability to increase our revenue will depend on our ability to penetrate the market, obtain positive coverage policies from additional third-party payers, obtain reimbursement and/or enter into contracts with additional third-party payers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our current and new tests, and increase reimbursement rates for tests performed. Finally, should we recognize revenue on an accrual basis and later determine the judgments underlying estimated reimbursement change, our financial results could be negatively impacted in future quarters.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and from the higher costs of our new facility.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in 2016 for the development and launch of Envisia and for the continued development and support of the Afirma and Percepta tests. In 2017, we expect to incur research and development expenses on ongoing evidence development for our Afirma, Percepta and Envisia classifiers.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and marketing expenses consist of personnel costs, including stock-based compensation expense, direct marketing expenses, consulting costs, and allocated overhead including rent, information technology, equipment depreciation and utilities. In addition, co-promotion fees paid to Genzyme, net of amortization of the upfront fee received, are included in selling and marketing expenses through the September 9, 2016 termination date of our U.S. co-promotion agreement. We have expanded our internal sales force and increased our marketing spending as we transitioned out of the Genzyme relationship, and expect that these costs will be offset by the elimination of the co-promotion fee. We have also incurred increased selling and marketing expense as a result of investments in our lung product portfolio and believe total selling and marketing expenses will continue to increase as we launch and promote our new tests.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expenses include those from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We expect these expenses to continue to grow as we build our general and administration infrastructure and to stabilize thereafter.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our credit agreement and the loan and security agreement that it replaced.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(expense), net consists primarily of sublease rental income and interest income received from payers and from our cash equivalents.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2016 (In Thousands of Dollars, Except Percentages and GECs reported)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2,882</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16%</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23,301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648</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(23)%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118%</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133%</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1,858</w:t>
            </w:r>
          </w:p>
        </w:tc>
        <w:tc>
          <w:tcPr>
            <w:tcW w:w="10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5"/>
              </w:rPr>
              <w:t>(18)%</w:t>
            </w:r>
          </w:p>
        </w:tc>
      </w:tr>
      <w:tr>
        <w:trPr>
          <w:trHeight w:val="210"/>
        </w:trPr>
        <w:tc>
          <w:tcPr>
            <w:tcW w:w="70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Operating Data:</w:t>
            </w: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GECs reported</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incurred a net loss of $8.2 million for the three months ended March 31, 2017 compared to a net loss of $10.1 million in the same period in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we had an accumulated deficit of $188.3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increased $2.9 million, or 21%, for the three months ended March 31, 2017 compared to the same period in 2016. The increase was primarily due to additional payers meeting our revenue recognition criteria for accrual and increased adoption of Afirma and the resultant increase in tests delivered. Revenue recognized when cash is received has decreased because payers who were previously recognized on the cash basis have met our revenue recognition criteria and are recognized on an accrual basis.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recognized on an accrual basis and cash basis for the three months ended March 31, 2017 and 2016 was as follows (in thousands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on an accrual basis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15,138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Revenue recognized on a cash basis</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5,324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16,432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13,550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July 1, 2016, we accrued less than 50% of the billed GEC test volume per fiscal period. We believed we did not have a consistent enough payment history to accrue the remaining GEC tests delivered to customers and, as noted above, recognized revenue on the cash basis for such tests. We have been analyzing the amounts received for tests performed since commercialization, and during the quarter ended September 30, 2016, sufficient information developed to support a reasonable estimate of the amount of revenue to accrue upon test delivery for a number of payers that had been previously recognized on the cash basis. As a result,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starting in the quarter ended September 30, 2016, we began accruing substantially all of our billed GEC test volume. In determining the amount to accrue for a particular test, we considered factors such as payer coverage, whether there is a reimbursement contract between the payer and us, timeliness of payment, payment as a percentage of agreed upon rate (if applicable), amount paid per test and any current developments or changes that could impact reimbursement. As a result, we recognized $3.5 million of incremental revenue during the quarter ended September 30, 2016 upon test delivery that previously would not have been recognized until cash was received. Tests performed prior to July 1, 2016 that did not meet our accrual criteria at the time of delivery will continue to be recognized as revenue on the cash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2017 and 2016 is as follows (in thousands of dollars, except percentages):</w:t>
      </w:r>
    </w:p>
    <w:p>
      <w:pPr>
        <w:spacing w:after="0" w:line="379"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r>
      <w:tr>
        <w:trPr>
          <w:trHeight w:val="236"/>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Reagents, chips, consumables and related costs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2"/>
              </w:rPr>
              <w:t>5%</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Cytopathology fees and 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Sample collection</w:t>
            </w:r>
          </w:p>
        </w:tc>
        <w:tc>
          <w:tcPr>
            <w:tcW w:w="2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1"/>
              </w:rPr>
              <w:t>(11)%</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labor</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13%</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Cost of revenue increased $18,000, or less than 1%, for the three months ended March 31, 2017 compared to the same period in 2016. Given our corporate focus on GEC growth, GEC tests increased by 9%, offsetting a 6% decrease in cytopathology tests. The increase in reagents, chips, consumables and related costs is associated primarily with increased GEC test volume and the related commission expense to a supplier. The decrease in cytopathology fees is related to the volume decrease in FNA samples processed. The decrease in direct labor costs is due to a reassignment of certain lab personnel as indirect labor, which is included in other costs. The total of direct and indirect labor costs increased 11% compared to the year ago quarter due to an average lab headcount increase of 12%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2017 and 2016 is as follows (in thousands of dollars, except percentages):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r>
      <w:tr>
        <w:trPr>
          <w:trHeight w:val="236"/>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Personnel-related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298</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18%</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0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4"/>
              </w:rPr>
              <w:t>17%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2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23%</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5%</w:t>
            </w:r>
          </w:p>
        </w:tc>
      </w:tr>
      <w:tr>
        <w:trPr>
          <w:trHeight w:val="257"/>
        </w:trPr>
        <w:tc>
          <w:tcPr>
            <w:tcW w:w="70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569</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16%</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Research and development expense increased $569,000, or 16%, for the three months ended March 31, 2017 compared to the same period in 2016. The increase in personnel-related expense was primarily due to a 23% increase in average headcount, and higher incentive compensation expense. The increase in stock-based compensation expense reflects option grants to new and existing employees. The increase in direct R&amp;D expense was primarily due to materials purchased for research and development experiments. Other expense increased primarily as a result of increased information technology and facilities expenses that were related to research and development activities.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2017 and 2016 is as follows (in thousands of dollars, except percentages):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r>
      <w:tr>
        <w:trPr>
          <w:trHeight w:val="236"/>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(1,623)</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(100)%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Personnel-related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920</w:t>
            </w:r>
          </w:p>
        </w:tc>
        <w:tc>
          <w:tcPr>
            <w:tcW w:w="10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4"/>
              </w:rPr>
              <w:t>25%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(1)%</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w:t>
            </w:r>
          </w:p>
        </w:tc>
        <w:tc>
          <w:tcPr>
            <w:tcW w:w="10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1"/>
              </w:rPr>
              <w:t>159%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16%</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4%</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and marketing expense increased $270,000, or 4%, for the three months ended March 31, 2017 compared to the same period in 2016. The decrease in Genzyme co-promotion expense, net, reflects the termination of the Amended Agreement effective September 9, 2016. The increase in personnel-related expense was primarily due to a 25% increase in average headcount mainly from increases of our sales and marketing personnel due to the termination of the Amended Agreement, as well as increased commissions. The increase in direct marketing expense was primarily due to a corporate rebranding exercise.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2017 and 2016 is as follows (in thousands of dollars, except percentages):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r>
      <w:tr>
        <w:trPr>
          <w:trHeight w:val="236"/>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Personnel-related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299</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2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(8)%</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5"/>
              </w:rPr>
              <w:t>(43)%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5"/>
              </w:rPr>
              <w:t>(19)%</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(3)%</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 and administrative expense decreased $209,000, or 3%, for the three months ended March 31, 2017 compared to the same period in 2016. The increase in personnel-related expense was primarily due to a 10% increase in average headcount for the three months ended March 31, 2017 as compared to the same period in 2016, and higher incentive compensation expense. The decrease in professional fees expense was mainly due to lower audit expenses. The decrease in rent and other facilities expense was largely due to incurring facilities expenses for the three months ended March 31, 2016 for our current South San Francisco facility, as well as our previous space, for which the lease ended in March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increased $433,000 for the three months ended March 31, 2017 compared to the same period in 2016 due to higher interest on the initial term loan of $25.0 million under a credit agreement entered into in March 2016, compared to the interest, end-of-term payment, prepayment penalty and write-off of debt issuance costs on the prior loan and security agreement that was paid off in March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increased $57,000 for the three months ended March 31, 2017 compared to the same period in 2016 primarily due to higher interest income from our money market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incurred net losses since our inception. For the three months ended March 31, 2017, we had a net loss of $8.2 million, and we expect to incur additional losses in the remainder of 2017 and at least through 2018. As of March 31, 2017, we had an accumulated deficit of $188.3 million. We may never achieve revenue sufficient to offset our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existing cash and cash equivalents of $51.5 million as of March 31, 2017, our available term loan and our revenue during the next 12 months will be sufficient to meet our anticipated cash requirements for at least the next 12 months.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inception through March 31, 2017, we have received $250.6 million in net proceeds from various sources to finance our operations, including net proceeds of $78.6 million from sales of our preferred stock, net proceeds of $59.2 million from our IPO, net proceeds of $37.3 million from our sale of common stock in a private placement, net proceeds of $32.1 million from our sale of common stock in a public offering, $10.0 million from the Genzyme co-promotion agreement, net borrowings of $4.9 million under our loan and security agreement which was repaid in full in March 2016, net borrowings of $24.5 million under our credit agreement, $3.6 million from the exercise of stock options and purchases of stock under our employee stock purchase plan and conversion of accrued interest to long-term debt of $0.4 million.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2016, we entered into a credit agreement, or Credit Agreement, with Visium Healthcare Partners, LP, or Visium. Under the Credit Agreement, two term loans are available to us with an aggregate principal amount of up to $40.0 million. We drew down the initial $25.0 million term loan, or Initial Term Loan, on March 30, 2016. On or prior to June 30, 2017, we are permitted to request the second term loan of up to $15.0 million, or the Second Term Loan, however, we do not anticipate that we will do so. The Initial Term Loan and the Second Term Loan are referred to as Term Loans, which mature on March 31, 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Loans bear interest at a fixed rate of 12.0% per annum, payable quarterly at the end of each March, June,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September and December. No principal payments will be due during an interest-only period, commencing on the funding date for the Initial Term Loan, or Initial Borrowing Date, and continuing through and including March 31, 2020. We are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we may elect to pay interest in cash on the outstanding principal amounts of the Term Loans at a fixed rate of 9.0%, with the remaining 3.0% of the 12.0% interest paid-in-kind by adding such paid-in-kind interest to the outstanding principal amounts of the Term Loans. We elected to pay interest in-kind for the quarters ended June 30, 2016 and September 30, 2016 and have recorded $385,000 of paid-in-kind interest through March 31, 2017.</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obligations under the Credit Agreement are secured by a security interest in substantially all of our assets. The Credit Agreement contains customary representations, warranties and events of default,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The Credit Agreement also includes financial covenants requiring minimum cash and cash equivalents balances and minimum revenues. To the extent we form or acquire certain subsidiaries domiciled in the United States, those subsidiaries are required to be guarantors of our obligations under the Credit Agreement. As of March 31, 2017, we were in compliance with the loan covenants.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2013, we entered into a loan and security agreement as subsequently amended (“2013 Loan Agreement”) with a financial institution that provided for borrowings of up to $10.0 million in aggregate. Borrowings under the 2013 Loan Agreement totaled $5.0 million, which was outstanding at January 1, 2015 and into 2016 until such amount was repaid upon us entering into the Credit Agreement discussed above.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our near- and longer-term liquidity requirements will continue to consist of selling and marketing expenses, research and development expenses, working capital and general corporate expenses associated with the growth of our business. However, we may also use cash to acquire or invest in complementary businesses, technologies, services or products that would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three months ended March 31, 2017 and 2016 (in thousands of dollars):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19,945</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operating activities for the three months ended March 31, 2017 was $8.1 million. The net loss of $8.2 million was offset primarily by $1.6 million of stock-based compensation expense and $0.9 million of depreciation and amortization, which includes $0.3 million of intangible asset amortization. Cash used as a result of changes in operating assets and liabilities of $2.4 million is primarily due to a decrease in accrued liabilities and deferred rent of $2.3 million, primarily from the payment of annual bonuses.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used in operating activities for the three months ended March 31, 2016 was $8.6 million. The net loss of $10.1 million includes non-cash charges of $0.4 million in amortization of the deferred fee received from Genzyme, offset primarily by $1.5 million of stock-based compensation expense, $0.8 million of depreciation and amortization, which includes $0.3 million of intangible asset amortization, and $0.3 million in interest and prepayment penalty relating to the repayment of our borrowings under our previous loan and security agreement. The increase in net operating assets of $0.7 million was due to a decrease of $1.1 million in accrued liabilities and deferred rent primarily from the payment of annual bonuses, offset by a $0.3 million increase in accounts payable from the timing of payments.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used in investing activities for the three months ended March 31, 2017 was $0.6 million for the acquisition of property and equipment, partially offset by $0.4 million of proceeds from the sale of property and equipment.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three months ended March 31, 2016 was $3.0 million. The investing activities for the three months ended March 31, 2016 consisted mainly of $2.9 million used for the acquisition of property and equipment, primarily for the build out of office space and the new laboratory for our new South San Francisco facility.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provided by financing activities for the three months ended March 31, 2017 was $0.5 million. Of this, $0.4 million consisted of proceeds from the purchase of stock under our ESPP and exercise of options to purchase our common stock, and $0.2 million were cost reimbursements received related to our issuance of common stock in a public offering in the fourth quarter of 2016.</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provided by financing activities for the three months ended March 31, 2016 was $19.9 million. The financing activities for the three months ended March 31, 2016 consisted of $24.6 million of net proceeds from the draw down of the Initial Term Loan of the Credit Agreement and $0.6 million from the exercise of options to purchase our common stock, partially offset by the payment of $5.0 million for the remaining principal balance and a $0.3 million of end-of-term payment and prepayment penalty related to our previous loan and security agreement that we repaid on March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during the interim period in the contractual obligations presented in our Form 10-K for the year ended December 31, 2016 filed with the Securities and Exchange Commission on March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supersede nearly all existing revenue recognition guidance under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including identifying performance obligations in a contract, estimating the amount of variable consideration to include in the transaction price and allocating the transaction price to each separate performance obligation. We will adopt the new revenue standard as of January 1, 2018 using the modified retrospective method. We have also completed our assessment of the first step which included identifying our customers. We are currently assessing the remainder of the steps and are in the process of evaluating the effect of adoption of the new revenue standard on our financial statements.</w:t>
      </w:r>
    </w:p>
    <w:p>
      <w:pPr>
        <w:spacing w:after="0" w:line="182" w:lineRule="exact"/>
        <w:rPr>
          <w:sz w:val="20"/>
          <w:szCs w:val="20"/>
          <w:color w:val="auto"/>
        </w:rPr>
      </w:pPr>
    </w:p>
    <w:p>
      <w:pPr>
        <w:ind w:right="2160" w:firstLine="648"/>
        <w:spacing w:after="0" w:line="310" w:lineRule="auto"/>
        <w:rPr>
          <w:sz w:val="20"/>
          <w:szCs w:val="20"/>
          <w:color w:val="auto"/>
        </w:rPr>
      </w:pPr>
      <w:r>
        <w:rPr>
          <w:rFonts w:ascii="Arial" w:cs="Arial" w:eastAsia="Arial" w:hAnsi="Arial"/>
          <w:sz w:val="15"/>
          <w:szCs w:val="15"/>
          <w:color w:val="auto"/>
        </w:rPr>
        <w:t xml:space="preserve">In February 2016, the FASB issued ASU No. 2016-2, </w:t>
      </w:r>
      <w:r>
        <w:rPr>
          <w:rFonts w:ascii="Arial" w:cs="Arial" w:eastAsia="Arial" w:hAnsi="Arial"/>
          <w:sz w:val="15"/>
          <w:szCs w:val="15"/>
          <w:i w:val="1"/>
          <w:iCs w:val="1"/>
          <w:color w:val="auto"/>
        </w:rPr>
        <w:t>Leases</w:t>
      </w:r>
      <w:r>
        <w:rPr>
          <w:rFonts w:ascii="Arial" w:cs="Arial" w:eastAsia="Arial" w:hAnsi="Arial"/>
          <w:sz w:val="15"/>
          <w:szCs w:val="15"/>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jc w:val="both"/>
        <w:ind w:right="120"/>
        <w:spacing w:after="0" w:line="323" w:lineRule="auto"/>
        <w:rPr>
          <w:sz w:val="20"/>
          <w:szCs w:val="20"/>
          <w:color w:val="auto"/>
        </w:rPr>
      </w:pPr>
      <w:r>
        <w:rPr>
          <w:rFonts w:ascii="Arial" w:cs="Arial" w:eastAsia="Arial" w:hAnsi="Arial"/>
          <w:sz w:val="16"/>
          <w:szCs w:val="16"/>
          <w:color w:val="auto"/>
        </w:rPr>
        <w:t>asset and corresponding lease liability, including leases currently accounted for as operating leases. The ASU will be effective for interim and annual periods beginning after December 15, 2018. Early adoption is permitted. We are currently evaluating the potential effect of this standard on our financial statements.</w:t>
      </w:r>
    </w:p>
    <w:p>
      <w:pPr>
        <w:spacing w:after="0" w:line="139"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 xml:space="preserve">In March 2016, the FASB issued ASU 2016-9,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This ASU also permits an election for the impact of forfeitures on the recognition of expense for share-based payment awards where forfeitures can be estimated or recognized when they occur. This ASU is effective for interim and annual periods beginning after December 15, 2016. We adopted this ASU as of January 1, 2017 and elected to continue using our forfeiture estimation method for share-based payment awards. This ASU was adopted prospectively and the impact of adoption on our financial statements was not material.</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We do not anticipate that the adoption of this ASU will have a significant impact on our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$51.5 million as of March 31, 2017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 a history of losses, and we expect to incur net losses for the foreseeable future and may never achieve or sustain profitability.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incurred net losses since our inception. For the three months ended March 31, 2017, we had a net loss of $8.2 million and we expect to incur additional losses for the remainder of 2017 and at least through 2018. As of March 31, 2017, we had an accumulated deficit of $188.3 million. We may never achieve revenue sufficient to offset our expenses. Over the next couple of years, we expect to continue to devote substantially all of our resources to increase adoption of, and reimbursement for our Afirma tests, Percepta, our lung cancer test which we launched in April 2015, Envisia, our test for idiopathic pulmonary fibrosis, 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solely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All of our revenue to date has been derived from the sale of our Afirma tests, which are used in the diagnosis of thyroid cancer. Over the next few years, we expect to continue to derive a substantial portion of our revenue from sales of our Afirma tests. In 2017, we anticipate that we will begin recognizing revenue from the sale of our Percepta test, used in the diagnosis of lung cancer. We also launched our Envisia test to help improve the diagnosis of interstitial lung disease, specifically IPF, in October 2016.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Afirma, or successfully obtain coverage and reimbursement for our Percepta and Envisia tests or develop and commercialize other solutions, our revenue and our ability to achieve and sustain profitability would be impaired, and the market price of our common stock could decline.</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for tests performed on patients covered by Medicare and UnitedHealthcare was 26% and 13%, respectively, of our revenue for the three months ended March 31, 2017, compared with 31% and 13%, respectively, in the three months ended March 31, 2016.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Afirma Gene Expression Classifier, or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March 1, 2015, a separate CPT code, or Current Procedural Terminology code, for the Afirma GEC was issued. In November 2016, CMS revised its final 2017 gapfill rate for the Afirma GEC and determined that the rate of $3,200 per test would be maintained in 2017. A decrease in the current Medicare payment rate for our tests will decrease our revenue from Medicare and may also decrease the payment rates for some of our commercial payers if they tie their allowable rates to the Medicare rate, which could have an adverse effect on our business, financial condition and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have a contracted rate of reimbursement with many payers for the Afirma or Percepta tests, and we do not have any contracted reimbursement with respect to the Envisia test.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GEC, the Afirma Malignancy Classifiers, launched in May 2014, the Percepta test, launched in April 2015, and the Envisia test, launched in October 2016,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commercial payers may tie their allowable rates to Medicare rates, and should Medicare reduce their rates as they did with the Afirma test in September 2016,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fine needle aspiration, or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often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the Afirma test. These facts may make physicians reluctant to convert to using or continuing to use the Afirma test, which could limit our ability to generate revenue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our ability to achieve profitability. To the extent international markets have existing practices and standards of care that are different than those in the United States, we may face challenges with the adoption of the Afirma test outside the United States. We will face similar challenges with our other tests.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 tests performed where we have an agreed upon reimbursement rate or we are able to reasonably estimate the amount that will ultimately be realized at the time delivery of a patient report is complete, such as in the case of Medicare and certain other payers, we recognize the related revenue upon delivery of a patient report to the prescribing physician based on the amount we expect to ultimately realize. We determine the amount we expect to ultimately realize based on a per payer, per contract or agreement basis. In the first period in which revenue is accrued for a particular payer, a one-time increase in revenue generally occurs. Upon ultimate collection, the amount received from Medicare and other payers where reimbursement was estimated is compared to previous estimates and the amount accrued is adjusted accordingly. In situations where we cannot reasonably estimate the amount that will ultimately be collected, we recognize revenue on the cash basis. We have little visibility as to when we will receive payment for our diagnostic tests, and we must appeal negative payment decisions, which delays collections.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was effective through December 31, 2015 and automatically renews every year thereafter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and 2017, the excise tax is scheduled to be restored in 2018.</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ACA to determine the trends and changes that may be necessitated by the legislation, any of which may potentially affect our business.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beginning of 2017, the U.S. Congress and the Administration took actions to repeal the ACA and indicated an intent to replace it with another act. Although the attempt to repeal was unsuccessful, the U.S. Congress and the Administration had indicated they intend to do so in the near future. We cannot predict if, or when, the ACA will be repealed or amended, and cannot quantify the effect of new legislation on our business.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CMS announced plans to bundle payments for clinical laboratory diagnostic tests together with other services performed during hospital outpatient visits under the Hospital Outpatient Prospective Payment System. For calendar year 2016, CMS maintained an exemption for molecular pathology tests from this bundling provision.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Protecting Access to Medicare Act of 2014, or PAMA, includes a substantial new payment system for clinical laboratory tests under the CLFS. Under PAMA, laboratories that receive the majority of their Medicare revenues from payments made under the CLFS would report initially and then on a subsequent three year basis thereafter (or annually for advanced diagnostic laboratory tests, or ADLTs), private payer payment rates and volumes for their tests. The final PAMA ruling was issued June 17, 2016 indicating that data for reporting for the new PAMA process will begin in 2017 and the new market based rates will take effect January 1, 2018. We submitted the Afirma GEC data required under PAMA before the March 31, 2017 deadline. We believe that the final PAMA regulations are generally favorable to us. The private payer rate will be calculated based on claims whose adjudication is final and will include patient deductible and co-insurance amounts. Additionally, we believe our Afirma GEC as well as our Percepta test, once covered, would be considered ADLTs and that we can determine when to seek ADLT status. We cannot assure you that reimbursement rates under the final regulations for tests like ours will not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current Medicare billing rules, payment for our tests performed on Medicare beneficiaries who were hospital inpatients at the time the tissue samples were obtained and whose tests were ordered less than 14 days from discharge must be bundled into the payment that the hospital receives for the inpatient services provided. Medicare billing rules also require hospitals to bill for our tests when ordered for hospital outpatients less than 14 days following the date of the hospital procedure where the tissue samples were obtained. Accordingly, we are required to bill individual hospitals for tests performed on Medicare beneficiaries during these time frames. We cannot ensure that hospitals will pay us for tests performed that fall under these rules. We cannot assure you that Medicare will not change this limitation in the future.</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Clinical laboratory tests have long been subject to comprehensive regulations under the Clinical Laboratory Improvement Amendments of 1988, or CLIA, as well as by applicable state laws. Most laboratory developed tests, or LDTs, are not currently subject to regulation by the U.S. Food and Drug Administration, or FDA, although reagents, instruments, software or components provided by third parties and used to perform LDTs may be subject to regulation. While the FDA maintains its authority to regulate LDTs, it has chosen to exercise its enforcement discretion not to regulate LDTs as medical devices. We believe that the Afirma GEC and the Percepta and Envisia classifiers are LDTs. In October 2014, the FDA issued draft guidance, entitled "Framework for Regulatory Oversight of LDTs," proposing the phased-in enforcement of premarket review requirements for most LDTs. The framework is similar to previously issued guidance. There is no timeframe in which the FDA must issue final guidance documents. If the guidance were enacted, our tests could be required to comply with FDA regulations applicable to medical devices.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January 2017, the FDA issued a “Discussion Paper on Laboratory Developed Tests” following input it received from multiple stakeholders who had commented on its 2014 draft guidance. While the FDA specifically states in its Discussion Paper that it does not represent a final version of the LDT draft guidance documents that were published in 2014, it is designed to provide a possible approach to spark further dialogue. The suggested LDT framework could grandfather many types of LDTs without requiring new premarket review or quality management requirements. It is also suggesting a four-year phased implementation of market authorization requirements for some types of tests.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2017, a draft bill titled "The Diagnostics Accuracy and Innovation Act" was released for discussion. The bill proposes a risk-based approach to regulate LDTs and creates a new in vitro clinical test category, which includes LDTs, and a regulatory structure under the FDA. As proposed, the bill grandfathers existing tests and gives companies five years to augment test development pipelines to ensure new tests have the data necessary for FDA approval. We cannot predict if this draft bill will become legislation and cannot quantify the effect of this draft bill on our business.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Some of the materials we use for our tests and that we may use for future tests are labeled for research use only. In November 2013, the FDA finalized guidance regarding the sale and use of products labeled for research or investigational-use only.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misbranded and adulterated within the meaning of the Federal Food, Drug and Cosmetic Act. Some of the reagents, instruments, software or components obtained by us from suppliers for use in our products are currently labeled as research or investigational-use only products. If the FDA were to undertake enforcement actions, some of our suppliers might cease selling research or investigational-use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Rosetta Genomics Ltd., and others who are developing new products or technologies that may compete with our tests. In the future, we may also face competition from companies developing new products or technologies.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Integrated Diagnostics, Inc.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as we transitioned out of our Genzyme Corporation co-promotion agreement in the United States.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6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one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sell Afirma in the United States through our internal sales team and, until recently, also through a co-promotion agreement with Genzyme Corporation, which we terminated effective September 9, 2016. In connection with the transition, we have hired additional sales personnel to sell our Afirma tests. If we are unsuccessful in transitioning the sales and marketing of the Afirma test from Genzyme solely to our internal sales and marketing personnel, we may experience declining test volumes and associated declines in revenue. We may not be able to market or sell the Afirma test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launched the Percepta test in April 2015 and the Envisia test in October 2016. We still must complete studies that meet the clinical evidence required to obtain reimbursement, which studies are currently underway.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credit agreement contains covenants that could limit our ability to sell debt securities or obtain additional debt financing arrangements, which could affect our ability to finance acquisitions or investments other than through the issuance of stock.</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quality standards, personnel qualifications and responsibilities, facility administration, general laboratory systems, quality assessment, quality control, pre-analytic, analytic, and post-analytic systems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the Afirma GEC or Percepta tests,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jc w:val="both"/>
        <w:ind w:left="980" w:hanging="324"/>
        <w:spacing w:after="0" w:line="27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and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perform all of the Afirma GEC, Percepta and Envisia testing at our laboratory in South San Francisco, California. Our laboratory in Austin, Texas accepts and stores substantially all FNA samples pending transfer to our California laboratory for Afirma GEC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81"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On May 4, 2016, the European Commission published a new Regulation and a new Directive regarding personal data privacy. The Regulation went into force on May 24, 2016 and shall apply beginning May 25, 2018. The Directive went into force on May 5, 2016 and EU member states must transpose it into their national law by May 6, 2018.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thirteen issued patents that expire between 2029 and 2032 related to methods used in the Afirma diagnostic platform, in addition to fourteen pending U.S. utility patent applications and two pending Patent Cooperation Treaty, or PCT, patent applications. Some of these U.S. utility patent applications have pending foreign counterparts. We also exclusively licensed intellectual property, including rights to three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exclusively license intellectual property rights to seven pending patent applications and one issued patent in the United States and abroad. Patents issuing from the licensed portfolio will expire between 2024 and 2028. In addition, we own a pending U.S. application and foreign counterpart applications pending in Australia, Canada, China, Europe, Japan, and South Korea related to our Percepta test. We also own two applications related to other lung diseases, and a PCT application, a pending U.S. application, two ex-U.S. applications, and one provisional U.S. application related to Envisia. Any patents granted from our current lung cancer patent applications will expire no earlier than 2035 and those from the interstitial lung disease patent applications will expire no earlier than from 2034 to 2037.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3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incurred net losses since our inception and may never achieve profitability. To the extent that we continue to generate taxable losses, unused losses will carry forward to offset future taxable income, if any, until such unused losses expire. We may be unable to use these losses to offset income before those unused losses expire. Generally, a change of more than 50% in the ownership of a corporation’s stock, by value, over a three-year period constitutes an ownership change for U.S. federal income tax purposes. An ownership change may limit a company’s ability to use its net operating loss carryforwards attributable to the period prior to such change. In the event we have undergone an ownership change under Section 382 of the Internal Revenue Code, if we earn net taxable income, our ability to use our pre-change net operating loss carryforwards to offset U.S. federal taxable income may become subject to limitations, which could potentially result in increased future tax liability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If some investors find our common stock less attractive as a result of any choices to reduce future disclosure we may make, there may be a less active trading market for our common stock and our stock price may be more volatile.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April 28, 2017, directors and executive officers and their affiliates beneficially owned, in the aggregate, 34%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credit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920" w:type="dxa"/>
            <w:vAlign w:val="bottom"/>
            <w:vMerge w:val="restart"/>
          </w:tcPr>
          <w:p>
            <w:pPr>
              <w:ind w:left="20"/>
              <w:spacing w:after="0"/>
              <w:rPr>
                <w:sz w:val="20"/>
                <w:szCs w:val="20"/>
                <w:color w:val="auto"/>
              </w:rPr>
            </w:pPr>
            <w:r>
              <w:rPr>
                <w:rFonts w:ascii="Arial" w:cs="Arial" w:eastAsia="Arial" w:hAnsi="Arial"/>
                <w:sz w:val="18"/>
                <w:szCs w:val="18"/>
                <w:color w:val="auto"/>
                <w:w w:val="93"/>
              </w:rPr>
              <w:t>In accordance with Item 601(b)(32)(ii) of Regulation S-K and SEC Release No. 34-47986, the certifications furnished in Exhibits 32.1</w:t>
            </w:r>
          </w:p>
        </w:tc>
        <w:tc>
          <w:tcPr>
            <w:tcW w:w="0" w:type="dxa"/>
            <w:vAlign w:val="bottom"/>
          </w:tcPr>
          <w:p>
            <w:pPr>
              <w:spacing w:after="0"/>
              <w:rPr>
                <w:sz w:val="1"/>
                <w:szCs w:val="1"/>
                <w:color w:val="auto"/>
              </w:rPr>
            </w:pPr>
          </w:p>
        </w:tc>
      </w:tr>
      <w:tr>
        <w:trPr>
          <w:trHeight w:val="209"/>
        </w:trPr>
        <w:tc>
          <w:tcPr>
            <w:tcW w:w="13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and 32.2 hereto are deemed to accompany this Form 10-Q and will not be deemed “filed” for purposes of Section 18 of the Securities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Exchange Act of 1934 (the “Exchange Act”) or deemed to be incorporated by reference into any filing under the Exchange Act or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Act of 1933 except to the extent that the registrant specifically incorporates it by reference.</w:t>
            </w:r>
          </w:p>
        </w:tc>
        <w:tc>
          <w:tcPr>
            <w:tcW w:w="0" w:type="dxa"/>
            <w:vAlign w:val="bottom"/>
          </w:tcPr>
          <w:p>
            <w:pPr>
              <w:spacing w:after="0"/>
              <w:rPr>
                <w:sz w:val="1"/>
                <w:szCs w:val="1"/>
                <w:color w:val="auto"/>
              </w:rPr>
            </w:pPr>
          </w:p>
        </w:tc>
      </w:tr>
      <w:tr>
        <w:trPr>
          <w:trHeight w:val="75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Keith S. Kennedy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920" w:type="dxa"/>
            <w:vAlign w:val="bottom"/>
            <w:vMerge w:val="restart"/>
          </w:tcPr>
          <w:p>
            <w:pPr>
              <w:ind w:left="20"/>
              <w:spacing w:after="0"/>
              <w:rPr>
                <w:sz w:val="20"/>
                <w:szCs w:val="20"/>
                <w:color w:val="auto"/>
              </w:rPr>
            </w:pPr>
            <w:r>
              <w:rPr>
                <w:rFonts w:ascii="Arial" w:cs="Arial" w:eastAsia="Arial" w:hAnsi="Arial"/>
                <w:sz w:val="18"/>
                <w:szCs w:val="18"/>
                <w:color w:val="auto"/>
                <w:w w:val="93"/>
              </w:rPr>
              <w:t>In accordance with Item 601(b)(32)(ii) of Regulation S-K and SEC Release No. 34-47986, the certifications furnished in Exhibits 32.1</w:t>
            </w:r>
          </w:p>
        </w:tc>
        <w:tc>
          <w:tcPr>
            <w:tcW w:w="0" w:type="dxa"/>
            <w:vAlign w:val="bottom"/>
          </w:tcPr>
          <w:p>
            <w:pPr>
              <w:spacing w:after="0"/>
              <w:rPr>
                <w:sz w:val="1"/>
                <w:szCs w:val="1"/>
                <w:color w:val="auto"/>
              </w:rPr>
            </w:pPr>
          </w:p>
        </w:tc>
      </w:tr>
      <w:tr>
        <w:trPr>
          <w:trHeight w:val="209"/>
        </w:trPr>
        <w:tc>
          <w:tcPr>
            <w:tcW w:w="13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and 32.2 hereto are deemed to accompany this Form 10-Q and will not be deemed “filed” for purposes of Section 18 of the Securities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Exchange Act of 1934 (the “Exchange Act”) or deemed to be incorporated by reference into any filing under the Exchange Act or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Act of 1933 except to the extent that the registrant specifically incorporates it by reference.</w:t>
            </w:r>
          </w:p>
        </w:tc>
        <w:tc>
          <w:tcPr>
            <w:tcW w:w="0" w:type="dxa"/>
            <w:vAlign w:val="bottom"/>
          </w:tcPr>
          <w:p>
            <w:pPr>
              <w:spacing w:after="0"/>
              <w:rPr>
                <w:sz w:val="1"/>
                <w:szCs w:val="1"/>
                <w:color w:val="auto"/>
              </w:rPr>
            </w:pPr>
          </w:p>
        </w:tc>
      </w:tr>
      <w:tr>
        <w:trPr>
          <w:trHeight w:val="48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2017;</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3, 2017</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S. Kennedy, certify that:</w:t>
      </w:r>
    </w:p>
    <w:p>
      <w:pPr>
        <w:spacing w:after="0" w:line="225" w:lineRule="exact"/>
        <w:rPr>
          <w:sz w:val="20"/>
          <w:szCs w:val="20"/>
          <w:color w:val="auto"/>
        </w:rPr>
      </w:pPr>
    </w:p>
    <w:p>
      <w:pPr>
        <w:ind w:left="1340" w:hanging="684"/>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2017;</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3, 2017</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S.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3, 2017</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3, 2017</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S.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2"/>
    </w:lvl>
  </w:abstractNum>
  <w:abstractNum w:abstractNumId="21">
    <w:nsid w:val="189A769B"/>
    <w:multiLevelType w:val="hybridMultilevel"/>
    <w:lvl w:ilvl="0">
      <w:lvlJc w:val="left"/>
      <w:lvlText w:val="%1)"/>
      <w:numFmt w:val="lowerLetter"/>
      <w:start w:val="3"/>
    </w:lvl>
  </w:abstractNum>
  <w:abstractNum w:abstractNumId="22">
    <w:nsid w:val="54E49EB4"/>
    <w:multiLevelType w:val="hybridMultilevel"/>
    <w:lvl w:ilvl="0">
      <w:lvlJc w:val="left"/>
      <w:lvlText w:val="%1."/>
      <w:numFmt w:val="decimal"/>
      <w:start w:val="5"/>
    </w:lvl>
    <w:lvl w:ilvl="1">
      <w:lvlJc w:val="left"/>
      <w:lvlText w:val="%2)"/>
      <w:numFmt w:val="lowerLetter"/>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3"/>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1."/>
      <w:numFmt w:val="decimal"/>
      <w:start w:val="5"/>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2019-12-29T07:01:08Z</dcterms:created>
  <dcterms:modified xsi:type="dcterms:W3CDTF">2019-12-29T07:01:08Z</dcterms:modified>
</cp:coreProperties>
</file>