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1091565</wp:posOffset>
            </wp:positionV>
            <wp:extent cx="70891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997585</wp:posOffset>
            </wp:positionV>
            <wp:extent cx="70891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November 4, 2026</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VERACYTE, INC.</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61" w:lineRule="exact"/>
        <w:rPr>
          <w:sz w:val="24"/>
          <w:szCs w:val="24"/>
          <w:color w:val="auto"/>
        </w:rPr>
      </w:pPr>
    </w:p>
    <w:tbl>
      <w:tblPr>
        <w:tblLayout w:type="fixed"/>
        <w:tblInd w:w="760" w:type="dxa"/>
        <w:tblCellMar>
          <w:top w:w="0" w:type="dxa"/>
          <w:left w:w="0" w:type="dxa"/>
          <w:bottom w:w="0" w:type="dxa"/>
          <w:right w:w="0" w:type="dxa"/>
        </w:tblCellMar>
      </w:tblPr>
      <w:tr>
        <w:trPr>
          <w:trHeight w:val="238"/>
        </w:trPr>
        <w:tc>
          <w:tcPr>
            <w:tcW w:w="3020" w:type="dxa"/>
            <w:vAlign w:val="bottom"/>
          </w:tcPr>
          <w:p>
            <w:pPr>
              <w:jc w:val="center"/>
              <w:ind w:right="85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720" w:type="dxa"/>
            <w:vAlign w:val="bottom"/>
          </w:tcPr>
          <w:p>
            <w:pPr>
              <w:jc w:val="right"/>
              <w:ind w:right="1390"/>
              <w:spacing w:after="0"/>
              <w:rPr>
                <w:sz w:val="20"/>
                <w:szCs w:val="20"/>
                <w:color w:val="auto"/>
              </w:rPr>
            </w:pPr>
            <w:r>
              <w:rPr>
                <w:rFonts w:ascii="Times New Roman" w:cs="Times New Roman" w:eastAsia="Times New Roman" w:hAnsi="Times New Roman"/>
                <w:sz w:val="18"/>
                <w:szCs w:val="18"/>
                <w:b w:val="1"/>
                <w:bCs w:val="1"/>
                <w:color w:val="auto"/>
              </w:rPr>
              <w:t>001-36156</w:t>
            </w:r>
          </w:p>
        </w:tc>
        <w:tc>
          <w:tcPr>
            <w:tcW w:w="3040" w:type="dxa"/>
            <w:vAlign w:val="bottom"/>
          </w:tcPr>
          <w:p>
            <w:pPr>
              <w:jc w:val="center"/>
              <w:ind w:left="850"/>
              <w:spacing w:after="0"/>
              <w:rPr>
                <w:sz w:val="20"/>
                <w:szCs w:val="20"/>
                <w:color w:val="auto"/>
              </w:rPr>
            </w:pPr>
            <w:r>
              <w:rPr>
                <w:rFonts w:ascii="Times New Roman" w:cs="Times New Roman" w:eastAsia="Times New Roman" w:hAnsi="Times New Roman"/>
                <w:sz w:val="18"/>
                <w:szCs w:val="18"/>
                <w:b w:val="1"/>
                <w:bCs w:val="1"/>
                <w:color w:val="auto"/>
                <w:w w:val="98"/>
              </w:rPr>
              <w:t>20-5455398</w:t>
            </w:r>
          </w:p>
        </w:tc>
      </w:tr>
      <w:tr>
        <w:trPr>
          <w:trHeight w:val="238"/>
        </w:trPr>
        <w:tc>
          <w:tcPr>
            <w:tcW w:w="3020" w:type="dxa"/>
            <w:vAlign w:val="bottom"/>
          </w:tcPr>
          <w:p>
            <w:pPr>
              <w:jc w:val="center"/>
              <w:ind w:right="85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Commission File Number</w:t>
            </w:r>
          </w:p>
        </w:tc>
        <w:tc>
          <w:tcPr>
            <w:tcW w:w="3040" w:type="dxa"/>
            <w:vAlign w:val="bottom"/>
          </w:tcPr>
          <w:p>
            <w:pPr>
              <w:jc w:val="center"/>
              <w:ind w:left="850"/>
              <w:spacing w:after="0"/>
              <w:rPr>
                <w:sz w:val="20"/>
                <w:szCs w:val="20"/>
                <w:color w:val="auto"/>
              </w:rPr>
            </w:pPr>
            <w:r>
              <w:rPr>
                <w:rFonts w:ascii="Times New Roman" w:cs="Times New Roman" w:eastAsia="Times New Roman" w:hAnsi="Times New Roman"/>
                <w:sz w:val="18"/>
                <w:szCs w:val="18"/>
                <w:color w:val="auto"/>
                <w:w w:val="99"/>
              </w:rPr>
              <w:t>(IRS Employer Identification</w:t>
            </w:r>
          </w:p>
        </w:tc>
      </w:tr>
      <w:tr>
        <w:trPr>
          <w:trHeight w:val="234"/>
        </w:trPr>
        <w:tc>
          <w:tcPr>
            <w:tcW w:w="3020" w:type="dxa"/>
            <w:vAlign w:val="bottom"/>
          </w:tcPr>
          <w:p>
            <w:pPr>
              <w:jc w:val="center"/>
              <w:ind w:right="850"/>
              <w:spacing w:after="0"/>
              <w:rPr>
                <w:sz w:val="20"/>
                <w:szCs w:val="20"/>
                <w:color w:val="auto"/>
              </w:rPr>
            </w:pPr>
            <w:r>
              <w:rPr>
                <w:rFonts w:ascii="Times New Roman" w:cs="Times New Roman" w:eastAsia="Times New Roman" w:hAnsi="Times New Roman"/>
                <w:sz w:val="18"/>
                <w:szCs w:val="18"/>
                <w:color w:val="auto"/>
              </w:rPr>
              <w:t>incorporation)</w:t>
            </w:r>
          </w:p>
        </w:tc>
        <w:tc>
          <w:tcPr>
            <w:tcW w:w="3720" w:type="dxa"/>
            <w:vAlign w:val="bottom"/>
          </w:tcPr>
          <w:p>
            <w:pPr>
              <w:spacing w:after="0"/>
              <w:rPr>
                <w:sz w:val="20"/>
                <w:szCs w:val="20"/>
                <w:color w:val="auto"/>
              </w:rPr>
            </w:pPr>
          </w:p>
        </w:tc>
        <w:tc>
          <w:tcPr>
            <w:tcW w:w="304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w w:val="98"/>
              </w:rPr>
              <w:t>No.)</w:t>
            </w:r>
          </w:p>
        </w:tc>
      </w:tr>
      <w:tr>
        <w:trPr>
          <w:trHeight w:val="405"/>
        </w:trPr>
        <w:tc>
          <w:tcPr>
            <w:tcW w:w="67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6000 Shoreline Court, Suite 300, South San Francisco, California</w:t>
            </w:r>
          </w:p>
        </w:tc>
        <w:tc>
          <w:tcPr>
            <w:tcW w:w="3040" w:type="dxa"/>
            <w:vAlign w:val="bottom"/>
          </w:tcPr>
          <w:p>
            <w:pPr>
              <w:jc w:val="center"/>
              <w:ind w:left="890"/>
              <w:spacing w:after="0"/>
              <w:rPr>
                <w:sz w:val="20"/>
                <w:szCs w:val="20"/>
                <w:color w:val="auto"/>
              </w:rPr>
            </w:pPr>
            <w:r>
              <w:rPr>
                <w:rFonts w:ascii="Times New Roman" w:cs="Times New Roman" w:eastAsia="Times New Roman" w:hAnsi="Times New Roman"/>
                <w:sz w:val="18"/>
                <w:szCs w:val="18"/>
                <w:b w:val="1"/>
                <w:bCs w:val="1"/>
                <w:color w:val="auto"/>
              </w:rPr>
              <w:t>94080</w:t>
            </w:r>
          </w:p>
        </w:tc>
      </w:tr>
      <w:tr>
        <w:trPr>
          <w:trHeight w:val="270"/>
        </w:trPr>
        <w:tc>
          <w:tcPr>
            <w:tcW w:w="674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040" w:type="dxa"/>
            <w:vAlign w:val="bottom"/>
          </w:tcPr>
          <w:p>
            <w:pPr>
              <w:jc w:val="center"/>
              <w:ind w:left="87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3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(650) 243-6300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45" w:lineRule="exact"/>
        <w:rPr>
          <w:sz w:val="24"/>
          <w:szCs w:val="24"/>
          <w:color w:val="auto"/>
        </w:rPr>
      </w:pPr>
    </w:p>
    <w:p>
      <w:pPr>
        <w:ind w:left="20" w:right="620" w:firstLine="54"/>
        <w:spacing w:after="0" w:line="26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36" w:lineRule="exact"/>
        <w:rPr>
          <w:sz w:val="24"/>
          <w:szCs w:val="24"/>
          <w:color w:val="auto"/>
        </w:rPr>
      </w:pPr>
    </w:p>
    <w:p>
      <w:pPr>
        <w:ind w:left="1220" w:hanging="726"/>
        <w:spacing w:after="0"/>
        <w:tabs>
          <w:tab w:leader="none" w:pos="1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1220" w:hanging="726"/>
        <w:spacing w:after="0"/>
        <w:tabs>
          <w:tab w:leader="none" w:pos="1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1220" w:hanging="726"/>
        <w:spacing w:after="0"/>
        <w:tabs>
          <w:tab w:leader="none" w:pos="1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1220" w:hanging="726"/>
        <w:spacing w:after="0"/>
        <w:tabs>
          <w:tab w:leader="none" w:pos="1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6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20" w:type="dxa"/>
            <w:vAlign w:val="bottom"/>
          </w:tcPr>
          <w:p>
            <w:pPr>
              <w:spacing w:after="0"/>
              <w:rPr>
                <w:sz w:val="20"/>
                <w:szCs w:val="20"/>
                <w:color w:val="auto"/>
              </w:rPr>
            </w:pPr>
          </w:p>
        </w:tc>
      </w:tr>
      <w:tr>
        <w:trPr>
          <w:trHeight w:val="277"/>
        </w:trPr>
        <w:tc>
          <w:tcPr>
            <w:tcW w:w="4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80" w:type="dxa"/>
            <w:vAlign w:val="bottom"/>
          </w:tcPr>
          <w:p>
            <w:pPr>
              <w:spacing w:after="0"/>
              <w:rPr>
                <w:sz w:val="24"/>
                <w:szCs w:val="24"/>
                <w:color w:val="auto"/>
              </w:rPr>
            </w:pPr>
          </w:p>
        </w:tc>
        <w:tc>
          <w:tcPr>
            <w:tcW w:w="20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Trading Symbol(s)</w:t>
            </w:r>
          </w:p>
        </w:tc>
        <w:tc>
          <w:tcPr>
            <w:tcW w:w="180" w:type="dxa"/>
            <w:vAlign w:val="bottom"/>
          </w:tcPr>
          <w:p>
            <w:pPr>
              <w:spacing w:after="0"/>
              <w:rPr>
                <w:sz w:val="24"/>
                <w:szCs w:val="24"/>
                <w:color w:val="auto"/>
              </w:rPr>
            </w:pPr>
          </w:p>
        </w:tc>
        <w:tc>
          <w:tcPr>
            <w:tcW w:w="4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57"/>
        </w:trPr>
        <w:tc>
          <w:tcPr>
            <w:tcW w:w="4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24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VCYT</w:t>
            </w:r>
          </w:p>
        </w:tc>
        <w:tc>
          <w:tcPr>
            <w:tcW w:w="4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157" w:lineRule="exact"/>
        <w:rPr>
          <w:sz w:val="24"/>
          <w:szCs w:val="24"/>
          <w:color w:val="auto"/>
        </w:rPr>
      </w:pPr>
    </w:p>
    <w:p>
      <w:pPr>
        <w:ind w:left="20" w:right="26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or Rule 12b-2 of the Securities Exchange Act of 1934.</w:t>
      </w:r>
    </w:p>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04" w:lineRule="exact"/>
        <w:rPr>
          <w:sz w:val="24"/>
          <w:szCs w:val="24"/>
          <w:color w:val="auto"/>
        </w:rPr>
      </w:pPr>
    </w:p>
    <w:p>
      <w:pPr>
        <w:ind w:left="20" w:right="140"/>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1418590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325755</wp:posOffset>
            </wp:positionV>
            <wp:extent cx="70891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0891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November 4, 2026, Veracyte, Inc. (the “Company”) issued a press release announcing its financial results for the quarter ended September 30, 2026.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full text of the press release is furnished as Exhibit 99.1 to this report.</w:t>
      </w:r>
    </w:p>
    <w:p>
      <w:pPr>
        <w:spacing w:after="0" w:line="2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in Item 2.02 of this Current Report on Form 8-K, including Exhibit 99.1, shall not be deemed to be “filed” for purposes of Section 18 of the Securities Exchange Act of 1934 (the “Exchange Act”), or otherwise subject to the liability of that section, and shall not be incorporated by reference into any registration statement or other document filed under the Securities Act of 1933 or the Exchange Act, except as shall be expressly set forth by specific reference in such filing.</w:t>
      </w:r>
    </w:p>
    <w:p>
      <w:pPr>
        <w:spacing w:after="0" w:line="203"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4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November 4, 2026, the Company announced the commencement of a share repurchase program previously authorized by the Board of Directors of the Company, pursuant to which the Company may repurchase up to $100.0 million of its outstanding common stock during the one-year period beginning on the date of the public announcement of the program (the “Repurchase Program”). Repurchases under the Repurchase Program may be made from time to time in open-market transactions, including in accordance with Rule 10b-18 under the Exchange Act or pursuant to trading plans adopted in accordance with Rule 10b5-1 under the Exchange Act, privately negotiated transactions, accelerated share repurchase transactions or other transactions, in each case in accordance with applicable laws and regulations.</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timing, amount and terms of any repurchases will depend on a variety of factors, including market conditions, the trading price of the Company’s common stock, the Company’s financial position and results of operations, capital requirements, general business conditions, alternative investment opportunities and other factors the Company deems relevant. The Repurchase Program does not obligate the Company to repurchase any specific number of shares and may be modified, suspended or discontinued at any time without prior notice at the Company’s discretion.</w:t>
      </w:r>
    </w:p>
    <w:p>
      <w:pPr>
        <w:spacing w:after="0" w:line="203"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270"/>
        </w:trPr>
        <w:tc>
          <w:tcPr>
            <w:tcW w:w="1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Exhibit No.</w:t>
            </w:r>
          </w:p>
        </w:tc>
        <w:tc>
          <w:tcPr>
            <w:tcW w:w="260" w:type="dxa"/>
            <w:vAlign w:val="bottom"/>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2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Description</w:t>
            </w:r>
          </w:p>
        </w:tc>
        <w:tc>
          <w:tcPr>
            <w:tcW w:w="320" w:type="dxa"/>
            <w:vAlign w:val="bottom"/>
          </w:tcPr>
          <w:p>
            <w:pPr>
              <w:spacing w:after="0"/>
              <w:rPr>
                <w:sz w:val="23"/>
                <w:szCs w:val="23"/>
                <w:color w:val="auto"/>
              </w:rPr>
            </w:pPr>
          </w:p>
        </w:tc>
      </w:tr>
      <w:tr>
        <w:trPr>
          <w:trHeight w:val="304"/>
        </w:trPr>
        <w:tc>
          <w:tcPr>
            <w:tcW w:w="14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99.1</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Press release issued by Veracyte, Inc. dated November 4, 2026.</w:t>
            </w:r>
          </w:p>
        </w:tc>
        <w:tc>
          <w:tcPr>
            <w:tcW w:w="4980" w:type="dxa"/>
            <w:vAlign w:val="bottom"/>
            <w:gridSpan w:val="2"/>
          </w:tcPr>
          <w:p>
            <w:pPr>
              <w:spacing w:after="0"/>
              <w:rPr>
                <w:sz w:val="24"/>
                <w:szCs w:val="24"/>
                <w:color w:val="auto"/>
              </w:rPr>
            </w:pPr>
          </w:p>
        </w:tc>
      </w:tr>
      <w:tr>
        <w:trPr>
          <w:trHeight w:val="290"/>
        </w:trPr>
        <w:tc>
          <w:tcPr>
            <w:tcW w:w="14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104</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762"/>
        </w:trPr>
        <w:tc>
          <w:tcPr>
            <w:tcW w:w="14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560" w:type="dxa"/>
            <w:vAlign w:val="bottom"/>
            <w:tcBorders>
              <w:bottom w:val="single" w:sz="8" w:color="9A9A9A"/>
            </w:tcBorders>
          </w:tcPr>
          <w:p>
            <w:pPr>
              <w:spacing w:after="0"/>
              <w:rPr>
                <w:sz w:val="24"/>
                <w:szCs w:val="24"/>
                <w:color w:val="auto"/>
              </w:rPr>
            </w:pPr>
          </w:p>
        </w:tc>
        <w:tc>
          <w:tcPr>
            <w:tcW w:w="46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 w:name="page3"/>
    <w:bookmarkEnd w:id="2"/>
    <w:p>
      <w:pPr>
        <w:spacing w:after="0" w:line="2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56" w:lineRule="exact"/>
        <w:rPr>
          <w:sz w:val="20"/>
          <w:szCs w:val="20"/>
          <w:color w:val="auto"/>
        </w:rPr>
      </w:pPr>
    </w:p>
    <w:p>
      <w:pPr>
        <w:ind w:left="80"/>
        <w:spacing w:after="0"/>
        <w:tabs>
          <w:tab w:leader="none" w:pos="92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November 4, 2026</w:t>
      </w:r>
    </w:p>
    <w:p>
      <w:pPr>
        <w:spacing w:after="0" w:line="320"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color w:val="auto"/>
        </w:rPr>
        <w:t>VERACYTE, INC.</w:t>
      </w:r>
    </w:p>
    <w:p>
      <w:pPr>
        <w:spacing w:after="0" w:line="293" w:lineRule="exact"/>
        <w:rPr>
          <w:sz w:val="20"/>
          <w:szCs w:val="20"/>
          <w:color w:val="auto"/>
        </w:rPr>
      </w:pPr>
    </w:p>
    <w:p>
      <w:pPr>
        <w:ind w:left="4260"/>
        <w:spacing w:after="0"/>
        <w:tabs>
          <w:tab w:leader="none" w:pos="5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Rebecca Chambers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26035</wp:posOffset>
            </wp:positionV>
            <wp:extent cx="39262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926205" cy="8255"/>
                    </a:xfrm>
                    <a:prstGeom prst="rect">
                      <a:avLst/>
                    </a:prstGeom>
                    <a:noFill/>
                  </pic:spPr>
                </pic:pic>
              </a:graphicData>
            </a:graphic>
          </wp:anchor>
        </w:drawing>
      </w:r>
    </w:p>
    <w:p>
      <w:pPr>
        <w:spacing w:after="0" w:line="43" w:lineRule="exact"/>
        <w:rPr>
          <w:sz w:val="20"/>
          <w:szCs w:val="20"/>
          <w:color w:val="auto"/>
        </w:rPr>
      </w:pPr>
    </w:p>
    <w:p>
      <w:pPr>
        <w:ind w:left="4260"/>
        <w:spacing w:after="0"/>
        <w:tabs>
          <w:tab w:leader="none" w:pos="510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Rebecca Chambers</w:t>
      </w:r>
    </w:p>
    <w:p>
      <w:pPr>
        <w:spacing w:after="0" w:line="75" w:lineRule="exact"/>
        <w:rPr>
          <w:sz w:val="20"/>
          <w:szCs w:val="20"/>
          <w:color w:val="auto"/>
        </w:rPr>
      </w:pPr>
    </w:p>
    <w:p>
      <w:pPr>
        <w:ind w:left="4260"/>
        <w:spacing w:after="0"/>
        <w:tabs>
          <w:tab w:leader="none" w:pos="51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i w:val="1"/>
          <w:iCs w:val="1"/>
          <w:color w:val="auto"/>
        </w:rPr>
        <w:t>Chief Financial Officer</w:t>
      </w:r>
    </w:p>
    <w:p>
      <w:pPr>
        <w:spacing w:after="0" w:line="63"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ectPr>
          <w:pgSz w:w="11900" w:h="16838" w:orient="portrait"/>
          <w:cols w:equalWidth="0" w:num="1">
            <w:col w:w="11200"/>
          </w:cols>
          <w:pgMar w:left="320" w:top="1440"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2456815</wp:posOffset>
            </wp:positionH>
            <wp:positionV relativeFrom="paragraph">
              <wp:posOffset>172085</wp:posOffset>
            </wp:positionV>
            <wp:extent cx="2228850" cy="4883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228850"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Veracyte Announces Third Quarter 2026 Financial Results</w:t>
      </w:r>
    </w:p>
    <w:p>
      <w:pPr>
        <w:spacing w:after="0" w:line="245" w:lineRule="exact"/>
        <w:rPr>
          <w:sz w:val="20"/>
          <w:szCs w:val="20"/>
          <w:color w:val="auto"/>
        </w:rPr>
      </w:pPr>
    </w:p>
    <w:p>
      <w:pPr>
        <w:jc w:val="center"/>
        <w:ind w:left="340" w:right="1020"/>
        <w:spacing w:after="0" w:line="269" w:lineRule="auto"/>
        <w:rPr>
          <w:sz w:val="20"/>
          <w:szCs w:val="20"/>
          <w:color w:val="auto"/>
        </w:rPr>
      </w:pPr>
      <w:r>
        <w:rPr>
          <w:rFonts w:ascii="Arial" w:cs="Arial" w:eastAsia="Arial" w:hAnsi="Arial"/>
          <w:sz w:val="18"/>
          <w:szCs w:val="18"/>
          <w:i w:val="1"/>
          <w:iCs w:val="1"/>
          <w:color w:val="auto"/>
        </w:rPr>
        <w:t>Grew total revenue to $151.8 million and testing revenue to $146.4 million, representing 15% year-over-year growth Announces $100 million share repurchase program</w:t>
      </w:r>
    </w:p>
    <w:p>
      <w:pPr>
        <w:spacing w:after="0" w:line="196" w:lineRule="exact"/>
        <w:rPr>
          <w:sz w:val="20"/>
          <w:szCs w:val="20"/>
          <w:color w:val="auto"/>
        </w:rPr>
      </w:pPr>
    </w:p>
    <w:p>
      <w:pPr>
        <w:ind w:right="560"/>
        <w:spacing w:after="0" w:line="271" w:lineRule="auto"/>
        <w:rPr>
          <w:sz w:val="20"/>
          <w:szCs w:val="20"/>
          <w:color w:val="auto"/>
        </w:rPr>
      </w:pPr>
      <w:r>
        <w:rPr>
          <w:rFonts w:ascii="Arial" w:cs="Arial" w:eastAsia="Arial" w:hAnsi="Arial"/>
          <w:sz w:val="18"/>
          <w:szCs w:val="18"/>
          <w:color w:val="auto"/>
        </w:rPr>
        <w:t>SOUTH SAN FRANCISCO, Calif., November 4, 2026 --- Veracyte, Inc. (Nasdaq: VCYT), a leading cancer diagnostics company, today announced financial results for the third quarter ended September 30, 2026.</w:t>
      </w:r>
    </w:p>
    <w:p>
      <w:pPr>
        <w:spacing w:after="0" w:line="167" w:lineRule="exact"/>
        <w:rPr>
          <w:sz w:val="20"/>
          <w:szCs w:val="20"/>
          <w:color w:val="auto"/>
        </w:rPr>
      </w:pPr>
    </w:p>
    <w:p>
      <w:pPr>
        <w:ind w:right="160"/>
        <w:spacing w:after="0" w:line="244" w:lineRule="auto"/>
        <w:rPr>
          <w:sz w:val="20"/>
          <w:szCs w:val="20"/>
          <w:color w:val="auto"/>
        </w:rPr>
      </w:pPr>
      <w:r>
        <w:rPr>
          <w:rFonts w:ascii="Arial" w:cs="Arial" w:eastAsia="Arial" w:hAnsi="Arial"/>
          <w:sz w:val="18"/>
          <w:szCs w:val="18"/>
          <w:color w:val="auto"/>
        </w:rPr>
        <w:t>“We delivered solid third quarter results supported by strong profitability and cash generation,” said Marc Stapley, chief executive officer of Veracyte. “Afirma outperformed, while Decipher Prostate volume was below our expectations. We remain confident in the long-term outlook of our business and expect a number of evidence-based catalysts to support growth in our core franchises while also advancing our breast and bladder strategies. As we execute on these opportunities, our differentiated financial profile enables us to continue investing in the business to drive long-term growth.”</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Financial Highlights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For the three-month period ended September 30, 2026, as compared to the same period in 2025:</w:t>
      </w:r>
    </w:p>
    <w:p>
      <w:pPr>
        <w:spacing w:after="0" w:line="86" w:lineRule="exact"/>
        <w:rPr>
          <w:sz w:val="20"/>
          <w:szCs w:val="20"/>
          <w:color w:val="auto"/>
        </w:rPr>
      </w:pPr>
    </w:p>
    <w:p>
      <w:pPr>
        <w:ind w:left="660" w:right="140" w:hanging="328"/>
        <w:spacing w:after="0" w:line="271"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Increased total revenue by 15% to $151.8 million and testing revenue by 15% to $146.4 million, driven by Decipher Prostate growth of 12% to $92.3 million and Afirma growth of 19% to $51.5 million.</w:t>
      </w:r>
    </w:p>
    <w:p>
      <w:pPr>
        <w:spacing w:after="0" w:line="45" w:lineRule="exact"/>
        <w:rPr>
          <w:rFonts w:ascii="Arial" w:cs="Arial" w:eastAsia="Arial" w:hAnsi="Arial"/>
          <w:sz w:val="18"/>
          <w:szCs w:val="18"/>
          <w:color w:val="auto"/>
        </w:rPr>
      </w:pPr>
    </w:p>
    <w:p>
      <w:pPr>
        <w:ind w:left="660" w:right="80" w:hanging="328"/>
        <w:spacing w:after="0" w:line="271"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Increased total volume by 15% to 52,744 tests and testing volume by 13% to 49,498 tests, driven by approximately 29,900 Decipher Prostate tests, as well as approximately 19,100 Afirma tests. Volume for each test grew 12% year-over-year.</w:t>
      </w:r>
    </w:p>
    <w:p>
      <w:pPr>
        <w:spacing w:after="0" w:line="45" w:lineRule="exact"/>
        <w:rPr>
          <w:rFonts w:ascii="Arial" w:cs="Arial" w:eastAsia="Arial" w:hAnsi="Arial"/>
          <w:sz w:val="18"/>
          <w:szCs w:val="18"/>
          <w:color w:val="auto"/>
        </w:rPr>
      </w:pPr>
    </w:p>
    <w:p>
      <w:pPr>
        <w:ind w:left="660" w:right="280" w:hanging="328"/>
        <w:spacing w:after="0" w:line="256"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Increased product revenue by 40% to $4.6 million, driven by strong adoption of Prosigna IVD following the release of the phase III OPTIMA trial results at ASCO.</w:t>
      </w:r>
    </w:p>
    <w:p>
      <w:pPr>
        <w:spacing w:after="0" w:line="57" w:lineRule="exact"/>
        <w:rPr>
          <w:rFonts w:ascii="Arial" w:cs="Arial" w:eastAsia="Arial" w:hAnsi="Arial"/>
          <w:sz w:val="18"/>
          <w:szCs w:val="18"/>
          <w:color w:val="auto"/>
        </w:rPr>
      </w:pPr>
    </w:p>
    <w:p>
      <w:pPr>
        <w:ind w:left="660" w:right="460" w:hanging="328"/>
        <w:spacing w:after="0" w:line="271"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Recorded GAAP net income of $31.5 million, or 20.8% of revenue, and delivered adjusted EBITDA of $41.2 million, or 27.2% of revenue.</w:t>
      </w:r>
    </w:p>
    <w:p>
      <w:pPr>
        <w:spacing w:after="0" w:line="45" w:lineRule="exact"/>
        <w:rPr>
          <w:rFonts w:ascii="Arial" w:cs="Arial" w:eastAsia="Arial" w:hAnsi="Arial"/>
          <w:sz w:val="18"/>
          <w:szCs w:val="18"/>
          <w:color w:val="auto"/>
        </w:rPr>
      </w:pPr>
    </w:p>
    <w:p>
      <w:pPr>
        <w:ind w:left="660" w:right="400" w:hanging="328"/>
        <w:spacing w:after="0" w:line="271"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Generated $40.3 million of cash from operations to end the quarter with $370.5 million of cash, cash equivalents, and short-term investments as of September 30, 2026.</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Business Highlights</w:t>
      </w:r>
    </w:p>
    <w:p>
      <w:pPr>
        <w:spacing w:after="0" w:line="104" w:lineRule="exact"/>
        <w:rPr>
          <w:sz w:val="20"/>
          <w:szCs w:val="20"/>
          <w:color w:val="auto"/>
        </w:rPr>
      </w:pPr>
    </w:p>
    <w:p>
      <w:pPr>
        <w:ind w:left="660" w:hanging="328"/>
        <w:spacing w:after="0" w:line="27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Acquired Convergent Genomics, Inc., expanding our urology portfolio with a urinary tumor DNA testing platform to help guide bladder cancer care across the patient journey.</w:t>
      </w:r>
    </w:p>
    <w:p>
      <w:pPr>
        <w:spacing w:after="0" w:line="45" w:lineRule="exact"/>
        <w:rPr>
          <w:rFonts w:ascii="Arial" w:cs="Arial" w:eastAsia="Arial" w:hAnsi="Arial"/>
          <w:sz w:val="18"/>
          <w:szCs w:val="18"/>
          <w:color w:val="auto"/>
        </w:rPr>
      </w:pPr>
    </w:p>
    <w:p>
      <w:pPr>
        <w:ind w:left="660" w:right="160" w:hanging="328"/>
        <w:spacing w:after="0" w:line="27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Secured Medicare reimbursement for our Prosigna Breast Risk of Recurrence (ROR) test in the U.S. for eligible patients diagnosed with early-stage hormone-receptor positive (HR+) breast cancer.</w:t>
      </w:r>
    </w:p>
    <w:p>
      <w:pPr>
        <w:spacing w:after="0" w:line="45" w:lineRule="exact"/>
        <w:rPr>
          <w:rFonts w:ascii="Arial" w:cs="Arial" w:eastAsia="Arial" w:hAnsi="Arial"/>
          <w:sz w:val="18"/>
          <w:szCs w:val="18"/>
          <w:color w:val="auto"/>
        </w:rPr>
      </w:pPr>
    </w:p>
    <w:p>
      <w:pPr>
        <w:ind w:left="660" w:right="140" w:hanging="328"/>
        <w:spacing w:after="0" w:line="27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Further expanded the clinical evidence of the Decipher Prostate test, with new predictive evidence supporting its use with treatment intensification decisions across intermediate-risk and very high-risk prostate cancer.</w:t>
      </w:r>
    </w:p>
    <w:p>
      <w:pPr>
        <w:spacing w:after="0" w:line="3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Surpassed a key milestone, with more than 1 million patients served to date with Veracyte's tests.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Announced that the Board of Directors has authorized a share repurchase program for up to $100 million of common stock.</w:t>
      </w:r>
    </w:p>
    <w:p>
      <w:pPr>
        <w:spacing w:after="0" w:line="104"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A reconciliation of GAAP to non-GAAP financial measures has been provided in the tables included in this press release. An explanation of these measures is also included below under the heading "Note Regarding Use of Non-GAAP Financial Measures."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2026 Financial Results</w:t>
      </w:r>
    </w:p>
    <w:p>
      <w:pPr>
        <w:spacing w:after="0" w:line="347"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Total revenue for the third quarter of 2026 was $151.8 million, an increase of 15% compared to $131.9 million reported in the third quarter of 2025. Testing revenue was $146.4 million, an increase of 15% compared to $127.8</w:t>
      </w:r>
    </w:p>
    <w:p>
      <w:pPr>
        <w:sectPr>
          <w:pgSz w:w="11900" w:h="16838" w:orient="portrait"/>
          <w:cols w:equalWidth="0" w:num="1">
            <w:col w:w="11240"/>
          </w:cols>
          <w:pgMar w:left="320" w:top="890" w:right="339" w:bottom="1440" w:gutter="0" w:footer="0" w:header="0"/>
        </w:sectPr>
      </w:pPr>
    </w:p>
    <w:bookmarkStart w:id="4" w:name="page5"/>
    <w:bookmarkEnd w:id="4"/>
    <w:p>
      <w:pPr>
        <w:jc w:val="both"/>
        <w:spacing w:after="0" w:line="253" w:lineRule="auto"/>
        <w:rPr>
          <w:sz w:val="20"/>
          <w:szCs w:val="20"/>
          <w:color w:val="auto"/>
        </w:rPr>
      </w:pPr>
      <w:r>
        <w:rPr>
          <w:rFonts w:ascii="Arial" w:cs="Arial" w:eastAsia="Arial" w:hAnsi="Arial"/>
          <w:sz w:val="18"/>
          <w:szCs w:val="18"/>
          <w:color w:val="auto"/>
        </w:rPr>
        <w:t>million in the third quarter of 2025, driven by growth in our Decipher Prostate and Afirma tests. Product revenue was $4.6 million, an increase of 40% compared to $3.3 million in the third quarter of 2025, driven by strong adoption of Prosigna IVD following the release of the phase III OPTIMA trial results at ASCO. Biopharmaceutical and other revenue was $0.7 million, compared to $0.8 million in the third quarter of 2025.</w:t>
      </w:r>
    </w:p>
    <w:p>
      <w:pPr>
        <w:spacing w:after="0" w:line="250"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Total gross margin for the third quarter of 2026 was 71%, compared to 69% in the third quarter of 2025. Non-GAAP gross margin was 74%, compared to 73% in the third quarter of 2025.</w:t>
      </w:r>
    </w:p>
    <w:p>
      <w:pPr>
        <w:spacing w:after="0" w:line="235" w:lineRule="exact"/>
        <w:rPr>
          <w:sz w:val="20"/>
          <w:szCs w:val="20"/>
          <w:color w:val="auto"/>
        </w:rPr>
      </w:pPr>
    </w:p>
    <w:p>
      <w:pPr>
        <w:ind w:right="600"/>
        <w:spacing w:after="0" w:line="271" w:lineRule="auto"/>
        <w:rPr>
          <w:sz w:val="20"/>
          <w:szCs w:val="20"/>
          <w:color w:val="auto"/>
        </w:rPr>
      </w:pPr>
      <w:r>
        <w:rPr>
          <w:rFonts w:ascii="Arial" w:cs="Arial" w:eastAsia="Arial" w:hAnsi="Arial"/>
          <w:sz w:val="18"/>
          <w:szCs w:val="18"/>
          <w:color w:val="auto"/>
        </w:rPr>
        <w:t>Operating expenses were $90.5 million for the third quarter of 2026 compared to $68.3 million in the third quarter of 2025. Non-GAAP operating expenses grew 24% to $72.9 million compared to $58.6 million in the third quarter of 2025.</w:t>
      </w:r>
    </w:p>
    <w:p>
      <w:pPr>
        <w:spacing w:after="0" w:line="221" w:lineRule="exact"/>
        <w:rPr>
          <w:sz w:val="20"/>
          <w:szCs w:val="20"/>
          <w:color w:val="auto"/>
        </w:rPr>
      </w:pPr>
    </w:p>
    <w:p>
      <w:pPr>
        <w:jc w:val="both"/>
        <w:ind w:right="80"/>
        <w:spacing w:after="0" w:line="247" w:lineRule="auto"/>
        <w:rPr>
          <w:sz w:val="20"/>
          <w:szCs w:val="20"/>
          <w:color w:val="auto"/>
        </w:rPr>
      </w:pPr>
      <w:r>
        <w:rPr>
          <w:rFonts w:ascii="Arial" w:cs="Arial" w:eastAsia="Arial" w:hAnsi="Arial"/>
          <w:sz w:val="18"/>
          <w:szCs w:val="18"/>
          <w:color w:val="auto"/>
        </w:rPr>
        <w:t>GAAP Net income for the third quarter of 2026 was $31.5 million, an increase of $12.4 million compared to the third quarter of 2025. Diluted net earnings per common share was $0.38, an improvement of $0.14 compared to the third quarter of 2025. Non-GAAP diluted net earnings per common share was $ 0.51, flat compared to the third quarter of 2025. Net cash provided by operating activities in the first nine months of 2026 was $121.3 million, an improvement of $37.6 million compared to the same period in 2025.</w:t>
      </w:r>
    </w:p>
    <w:p>
      <w:pPr>
        <w:spacing w:after="0" w:line="201"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auto"/>
        </w:rPr>
        <w:t>Adjusted EBITDA for the third quarter of 2026 was $41.2 million, an improvement of 4% compared to the third quarter of 2025, representing 27.2% of revenue.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2026 Financial Outlook</w:t>
      </w:r>
    </w:p>
    <w:p>
      <w:pPr>
        <w:spacing w:after="0" w:line="225"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auto"/>
        </w:rPr>
        <w:t>Veracyte now expects 2026 total revenue guidance of $590 million to $593 million, representing 14% to 15% growth, compared to prior guidance of $590 million to $596 million. This reflects testing revenue of $571 million to $573 million, representing 16% growth, compared to prior guidance of $576 million to $582 million, with minimal revenue contribution from recently launched tests. Further, the company continues to expect adjusted EBITDA margin of greater than 26% for 2026.</w:t>
      </w:r>
    </w:p>
    <w:p>
      <w:pPr>
        <w:spacing w:after="0" w:line="201" w:lineRule="exact"/>
        <w:rPr>
          <w:sz w:val="20"/>
          <w:szCs w:val="20"/>
          <w:color w:val="auto"/>
        </w:rPr>
      </w:pPr>
    </w:p>
    <w:p>
      <w:pPr>
        <w:ind w:right="60"/>
        <w:spacing w:after="0"/>
        <w:rPr>
          <w:sz w:val="20"/>
          <w:szCs w:val="20"/>
          <w:color w:val="auto"/>
        </w:rPr>
      </w:pPr>
      <w:r>
        <w:rPr>
          <w:rFonts w:ascii="Arial" w:cs="Arial" w:eastAsia="Arial" w:hAnsi="Arial"/>
          <w:sz w:val="18"/>
          <w:szCs w:val="18"/>
          <w:color w:val="auto"/>
        </w:rPr>
        <w:t>The company is unable to provide a quantitative reconciliation of expected adjusted EBITDA margin to expected GAAP net income margin, the most directly comparable forward-looking GAAP measure without unreasonable effort, because of the inherent difficulty in accurately forecasting the occurrence and financial impact of the various adjusting items necessary for such reconciliations that have not yet occurred, that are dependent on various factors, are out of the company’s control, or that cannot be reasonably predicted. Such adjustments include, but are not limited to, acquisition-related expenses, and other adjustments. Any associated estimate of these items and their impact on GAAP performance for the guidance period could vary materially. For more information on the non-GAAP financial measures, please refer to the section titled “Note Regarding Use of Non-GAAP Financial Measures” at the end of this press release.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Program</w:t>
      </w:r>
    </w:p>
    <w:p>
      <w:pPr>
        <w:spacing w:after="0" w:line="239" w:lineRule="exact"/>
        <w:rPr>
          <w:sz w:val="20"/>
          <w:szCs w:val="20"/>
          <w:color w:val="auto"/>
        </w:rPr>
      </w:pPr>
    </w:p>
    <w:p>
      <w:pPr>
        <w:ind w:right="40"/>
        <w:spacing w:after="0" w:line="255" w:lineRule="auto"/>
        <w:rPr>
          <w:sz w:val="20"/>
          <w:szCs w:val="20"/>
          <w:color w:val="auto"/>
        </w:rPr>
      </w:pPr>
      <w:r>
        <w:rPr>
          <w:rFonts w:ascii="Arial" w:cs="Arial" w:eastAsia="Arial" w:hAnsi="Arial"/>
          <w:sz w:val="17"/>
          <w:szCs w:val="17"/>
          <w:color w:val="auto"/>
        </w:rPr>
        <w:t>Veracyte announced today that its Board of Directors has authorized a share repurchase program for up to $100 million of its common stock. Under the repurchase program, the company may repurchase shares through open market purchases, privately negotiated transactions or by other methods from time to time. Any open market repurchases will be structured to comply with applicable federal securities laws,</w:t>
      </w:r>
    </w:p>
    <w:p>
      <w:pPr>
        <w:spacing w:after="0" w:line="2" w:lineRule="exact"/>
        <w:rPr>
          <w:sz w:val="20"/>
          <w:szCs w:val="20"/>
          <w:color w:val="auto"/>
        </w:rPr>
      </w:pPr>
    </w:p>
    <w:p>
      <w:pPr>
        <w:ind w:right="60"/>
        <w:spacing w:after="0" w:line="226" w:lineRule="auto"/>
        <w:rPr>
          <w:sz w:val="20"/>
          <w:szCs w:val="20"/>
          <w:color w:val="auto"/>
        </w:rPr>
      </w:pPr>
      <w:r>
        <w:rPr>
          <w:rFonts w:ascii="Arial" w:cs="Arial" w:eastAsia="Arial" w:hAnsi="Arial"/>
          <w:sz w:val="18"/>
          <w:szCs w:val="18"/>
          <w:color w:val="auto"/>
        </w:rPr>
        <w:t>including the pricing and volume requirements of Rule 10b-18 under the Securities Exchange Act of 1934, as amended. The timing, manner, price, and amount of any repurchases will be determined at the company's discretion based on a variety of factors, including market</w:t>
      </w:r>
    </w:p>
    <w:p>
      <w:pPr>
        <w:spacing w:after="0" w:line="2"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conditions, the trading price of the company's common stock, the company's financial condition and results of operations, capital requirements, general business conditions, alternative investment opportunities, and other factors the company deems relevant. The repurchase program does not obligate the company to acquire any specific number of shares, may be modified, suspended, or discontinued at any time without prior notice at the discretion of the Board of Directors, and will expire after 12 months. The company currently expects to fund the repurchase program from available cash and cash equivalents.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and Webcast Details</w:t>
      </w:r>
    </w:p>
    <w:p>
      <w:pPr>
        <w:spacing w:after="0" w:line="239" w:lineRule="exact"/>
        <w:rPr>
          <w:sz w:val="20"/>
          <w:szCs w:val="20"/>
          <w:color w:val="auto"/>
        </w:rPr>
      </w:pPr>
    </w:p>
    <w:p>
      <w:pPr>
        <w:ind w:right="260"/>
        <w:spacing w:after="0" w:line="244" w:lineRule="auto"/>
        <w:rPr>
          <w:sz w:val="20"/>
          <w:szCs w:val="20"/>
          <w:color w:val="auto"/>
        </w:rPr>
      </w:pPr>
      <w:r>
        <w:rPr>
          <w:rFonts w:ascii="Arial" w:cs="Arial" w:eastAsia="Arial" w:hAnsi="Arial"/>
          <w:sz w:val="18"/>
          <w:szCs w:val="18"/>
          <w:color w:val="auto"/>
        </w:rPr>
        <w:t>Veracyte will host a conference call and webcast today at 4:30 p.m. Eastern Time to discuss the company's financial results and provide a general business update. The conference call will be webcast live from the company’s website and will be available via the following link: https://edge.media-server.com/mmc/p/kgcmbvpd. The webcast should be accessed 10 minutes prior to the conference call start time. A replay of the webcast will be available for one year following the conclusion of the live broadcast and will be accessible on the company’s website at https://investor.veracyte.com/events-presentations.</w:t>
      </w:r>
    </w:p>
    <w:p>
      <w:pPr>
        <w:sectPr>
          <w:pgSz w:w="11900" w:h="16838" w:orient="portrait"/>
          <w:cols w:equalWidth="0" w:num="1">
            <w:col w:w="11220"/>
          </w:cols>
          <w:pgMar w:left="320" w:top="877" w:right="3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About Veracyte</w:t>
      </w:r>
    </w:p>
    <w:p>
      <w:pPr>
        <w:spacing w:after="0" w:line="239" w:lineRule="exact"/>
        <w:rPr>
          <w:sz w:val="20"/>
          <w:szCs w:val="20"/>
          <w:color w:val="auto"/>
        </w:rPr>
      </w:pPr>
    </w:p>
    <w:p>
      <w:pPr>
        <w:spacing w:after="0" w:line="235" w:lineRule="auto"/>
        <w:rPr>
          <w:sz w:val="20"/>
          <w:szCs w:val="20"/>
          <w:color w:val="auto"/>
        </w:rPr>
      </w:pPr>
      <w:r>
        <w:rPr>
          <w:rFonts w:ascii="Arial" w:cs="Arial" w:eastAsia="Arial" w:hAnsi="Arial"/>
          <w:sz w:val="18"/>
          <w:szCs w:val="18"/>
          <w:color w:val="222222"/>
        </w:rPr>
        <w:t xml:space="preserve">Veracyte (Nasdaq: VCYT) is a global diagnostics company with a vision to transform cancer care for patients around the world. The company’s molecular tests assess the unique biology of each patient’s tumor to help clinicians answer essential questions about cancer care. </w:t>
      </w:r>
      <w:r>
        <w:rPr>
          <w:rFonts w:ascii="Arial" w:cs="Arial" w:eastAsia="Arial" w:hAnsi="Arial"/>
          <w:sz w:val="18"/>
          <w:szCs w:val="18"/>
          <w:color w:val="000000"/>
        </w:rPr>
        <w:t xml:space="preserve">Veracyte’s Diagnostics Platform </w:t>
      </w:r>
      <w:r>
        <w:rPr>
          <w:rFonts w:ascii="Arial" w:cs="Arial" w:eastAsia="Arial" w:hAnsi="Arial"/>
          <w:sz w:val="18"/>
          <w:szCs w:val="18"/>
          <w:color w:val="222222"/>
        </w:rPr>
        <w:t xml:space="preserve">combines broad genomic and clinical data, advanced bioinformatics and AI, and a powerful evidence-generation engine to support continued </w:t>
      </w:r>
      <w:r>
        <w:rPr>
          <w:rFonts w:ascii="Arial" w:cs="Arial" w:eastAsia="Arial" w:hAnsi="Arial"/>
          <w:sz w:val="18"/>
          <w:szCs w:val="18"/>
          <w:color w:val="000000"/>
        </w:rPr>
        <w:t>innovation and pipeline development</w:t>
      </w:r>
      <w:r>
        <w:rPr>
          <w:rFonts w:ascii="Arial" w:cs="Arial" w:eastAsia="Arial" w:hAnsi="Arial"/>
          <w:sz w:val="18"/>
          <w:szCs w:val="18"/>
          <w:color w:val="222222"/>
        </w:rPr>
        <w:t xml:space="preserve">. The company’s portfolio includes the </w:t>
      </w:r>
      <w:r>
        <w:rPr>
          <w:rFonts w:ascii="Arial" w:cs="Arial" w:eastAsia="Arial" w:hAnsi="Arial"/>
          <w:sz w:val="18"/>
          <w:szCs w:val="18"/>
          <w:color w:val="000000"/>
        </w:rPr>
        <w:t>Afirma® Genomic</w:t>
      </w:r>
      <w:r>
        <w:rPr>
          <w:rFonts w:ascii="Arial" w:cs="Arial" w:eastAsia="Arial" w:hAnsi="Arial"/>
          <w:sz w:val="18"/>
          <w:szCs w:val="18"/>
          <w:color w:val="222222"/>
        </w:rPr>
        <w:t xml:space="preserve"> </w:t>
      </w:r>
      <w:r>
        <w:rPr>
          <w:rFonts w:ascii="Arial" w:cs="Arial" w:eastAsia="Arial" w:hAnsi="Arial"/>
          <w:sz w:val="18"/>
          <w:szCs w:val="18"/>
          <w:color w:val="000000"/>
        </w:rPr>
        <w:t>Sequencing Classifier test</w:t>
      </w:r>
      <w:r>
        <w:rPr>
          <w:rFonts w:ascii="Arial" w:cs="Arial" w:eastAsia="Arial" w:hAnsi="Arial"/>
          <w:sz w:val="18"/>
          <w:szCs w:val="18"/>
          <w:color w:val="222222"/>
        </w:rPr>
        <w:t>,</w:t>
      </w:r>
      <w:r>
        <w:rPr>
          <w:rFonts w:ascii="Arial" w:cs="Arial" w:eastAsia="Arial" w:hAnsi="Arial"/>
          <w:sz w:val="18"/>
          <w:szCs w:val="18"/>
          <w:color w:val="000000"/>
        </w:rPr>
        <w:t xml:space="preserve"> Decipher® Bladder Genomic Classifier test</w:t>
      </w:r>
      <w:r>
        <w:rPr>
          <w:rFonts w:ascii="Arial" w:cs="Arial" w:eastAsia="Arial" w:hAnsi="Arial"/>
          <w:sz w:val="18"/>
          <w:szCs w:val="18"/>
          <w:color w:val="222222"/>
        </w:rPr>
        <w:t>,</w:t>
      </w:r>
      <w:r>
        <w:rPr>
          <w:rFonts w:ascii="Arial" w:cs="Arial" w:eastAsia="Arial" w:hAnsi="Arial"/>
          <w:sz w:val="18"/>
          <w:szCs w:val="18"/>
          <w:color w:val="000000"/>
        </w:rPr>
        <w:t xml:space="preserve"> Decipher® Prostate Genomic Classifier test</w:t>
      </w:r>
      <w:r>
        <w:rPr>
          <w:rFonts w:ascii="Arial" w:cs="Arial" w:eastAsia="Arial" w:hAnsi="Arial"/>
          <w:sz w:val="18"/>
          <w:szCs w:val="18"/>
          <w:color w:val="222222"/>
        </w:rPr>
        <w:t>,</w:t>
      </w:r>
      <w:r>
        <w:rPr>
          <w:rFonts w:ascii="Arial" w:cs="Arial" w:eastAsia="Arial" w:hAnsi="Arial"/>
          <w:sz w:val="18"/>
          <w:szCs w:val="18"/>
          <w:color w:val="000000"/>
        </w:rPr>
        <w:t xml:space="preserve"> Prosigna® Breast Risk of Recurrence test</w:t>
      </w:r>
      <w:r>
        <w:rPr>
          <w:rFonts w:ascii="Arial" w:cs="Arial" w:eastAsia="Arial" w:hAnsi="Arial"/>
          <w:sz w:val="18"/>
          <w:szCs w:val="18"/>
          <w:color w:val="222222"/>
        </w:rPr>
        <w:t>, and the</w:t>
      </w:r>
      <w:r>
        <w:rPr>
          <w:rFonts w:ascii="Arial" w:cs="Arial" w:eastAsia="Arial" w:hAnsi="Arial"/>
          <w:sz w:val="18"/>
          <w:szCs w:val="18"/>
          <w:color w:val="000000"/>
        </w:rPr>
        <w:t xml:space="preserve"> TrueMRD™ Monitoring Test for MIBC</w:t>
      </w:r>
      <w:r>
        <w:rPr>
          <w:rFonts w:ascii="Arial" w:cs="Arial" w:eastAsia="Arial" w:hAnsi="Arial"/>
          <w:sz w:val="18"/>
          <w:szCs w:val="18"/>
          <w:color w:val="222222"/>
        </w:rPr>
        <w:t>. For more information, visit Veracyte’s</w:t>
      </w:r>
      <w:r>
        <w:rPr>
          <w:rFonts w:ascii="Arial" w:cs="Arial" w:eastAsia="Arial" w:hAnsi="Arial"/>
          <w:sz w:val="18"/>
          <w:szCs w:val="18"/>
          <w:color w:val="000000"/>
        </w:rPr>
        <w:t xml:space="preserve"> website </w:t>
      </w:r>
      <w:r>
        <w:rPr>
          <w:rFonts w:ascii="Arial" w:cs="Arial" w:eastAsia="Arial" w:hAnsi="Arial"/>
          <w:sz w:val="18"/>
          <w:szCs w:val="18"/>
          <w:color w:val="222222"/>
        </w:rPr>
        <w:t>or follow the company on</w:t>
      </w:r>
      <w:r>
        <w:rPr>
          <w:rFonts w:ascii="Arial" w:cs="Arial" w:eastAsia="Arial" w:hAnsi="Arial"/>
          <w:sz w:val="18"/>
          <w:szCs w:val="18"/>
          <w:color w:val="000000"/>
        </w:rPr>
        <w:t xml:space="preserve"> LinkedIn </w:t>
      </w:r>
      <w:r>
        <w:rPr>
          <w:rFonts w:ascii="Arial" w:cs="Arial" w:eastAsia="Arial" w:hAnsi="Arial"/>
          <w:sz w:val="18"/>
          <w:szCs w:val="18"/>
          <w:color w:val="222222"/>
        </w:rPr>
        <w:t>or</w:t>
      </w:r>
      <w:r>
        <w:rPr>
          <w:rFonts w:ascii="Arial" w:cs="Arial" w:eastAsia="Arial" w:hAnsi="Arial"/>
          <w:sz w:val="18"/>
          <w:szCs w:val="18"/>
          <w:color w:val="000000"/>
        </w:rPr>
        <w:t xml:space="preserve"> X (Twitter)</w:t>
      </w:r>
      <w:r>
        <w:rPr>
          <w:rFonts w:ascii="Arial" w:cs="Arial" w:eastAsia="Arial" w:hAnsi="Arial"/>
          <w:sz w:val="18"/>
          <w:szCs w:val="18"/>
          <w:color w:val="222222"/>
        </w:rPr>
        <w:t>.</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39" w:lineRule="exact"/>
        <w:rPr>
          <w:sz w:val="20"/>
          <w:szCs w:val="20"/>
          <w:color w:val="auto"/>
        </w:rPr>
      </w:pPr>
    </w:p>
    <w:p>
      <w:pPr>
        <w:jc w:val="both"/>
        <w:ind w:right="420"/>
        <w:spacing w:after="0" w:line="241" w:lineRule="auto"/>
        <w:rPr>
          <w:sz w:val="20"/>
          <w:szCs w:val="20"/>
          <w:color w:val="auto"/>
        </w:rPr>
      </w:pPr>
      <w:r>
        <w:rPr>
          <w:rFonts w:ascii="Arial" w:cs="Arial" w:eastAsia="Arial" w:hAnsi="Arial"/>
          <w:sz w:val="18"/>
          <w:szCs w:val="18"/>
          <w:color w:val="auto"/>
        </w:rPr>
        <w:t>This press release contains forward-looking statements, including, but not limited to our statements related to our plans, objectives, and expectations (financial and otherwise), including with respect to our 2026 financial and operating results; our share repurchase program, including the timing, amount and source of funds for any</w:t>
      </w:r>
    </w:p>
    <w:p>
      <w:pPr>
        <w:spacing w:after="0" w:line="2"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repurchases of shares; and our intentions with respect to the development, launch, commercialization, adoption, and reimbursement of our tests and products. Forward-looking statements can be identified by words such as: “appears,” “anticipate,” “intend,” “plan,” “expect,” “believe,” “should,” “may,” “could,” “would,” “will,” “enable,” “positioned,” “offers,” “designed,” “ultimately,” “strategic,” “outlook,” “guidance,” and similar references to future periods. Actual results may differ materially from those projected or suggested in any forward-looking statements. These statements involve risks and uncertainties, which could cause actual results to differ materially from our predictions, and include, but are not limited to: our ability to launch, commercialize and receive reimbursement for our products; our ability to execute on our business strategies relating to our acquisitions, including C2i Genomics and Convergent Genomics, Inc., integration of the business and the realization of expected benefits and synergies; our ability to demonstrate the validity and utility of our genomic tests and biopharma and other offerings;</w:t>
      </w:r>
    </w:p>
    <w:p>
      <w:pPr>
        <w:spacing w:after="0" w:line="4" w:lineRule="exact"/>
        <w:rPr>
          <w:sz w:val="20"/>
          <w:szCs w:val="20"/>
          <w:color w:val="auto"/>
        </w:rPr>
      </w:pPr>
    </w:p>
    <w:p>
      <w:pPr>
        <w:ind w:right="160"/>
        <w:spacing w:after="0" w:line="226" w:lineRule="auto"/>
        <w:rPr>
          <w:sz w:val="20"/>
          <w:szCs w:val="20"/>
          <w:color w:val="auto"/>
        </w:rPr>
      </w:pPr>
      <w:r>
        <w:rPr>
          <w:rFonts w:ascii="Arial" w:cs="Arial" w:eastAsia="Arial" w:hAnsi="Arial"/>
          <w:sz w:val="18"/>
          <w:szCs w:val="18"/>
          <w:color w:val="auto"/>
        </w:rPr>
        <w:t>our ability to continue executing on our business plan; our ability to continue to scale our global operations and enhance our internal control environment; the impact of the war in Ukraine and other regional conflicts on European economies; the impact of foreign currency</w:t>
      </w:r>
    </w:p>
    <w:p>
      <w:pPr>
        <w:spacing w:after="0" w:line="2"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fluctuations, volatile interest rates, inflation, the impact of legislation and policies enacted by the current U.S. administration; turmoil in the global banking and finance system; the ongoing conflict in the Middle East; and the performance and utility of our tests in the clinical environment. Additional factors that may impact these forward-looking statements can be found under the caption “Risk Factors” in our Annual Report on Form 10-K filed on February 26, 2026, as well as in other documents that we may file from time to time with the Securities and Exchange Commission. Copies of these documents, when available, may be found in the Investors section of our website at investor.veracyte.com. These forward-looking statements speak only as of the date hereof and, except as required by law, we specifically disclaim any obligation to update these forward-looking statements, whether as a result of new information, future events or otherwise.</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Regarding Use of Non-GAAP Financial Measures</w:t>
      </w:r>
    </w:p>
    <w:p>
      <w:pPr>
        <w:spacing w:after="0" w:line="225" w:lineRule="exact"/>
        <w:rPr>
          <w:sz w:val="20"/>
          <w:szCs w:val="20"/>
          <w:color w:val="auto"/>
        </w:rPr>
      </w:pPr>
    </w:p>
    <w:p>
      <w:pPr>
        <w:ind w:right="220"/>
        <w:spacing w:after="0" w:line="242" w:lineRule="auto"/>
        <w:rPr>
          <w:sz w:val="20"/>
          <w:szCs w:val="20"/>
          <w:color w:val="auto"/>
        </w:rPr>
      </w:pPr>
      <w:r>
        <w:rPr>
          <w:rFonts w:ascii="Arial" w:cs="Arial" w:eastAsia="Arial" w:hAnsi="Arial"/>
          <w:sz w:val="18"/>
          <w:szCs w:val="18"/>
          <w:color w:val="auto"/>
        </w:rPr>
        <w:t>In addition to the financial measures prepared in accordance with generally accepted accounting principles (GAAP), this press release and the accompanying tables contain, and reference certain non-GAAP results including non-GAAP gross margin, non-GAAP operating expenses, adjusted EBITDA, adjusted EBITDA as a percentage of revenue (also referred to as adjusted EBITDA margin), non-GAAP net income, and non-GAAP earnings per share (EPS) and non-GAAP weighted average shares outstanding. These non-GAAP financial measures are not meant to be considered superior to or a substitute for financial measures calculated in accordance with GAAP, and investors are cautioned that there are material limitations associated with the use of non-GAAP financial measures as an analytical tool.</w:t>
      </w:r>
    </w:p>
    <w:p>
      <w:pPr>
        <w:spacing w:after="0" w:line="206" w:lineRule="exact"/>
        <w:rPr>
          <w:sz w:val="20"/>
          <w:szCs w:val="20"/>
          <w:color w:val="auto"/>
        </w:rPr>
      </w:pPr>
    </w:p>
    <w:p>
      <w:pPr>
        <w:ind w:right="220"/>
        <w:spacing w:after="0" w:line="259" w:lineRule="auto"/>
        <w:rPr>
          <w:sz w:val="20"/>
          <w:szCs w:val="20"/>
          <w:color w:val="auto"/>
        </w:rPr>
      </w:pPr>
      <w:r>
        <w:rPr>
          <w:rFonts w:ascii="Arial" w:cs="Arial" w:eastAsia="Arial" w:hAnsi="Arial"/>
          <w:sz w:val="17"/>
          <w:szCs w:val="17"/>
          <w:color w:val="auto"/>
        </w:rPr>
        <w:t>We use non-GAAP financial measures to internally evaluate and analyze financial results. We believe these non-GAAP financial measures provide investors with useful supplemental information about the financial performance of our business, enable comparison of financial</w:t>
      </w:r>
    </w:p>
    <w:p>
      <w:pPr>
        <w:spacing w:after="0" w:line="1" w:lineRule="exact"/>
        <w:rPr>
          <w:sz w:val="20"/>
          <w:szCs w:val="20"/>
          <w:color w:val="auto"/>
        </w:rPr>
      </w:pPr>
    </w:p>
    <w:p>
      <w:pPr>
        <w:ind w:right="120"/>
        <w:spacing w:after="0"/>
        <w:rPr>
          <w:sz w:val="20"/>
          <w:szCs w:val="20"/>
          <w:color w:val="auto"/>
        </w:rPr>
      </w:pPr>
      <w:r>
        <w:rPr>
          <w:rFonts w:ascii="Arial" w:cs="Arial" w:eastAsia="Arial" w:hAnsi="Arial"/>
          <w:sz w:val="17"/>
          <w:szCs w:val="17"/>
          <w:color w:val="auto"/>
        </w:rPr>
        <w:t>results between periods where certain items may vary independent of business performance, and enable comparison of our financial results with other public companies, many of which present similar non-GAAP financial measures. However, the non-GAAP financial measures we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present may be different from those used by other companies, including similarly titled measures.</w:t>
      </w:r>
    </w:p>
    <w:p>
      <w:pPr>
        <w:spacing w:after="0" w:line="221"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We compute these non-GAAP measures by adjusting the applicable GAAP measure to remove the impact of certain recurring and non-recurring charges and gains and to adjust for the impact of income tax items related to such adjustments to our GAAP financial statements. In particular, we exclude amortization of acquired intangible assets,</w:t>
      </w:r>
    </w:p>
    <w:p>
      <w:pPr>
        <w:sectPr>
          <w:pgSz w:w="11900" w:h="16838" w:orient="portrait"/>
          <w:cols w:equalWidth="0" w:num="1">
            <w:col w:w="11240"/>
          </w:cols>
          <w:pgMar w:left="320" w:top="1133" w:right="339" w:bottom="1440" w:gutter="0" w:footer="0" w:header="0"/>
        </w:sectPr>
      </w:pPr>
    </w:p>
    <w:bookmarkStart w:id="6" w:name="page7"/>
    <w:bookmarkEnd w:id="6"/>
    <w:p>
      <w:pPr>
        <w:ind w:right="20"/>
        <w:spacing w:after="0" w:line="238" w:lineRule="auto"/>
        <w:rPr>
          <w:sz w:val="20"/>
          <w:szCs w:val="20"/>
          <w:color w:val="auto"/>
        </w:rPr>
      </w:pPr>
      <w:r>
        <w:rPr>
          <w:rFonts w:ascii="Arial" w:cs="Arial" w:eastAsia="Arial" w:hAnsi="Arial"/>
          <w:sz w:val="18"/>
          <w:szCs w:val="18"/>
          <w:color w:val="auto"/>
        </w:rPr>
        <w:t>acquisition-related expenses relating to our acquisitions of Decipher Biosciences, HalioDx and C2i Genomics, impairment charges associated with the nCounter license and other biopharmaceutical services related to HalioDx intangible assets, all stock-based compensation and certain costs related to restructuring from all of our non-GAAP financial measures as well as depreciation and income tax items from our adjusted EBITDA and adjusted EBITDA as a percentage of revenue. Beginning in the second quarter of 2024, we changed our non-GAAP policy to exclude all stock-based compensation to align with our peers and we have also excluded all stock-based compensation from our prior period non-GAAP financial measures. Management has excluded the effects of these items in non-GAAP</w:t>
      </w:r>
    </w:p>
    <w:p>
      <w:pPr>
        <w:spacing w:after="0" w:line="1" w:lineRule="exact"/>
        <w:rPr>
          <w:sz w:val="20"/>
          <w:szCs w:val="20"/>
          <w:color w:val="auto"/>
        </w:rPr>
      </w:pPr>
    </w:p>
    <w:p>
      <w:pPr>
        <w:ind w:right="60"/>
        <w:spacing w:after="0" w:line="224" w:lineRule="auto"/>
        <w:rPr>
          <w:sz w:val="20"/>
          <w:szCs w:val="20"/>
          <w:color w:val="auto"/>
        </w:rPr>
      </w:pPr>
      <w:r>
        <w:rPr>
          <w:rFonts w:ascii="Arial" w:cs="Arial" w:eastAsia="Arial" w:hAnsi="Arial"/>
          <w:sz w:val="18"/>
          <w:szCs w:val="18"/>
          <w:color w:val="auto"/>
        </w:rPr>
        <w:t>financial measures to help investors gain a better understanding of the core operating results and future prospects of the company, consistent with how management measures and forecasts the company's performance, especially when comparing such results to previous</w:t>
      </w:r>
    </w:p>
    <w:p>
      <w:pPr>
        <w:spacing w:after="0" w:line="1" w:lineRule="exact"/>
        <w:rPr>
          <w:sz w:val="20"/>
          <w:szCs w:val="20"/>
          <w:color w:val="auto"/>
        </w:rPr>
      </w:pPr>
    </w:p>
    <w:p>
      <w:pPr>
        <w:spacing w:after="0" w:line="210" w:lineRule="exact"/>
        <w:rPr>
          <w:sz w:val="20"/>
          <w:szCs w:val="20"/>
          <w:color w:val="auto"/>
        </w:rPr>
      </w:pPr>
      <w:r>
        <w:rPr>
          <w:rFonts w:ascii="Arial" w:cs="Arial" w:eastAsia="Arial" w:hAnsi="Arial"/>
          <w:sz w:val="18"/>
          <w:szCs w:val="18"/>
          <w:color w:val="auto"/>
        </w:rPr>
        <w:t>periods or forecasts. The company encourages investors to carefully consider its results under GAAP, together with its supplemental non</w:t>
      </w:r>
      <w:r>
        <w:rPr>
          <w:rFonts w:ascii="MS PGothic" w:cs="MS PGothic" w:eastAsia="MS PGothic" w:hAnsi="MS PGothic"/>
          <w:sz w:val="18"/>
          <w:szCs w:val="18"/>
          <w:color w:val="auto"/>
        </w:rPr>
        <w:t>‐</w:t>
      </w:r>
      <w:r>
        <w:rPr>
          <w:rFonts w:ascii="Arial" w:cs="Arial" w:eastAsia="Arial" w:hAnsi="Arial"/>
          <w:sz w:val="18"/>
          <w:szCs w:val="18"/>
          <w:color w:val="auto"/>
        </w:rPr>
        <w:t xml:space="preserve"> GAAP information and the reconciliation between these presentations. See “Reconciliation of U.S. GAAP to Non-GAAP Financial Measures” for a reconciliation of each non-GAAP measure presented to the comparable GAAP financial measure.</w:t>
      </w:r>
    </w:p>
    <w:p>
      <w:pPr>
        <w:sectPr>
          <w:pgSz w:w="11900" w:h="16838" w:orient="portrait"/>
          <w:cols w:equalWidth="0" w:num="1">
            <w:col w:w="11160"/>
          </w:cols>
          <w:pgMar w:left="320" w:top="877" w:right="41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color w:val="auto"/>
        </w:rPr>
        <w:t>VERACYTE,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OPERATIONS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amounts)</w:t>
      </w:r>
    </w:p>
    <w:p>
      <w:pPr>
        <w:spacing w:after="0" w:line="244"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6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20" w:type="dxa"/>
            <w:vAlign w:val="bottom"/>
            <w:gridSpan w:val="5"/>
          </w:tcPr>
          <w:p>
            <w:pPr>
              <w:jc w:val="center"/>
              <w:ind w:right="260"/>
              <w:spacing w:after="0"/>
              <w:rPr>
                <w:sz w:val="20"/>
                <w:szCs w:val="20"/>
                <w:color w:val="auto"/>
              </w:rPr>
            </w:pPr>
            <w:r>
              <w:rPr>
                <w:rFonts w:ascii="Arial" w:cs="Arial" w:eastAsia="Arial" w:hAnsi="Arial"/>
                <w:sz w:val="18"/>
                <w:szCs w:val="18"/>
                <w:color w:val="auto"/>
                <w:w w:val="99"/>
              </w:rPr>
              <w:t>Three Months Ended</w:t>
            </w:r>
          </w:p>
        </w:tc>
        <w:tc>
          <w:tcPr>
            <w:tcW w:w="180" w:type="dxa"/>
            <w:vAlign w:val="bottom"/>
          </w:tcPr>
          <w:p>
            <w:pPr>
              <w:spacing w:after="0"/>
              <w:rPr>
                <w:sz w:val="17"/>
                <w:szCs w:val="17"/>
                <w:color w:val="auto"/>
              </w:rPr>
            </w:pPr>
          </w:p>
        </w:tc>
        <w:tc>
          <w:tcPr>
            <w:tcW w:w="2320" w:type="dxa"/>
            <w:vAlign w:val="bottom"/>
            <w:gridSpan w:val="4"/>
          </w:tcPr>
          <w:p>
            <w:pPr>
              <w:jc w:val="right"/>
              <w:ind w:right="37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250"/>
        </w:trPr>
        <w:tc>
          <w:tcPr>
            <w:tcW w:w="6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20" w:type="dxa"/>
            <w:vAlign w:val="bottom"/>
            <w:gridSpan w:val="5"/>
          </w:tcPr>
          <w:p>
            <w:pPr>
              <w:jc w:val="center"/>
              <w:ind w:right="280"/>
              <w:spacing w:after="0"/>
              <w:rPr>
                <w:sz w:val="20"/>
                <w:szCs w:val="20"/>
                <w:color w:val="auto"/>
              </w:rPr>
            </w:pPr>
            <w:r>
              <w:rPr>
                <w:rFonts w:ascii="Arial" w:cs="Arial" w:eastAsia="Arial" w:hAnsi="Arial"/>
                <w:sz w:val="18"/>
                <w:szCs w:val="18"/>
                <w:color w:val="auto"/>
                <w:w w:val="99"/>
              </w:rPr>
              <w:t>September 30,</w:t>
            </w:r>
          </w:p>
        </w:tc>
        <w:tc>
          <w:tcPr>
            <w:tcW w:w="180" w:type="dxa"/>
            <w:vAlign w:val="bottom"/>
          </w:tcPr>
          <w:p>
            <w:pPr>
              <w:spacing w:after="0"/>
              <w:rPr>
                <w:sz w:val="21"/>
                <w:szCs w:val="21"/>
                <w:color w:val="auto"/>
              </w:rPr>
            </w:pPr>
          </w:p>
        </w:tc>
        <w:tc>
          <w:tcPr>
            <w:tcW w:w="2320" w:type="dxa"/>
            <w:vAlign w:val="bottom"/>
            <w:gridSpan w:val="4"/>
          </w:tcPr>
          <w:p>
            <w:pPr>
              <w:jc w:val="right"/>
              <w:ind w:right="570"/>
              <w:spacing w:after="0"/>
              <w:rPr>
                <w:sz w:val="20"/>
                <w:szCs w:val="20"/>
                <w:color w:val="auto"/>
              </w:rPr>
            </w:pPr>
            <w:r>
              <w:rPr>
                <w:rFonts w:ascii="Arial" w:cs="Arial" w:eastAsia="Arial" w:hAnsi="Arial"/>
                <w:sz w:val="18"/>
                <w:szCs w:val="18"/>
                <w:color w:val="auto"/>
              </w:rPr>
              <w:t>September 30,</w:t>
            </w:r>
          </w:p>
        </w:tc>
        <w:tc>
          <w:tcPr>
            <w:tcW w:w="0" w:type="dxa"/>
            <w:vAlign w:val="bottom"/>
          </w:tcPr>
          <w:p>
            <w:pPr>
              <w:spacing w:after="0"/>
              <w:rPr>
                <w:sz w:val="1"/>
                <w:szCs w:val="1"/>
                <w:color w:val="auto"/>
              </w:rPr>
            </w:pPr>
          </w:p>
        </w:tc>
      </w:tr>
      <w:tr>
        <w:trPr>
          <w:trHeight w:val="237"/>
        </w:trPr>
        <w:tc>
          <w:tcPr>
            <w:tcW w:w="61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2026</w:t>
            </w:r>
          </w:p>
        </w:tc>
        <w:tc>
          <w:tcPr>
            <w:tcW w:w="80" w:type="dxa"/>
            <w:vAlign w:val="bottom"/>
            <w:tcBorders>
              <w:top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2025</w:t>
            </w: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2026</w:t>
            </w: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2025</w:t>
            </w:r>
          </w:p>
        </w:tc>
        <w:tc>
          <w:tcPr>
            <w:tcW w:w="0" w:type="dxa"/>
            <w:vAlign w:val="bottom"/>
          </w:tcPr>
          <w:p>
            <w:pPr>
              <w:spacing w:after="0"/>
              <w:rPr>
                <w:sz w:val="1"/>
                <w:szCs w:val="1"/>
                <w:color w:val="auto"/>
              </w:rPr>
            </w:pPr>
          </w:p>
        </w:tc>
      </w:tr>
      <w:tr>
        <w:trPr>
          <w:trHeight w:val="220"/>
        </w:trPr>
        <w:tc>
          <w:tcPr>
            <w:tcW w:w="6140" w:type="dxa"/>
            <w:vAlign w:val="bottom"/>
          </w:tcPr>
          <w:p>
            <w:pPr>
              <w:spacing w:after="0"/>
              <w:rPr>
                <w:sz w:val="20"/>
                <w:szCs w:val="20"/>
                <w:color w:val="auto"/>
              </w:rPr>
            </w:pPr>
            <w:r>
              <w:rPr>
                <w:rFonts w:ascii="Arial" w:cs="Arial" w:eastAsia="Arial" w:hAnsi="Arial"/>
                <w:sz w:val="18"/>
                <w:szCs w:val="18"/>
                <w:color w:val="auto"/>
              </w:rPr>
              <w:t>Revenue:</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146,419</w:t>
            </w:r>
          </w:p>
        </w:tc>
        <w:tc>
          <w:tcPr>
            <w:tcW w:w="80" w:type="dxa"/>
            <w:vAlign w:val="bottom"/>
          </w:tcPr>
          <w:p>
            <w:pPr>
              <w:spacing w:after="0"/>
              <w:rPr>
                <w:sz w:val="19"/>
                <w:szCs w:val="19"/>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127,756</w:t>
            </w:r>
          </w:p>
        </w:tc>
        <w:tc>
          <w:tcPr>
            <w:tcW w:w="100" w:type="dxa"/>
            <w:vAlign w:val="bottom"/>
          </w:tcPr>
          <w:p>
            <w:pPr>
              <w:spacing w:after="0"/>
              <w:rPr>
                <w:sz w:val="19"/>
                <w:szCs w:val="19"/>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427,171</w:t>
            </w:r>
          </w:p>
        </w:tc>
        <w:tc>
          <w:tcPr>
            <w:tcW w:w="100" w:type="dxa"/>
            <w:vAlign w:val="bottom"/>
          </w:tcPr>
          <w:p>
            <w:pPr>
              <w:spacing w:after="0"/>
              <w:rPr>
                <w:sz w:val="19"/>
                <w:szCs w:val="19"/>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357,328</w:t>
            </w:r>
          </w:p>
        </w:tc>
        <w:tc>
          <w:tcPr>
            <w:tcW w:w="0" w:type="dxa"/>
            <w:vAlign w:val="bottom"/>
          </w:tcPr>
          <w:p>
            <w:pPr>
              <w:spacing w:after="0"/>
              <w:rPr>
                <w:sz w:val="1"/>
                <w:szCs w:val="1"/>
                <w:color w:val="auto"/>
              </w:rPr>
            </w:pPr>
          </w:p>
        </w:tc>
      </w:tr>
      <w:tr>
        <w:trPr>
          <w:trHeight w:val="220"/>
        </w:trPr>
        <w:tc>
          <w:tcPr>
            <w:tcW w:w="6140" w:type="dxa"/>
            <w:vAlign w:val="bottom"/>
          </w:tcPr>
          <w:p>
            <w:pPr>
              <w:ind w:left="120"/>
              <w:spacing w:after="0"/>
              <w:rPr>
                <w:sz w:val="20"/>
                <w:szCs w:val="20"/>
                <w:color w:val="auto"/>
              </w:rPr>
            </w:pPr>
            <w:r>
              <w:rPr>
                <w:rFonts w:ascii="Arial" w:cs="Arial" w:eastAsia="Arial" w:hAnsi="Arial"/>
                <w:sz w:val="16"/>
                <w:szCs w:val="16"/>
                <w:color w:val="auto"/>
              </w:rPr>
              <w:t>Testing revenue</w:t>
            </w:r>
          </w:p>
        </w:tc>
        <w:tc>
          <w:tcPr>
            <w:tcW w:w="160" w:type="dxa"/>
            <w:vAlign w:val="bottom"/>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vMerge w:val="continue"/>
          </w:tcPr>
          <w:p>
            <w:pPr>
              <w:spacing w:after="0"/>
              <w:rPr>
                <w:sz w:val="19"/>
                <w:szCs w:val="19"/>
                <w:color w:val="auto"/>
              </w:rPr>
            </w:pPr>
          </w:p>
        </w:tc>
        <w:tc>
          <w:tcPr>
            <w:tcW w:w="10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vMerge w:val="continue"/>
          </w:tcPr>
          <w:p>
            <w:pPr>
              <w:spacing w:after="0"/>
              <w:rPr>
                <w:sz w:val="19"/>
                <w:szCs w:val="19"/>
                <w:color w:val="auto"/>
              </w:rPr>
            </w:pPr>
          </w:p>
        </w:tc>
        <w:tc>
          <w:tcPr>
            <w:tcW w:w="10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40" w:type="dxa"/>
            <w:vAlign w:val="bottom"/>
          </w:tcPr>
          <w:p>
            <w:pPr>
              <w:ind w:left="120"/>
              <w:spacing w:after="0"/>
              <w:rPr>
                <w:sz w:val="20"/>
                <w:szCs w:val="20"/>
                <w:color w:val="auto"/>
              </w:rPr>
            </w:pPr>
            <w:r>
              <w:rPr>
                <w:rFonts w:ascii="Arial" w:cs="Arial" w:eastAsia="Arial" w:hAnsi="Arial"/>
                <w:sz w:val="18"/>
                <w:szCs w:val="18"/>
                <w:color w:val="auto"/>
              </w:rPr>
              <w:t>Product revenue</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4,626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12,163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10,479</w:t>
            </w:r>
          </w:p>
        </w:tc>
        <w:tc>
          <w:tcPr>
            <w:tcW w:w="0" w:type="dxa"/>
            <w:vAlign w:val="bottom"/>
          </w:tcPr>
          <w:p>
            <w:pPr>
              <w:spacing w:after="0"/>
              <w:rPr>
                <w:sz w:val="1"/>
                <w:szCs w:val="1"/>
                <w:color w:val="auto"/>
              </w:rPr>
            </w:pPr>
          </w:p>
        </w:tc>
      </w:tr>
      <w:tr>
        <w:trPr>
          <w:trHeight w:val="235"/>
        </w:trPr>
        <w:tc>
          <w:tcPr>
            <w:tcW w:w="6140" w:type="dxa"/>
            <w:vAlign w:val="bottom"/>
          </w:tcPr>
          <w:p>
            <w:pPr>
              <w:ind w:left="120"/>
              <w:spacing w:after="0"/>
              <w:rPr>
                <w:sz w:val="20"/>
                <w:szCs w:val="20"/>
                <w:color w:val="auto"/>
              </w:rPr>
            </w:pPr>
            <w:r>
              <w:rPr>
                <w:rFonts w:ascii="Arial" w:cs="Arial" w:eastAsia="Arial" w:hAnsi="Arial"/>
                <w:sz w:val="18"/>
                <w:szCs w:val="18"/>
                <w:color w:val="auto"/>
              </w:rPr>
              <w:t>Biopharmaceutical and other revenue</w:t>
            </w: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709</w:t>
            </w: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815</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1,812</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8,702</w:t>
            </w:r>
          </w:p>
        </w:tc>
        <w:tc>
          <w:tcPr>
            <w:tcW w:w="0" w:type="dxa"/>
            <w:vAlign w:val="bottom"/>
          </w:tcPr>
          <w:p>
            <w:pPr>
              <w:spacing w:after="0"/>
              <w:rPr>
                <w:sz w:val="1"/>
                <w:szCs w:val="1"/>
                <w:color w:val="auto"/>
              </w:rPr>
            </w:pPr>
          </w:p>
        </w:tc>
      </w:tr>
      <w:tr>
        <w:trPr>
          <w:trHeight w:val="223"/>
        </w:trPr>
        <w:tc>
          <w:tcPr>
            <w:tcW w:w="6140" w:type="dxa"/>
            <w:vAlign w:val="bottom"/>
          </w:tcPr>
          <w:p>
            <w:pPr>
              <w:ind w:left="220"/>
              <w:spacing w:after="0"/>
              <w:rPr>
                <w:sz w:val="20"/>
                <w:szCs w:val="20"/>
                <w:color w:val="auto"/>
              </w:rPr>
            </w:pPr>
            <w:r>
              <w:rPr>
                <w:rFonts w:ascii="Arial" w:cs="Arial" w:eastAsia="Arial" w:hAnsi="Arial"/>
                <w:sz w:val="18"/>
                <w:szCs w:val="18"/>
                <w:color w:val="auto"/>
              </w:rPr>
              <w:t>Total revenue</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151,754</w:t>
            </w: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131,872</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441,146</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376,509</w:t>
            </w:r>
          </w:p>
        </w:tc>
        <w:tc>
          <w:tcPr>
            <w:tcW w:w="0" w:type="dxa"/>
            <w:vAlign w:val="bottom"/>
          </w:tcPr>
          <w:p>
            <w:pPr>
              <w:spacing w:after="0"/>
              <w:rPr>
                <w:sz w:val="1"/>
                <w:szCs w:val="1"/>
                <w:color w:val="auto"/>
              </w:rPr>
            </w:pPr>
          </w:p>
        </w:tc>
      </w:tr>
      <w:tr>
        <w:trPr>
          <w:trHeight w:val="461"/>
        </w:trPr>
        <w:tc>
          <w:tcPr>
            <w:tcW w:w="6140" w:type="dxa"/>
            <w:vAlign w:val="bottom"/>
          </w:tcPr>
          <w:p>
            <w:pPr>
              <w:spacing w:after="0"/>
              <w:rPr>
                <w:sz w:val="20"/>
                <w:szCs w:val="20"/>
                <w:color w:val="auto"/>
              </w:rPr>
            </w:pPr>
            <w:r>
              <w:rPr>
                <w:rFonts w:ascii="Arial" w:cs="Arial" w:eastAsia="Arial" w:hAnsi="Arial"/>
                <w:sz w:val="18"/>
                <w:szCs w:val="18"/>
                <w:color w:val="auto"/>
              </w:rPr>
              <w:t>Cost of revenue: (1)</w:t>
            </w: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140" w:type="dxa"/>
            <w:vAlign w:val="bottom"/>
          </w:tcPr>
          <w:p>
            <w:pPr>
              <w:ind w:left="120"/>
              <w:spacing w:after="0"/>
              <w:rPr>
                <w:sz w:val="20"/>
                <w:szCs w:val="20"/>
                <w:color w:val="auto"/>
              </w:rPr>
            </w:pPr>
            <w:r>
              <w:rPr>
                <w:rFonts w:ascii="Arial" w:cs="Arial" w:eastAsia="Arial" w:hAnsi="Arial"/>
                <w:sz w:val="18"/>
                <w:szCs w:val="18"/>
                <w:color w:val="auto"/>
              </w:rPr>
              <w:t>Cost of testing revenue</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38,477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33,777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108,092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94,444</w:t>
            </w:r>
          </w:p>
        </w:tc>
        <w:tc>
          <w:tcPr>
            <w:tcW w:w="0" w:type="dxa"/>
            <w:vAlign w:val="bottom"/>
          </w:tcPr>
          <w:p>
            <w:pPr>
              <w:spacing w:after="0"/>
              <w:rPr>
                <w:sz w:val="1"/>
                <w:szCs w:val="1"/>
                <w:color w:val="auto"/>
              </w:rPr>
            </w:pPr>
          </w:p>
        </w:tc>
      </w:tr>
      <w:tr>
        <w:trPr>
          <w:trHeight w:val="229"/>
        </w:trPr>
        <w:tc>
          <w:tcPr>
            <w:tcW w:w="6140" w:type="dxa"/>
            <w:vAlign w:val="bottom"/>
          </w:tcPr>
          <w:p>
            <w:pPr>
              <w:ind w:left="120"/>
              <w:spacing w:after="0"/>
              <w:rPr>
                <w:sz w:val="20"/>
                <w:szCs w:val="20"/>
                <w:color w:val="auto"/>
              </w:rPr>
            </w:pPr>
            <w:r>
              <w:rPr>
                <w:rFonts w:ascii="Arial" w:cs="Arial" w:eastAsia="Arial" w:hAnsi="Arial"/>
                <w:sz w:val="18"/>
                <w:szCs w:val="18"/>
                <w:color w:val="auto"/>
              </w:rPr>
              <w:t>Cost of product revenue</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2,766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3,015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7,172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6,186</w:t>
            </w:r>
          </w:p>
        </w:tc>
        <w:tc>
          <w:tcPr>
            <w:tcW w:w="0" w:type="dxa"/>
            <w:vAlign w:val="bottom"/>
          </w:tcPr>
          <w:p>
            <w:pPr>
              <w:spacing w:after="0"/>
              <w:rPr>
                <w:sz w:val="1"/>
                <w:szCs w:val="1"/>
                <w:color w:val="auto"/>
              </w:rPr>
            </w:pPr>
          </w:p>
        </w:tc>
      </w:tr>
      <w:tr>
        <w:trPr>
          <w:trHeight w:val="229"/>
        </w:trPr>
        <w:tc>
          <w:tcPr>
            <w:tcW w:w="6140" w:type="dxa"/>
            <w:vAlign w:val="bottom"/>
          </w:tcPr>
          <w:p>
            <w:pPr>
              <w:ind w:left="120"/>
              <w:spacing w:after="0"/>
              <w:rPr>
                <w:sz w:val="20"/>
                <w:szCs w:val="20"/>
                <w:color w:val="auto"/>
              </w:rPr>
            </w:pPr>
            <w:r>
              <w:rPr>
                <w:rFonts w:ascii="Arial" w:cs="Arial" w:eastAsia="Arial" w:hAnsi="Arial"/>
                <w:sz w:val="18"/>
                <w:szCs w:val="18"/>
                <w:color w:val="auto"/>
              </w:rPr>
              <w:t>Cost of biopharmaceutical and other revenue</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1,091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7,361</w:t>
            </w:r>
          </w:p>
        </w:tc>
        <w:tc>
          <w:tcPr>
            <w:tcW w:w="0" w:type="dxa"/>
            <w:vAlign w:val="bottom"/>
          </w:tcPr>
          <w:p>
            <w:pPr>
              <w:spacing w:after="0"/>
              <w:rPr>
                <w:sz w:val="1"/>
                <w:szCs w:val="1"/>
                <w:color w:val="auto"/>
              </w:rPr>
            </w:pPr>
          </w:p>
        </w:tc>
      </w:tr>
      <w:tr>
        <w:trPr>
          <w:trHeight w:val="235"/>
        </w:trPr>
        <w:tc>
          <w:tcPr>
            <w:tcW w:w="6140" w:type="dxa"/>
            <w:vAlign w:val="bottom"/>
          </w:tcPr>
          <w:p>
            <w:pPr>
              <w:ind w:left="120"/>
              <w:spacing w:after="0"/>
              <w:rPr>
                <w:sz w:val="20"/>
                <w:szCs w:val="20"/>
                <w:color w:val="auto"/>
              </w:rPr>
            </w:pPr>
            <w:r>
              <w:rPr>
                <w:rFonts w:ascii="Arial" w:cs="Arial" w:eastAsia="Arial" w:hAnsi="Arial"/>
                <w:sz w:val="18"/>
                <w:szCs w:val="18"/>
                <w:color w:val="auto"/>
              </w:rPr>
              <w:t>Intangible asset amortization - cost of revenue</w:t>
            </w: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3,265</w:t>
            </w: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2,707</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8,713</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7,959</w:t>
            </w:r>
          </w:p>
        </w:tc>
        <w:tc>
          <w:tcPr>
            <w:tcW w:w="0" w:type="dxa"/>
            <w:vAlign w:val="bottom"/>
          </w:tcPr>
          <w:p>
            <w:pPr>
              <w:spacing w:after="0"/>
              <w:rPr>
                <w:sz w:val="1"/>
                <w:szCs w:val="1"/>
                <w:color w:val="auto"/>
              </w:rPr>
            </w:pPr>
          </w:p>
        </w:tc>
      </w:tr>
      <w:tr>
        <w:trPr>
          <w:trHeight w:val="223"/>
        </w:trPr>
        <w:tc>
          <w:tcPr>
            <w:tcW w:w="6140" w:type="dxa"/>
            <w:vAlign w:val="bottom"/>
          </w:tcPr>
          <w:p>
            <w:pPr>
              <w:ind w:left="220"/>
              <w:spacing w:after="0"/>
              <w:rPr>
                <w:sz w:val="20"/>
                <w:szCs w:val="20"/>
                <w:color w:val="auto"/>
              </w:rPr>
            </w:pPr>
            <w:r>
              <w:rPr>
                <w:rFonts w:ascii="Arial" w:cs="Arial" w:eastAsia="Arial" w:hAnsi="Arial"/>
                <w:sz w:val="18"/>
                <w:szCs w:val="18"/>
                <w:color w:val="auto"/>
              </w:rPr>
              <w:t>Total cost of revenue</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44,650</w:t>
            </w: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40,590</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124,334</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115,950</w:t>
            </w:r>
          </w:p>
        </w:tc>
        <w:tc>
          <w:tcPr>
            <w:tcW w:w="0" w:type="dxa"/>
            <w:vAlign w:val="bottom"/>
          </w:tcPr>
          <w:p>
            <w:pPr>
              <w:spacing w:after="0"/>
              <w:rPr>
                <w:sz w:val="1"/>
                <w:szCs w:val="1"/>
                <w:color w:val="auto"/>
              </w:rPr>
            </w:pPr>
          </w:p>
        </w:tc>
      </w:tr>
      <w:tr>
        <w:trPr>
          <w:trHeight w:val="223"/>
        </w:trPr>
        <w:tc>
          <w:tcPr>
            <w:tcW w:w="6140" w:type="dxa"/>
            <w:vAlign w:val="bottom"/>
          </w:tcPr>
          <w:p>
            <w:pPr>
              <w:ind w:left="340"/>
              <w:spacing w:after="0"/>
              <w:rPr>
                <w:sz w:val="20"/>
                <w:szCs w:val="20"/>
                <w:color w:val="auto"/>
              </w:rPr>
            </w:pPr>
            <w:r>
              <w:rPr>
                <w:rFonts w:ascii="Arial" w:cs="Arial" w:eastAsia="Arial" w:hAnsi="Arial"/>
                <w:sz w:val="18"/>
                <w:szCs w:val="18"/>
                <w:color w:val="auto"/>
              </w:rPr>
              <w:t>Gross profit</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107,104</w:t>
            </w: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91,282</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316,812</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260,559</w:t>
            </w:r>
          </w:p>
        </w:tc>
        <w:tc>
          <w:tcPr>
            <w:tcW w:w="0" w:type="dxa"/>
            <w:vAlign w:val="bottom"/>
          </w:tcPr>
          <w:p>
            <w:pPr>
              <w:spacing w:after="0"/>
              <w:rPr>
                <w:sz w:val="1"/>
                <w:szCs w:val="1"/>
                <w:color w:val="auto"/>
              </w:rPr>
            </w:pPr>
          </w:p>
        </w:tc>
      </w:tr>
      <w:tr>
        <w:trPr>
          <w:trHeight w:val="204"/>
        </w:trPr>
        <w:tc>
          <w:tcPr>
            <w:tcW w:w="6140" w:type="dxa"/>
            <w:vAlign w:val="bottom"/>
          </w:tcPr>
          <w:p>
            <w:pPr>
              <w:spacing w:after="0" w:line="204" w:lineRule="exact"/>
              <w:rPr>
                <w:sz w:val="20"/>
                <w:szCs w:val="20"/>
                <w:color w:val="auto"/>
              </w:rPr>
            </w:pPr>
            <w:r>
              <w:rPr>
                <w:rFonts w:ascii="Arial" w:cs="Arial" w:eastAsia="Arial" w:hAnsi="Arial"/>
                <w:sz w:val="18"/>
                <w:szCs w:val="18"/>
                <w:color w:val="auto"/>
              </w:rPr>
              <w:t>Operating expenses: (1)</w:t>
            </w: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140" w:type="dxa"/>
            <w:vAlign w:val="bottom"/>
          </w:tcPr>
          <w:p>
            <w:pPr>
              <w:ind w:left="120"/>
              <w:spacing w:after="0"/>
              <w:rPr>
                <w:sz w:val="20"/>
                <w:szCs w:val="20"/>
                <w:color w:val="auto"/>
              </w:rPr>
            </w:pPr>
            <w:r>
              <w:rPr>
                <w:rFonts w:ascii="Arial" w:cs="Arial" w:eastAsia="Arial" w:hAnsi="Arial"/>
                <w:sz w:val="18"/>
                <w:szCs w:val="18"/>
                <w:color w:val="auto"/>
              </w:rPr>
              <w:t>Research and development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32,159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15,981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88,699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49,965</w:t>
            </w:r>
          </w:p>
        </w:tc>
        <w:tc>
          <w:tcPr>
            <w:tcW w:w="0" w:type="dxa"/>
            <w:vAlign w:val="bottom"/>
          </w:tcPr>
          <w:p>
            <w:pPr>
              <w:spacing w:after="0"/>
              <w:rPr>
                <w:sz w:val="1"/>
                <w:szCs w:val="1"/>
                <w:color w:val="auto"/>
              </w:rPr>
            </w:pPr>
          </w:p>
        </w:tc>
      </w:tr>
      <w:tr>
        <w:trPr>
          <w:trHeight w:val="230"/>
        </w:trPr>
        <w:tc>
          <w:tcPr>
            <w:tcW w:w="6140" w:type="dxa"/>
            <w:vAlign w:val="bottom"/>
          </w:tcPr>
          <w:p>
            <w:pPr>
              <w:ind w:left="120"/>
              <w:spacing w:after="0"/>
              <w:rPr>
                <w:sz w:val="20"/>
                <w:szCs w:val="20"/>
                <w:color w:val="auto"/>
              </w:rPr>
            </w:pPr>
            <w:r>
              <w:rPr>
                <w:rFonts w:ascii="Arial" w:cs="Arial" w:eastAsia="Arial" w:hAnsi="Arial"/>
                <w:sz w:val="18"/>
                <w:szCs w:val="18"/>
                <w:color w:val="auto"/>
              </w:rPr>
              <w:t>Selling and marketing</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28,652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24,455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84,071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74,225</w:t>
            </w:r>
          </w:p>
        </w:tc>
        <w:tc>
          <w:tcPr>
            <w:tcW w:w="0" w:type="dxa"/>
            <w:vAlign w:val="bottom"/>
          </w:tcPr>
          <w:p>
            <w:pPr>
              <w:spacing w:after="0"/>
              <w:rPr>
                <w:sz w:val="1"/>
                <w:szCs w:val="1"/>
                <w:color w:val="auto"/>
              </w:rPr>
            </w:pPr>
          </w:p>
        </w:tc>
      </w:tr>
      <w:tr>
        <w:trPr>
          <w:trHeight w:val="230"/>
        </w:trPr>
        <w:tc>
          <w:tcPr>
            <w:tcW w:w="6140" w:type="dxa"/>
            <w:vAlign w:val="bottom"/>
          </w:tcPr>
          <w:p>
            <w:pPr>
              <w:ind w:left="120"/>
              <w:spacing w:after="0"/>
              <w:rPr>
                <w:sz w:val="20"/>
                <w:szCs w:val="20"/>
                <w:color w:val="auto"/>
              </w:rPr>
            </w:pPr>
            <w:r>
              <w:rPr>
                <w:rFonts w:ascii="Arial" w:cs="Arial" w:eastAsia="Arial" w:hAnsi="Arial"/>
                <w:sz w:val="18"/>
                <w:szCs w:val="18"/>
                <w:color w:val="auto"/>
              </w:rPr>
              <w:t>General and administrative</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29,302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27,278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80,425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93,417</w:t>
            </w:r>
          </w:p>
        </w:tc>
        <w:tc>
          <w:tcPr>
            <w:tcW w:w="0" w:type="dxa"/>
            <w:vAlign w:val="bottom"/>
          </w:tcPr>
          <w:p>
            <w:pPr>
              <w:spacing w:after="0"/>
              <w:rPr>
                <w:sz w:val="1"/>
                <w:szCs w:val="1"/>
                <w:color w:val="auto"/>
              </w:rPr>
            </w:pPr>
          </w:p>
        </w:tc>
      </w:tr>
      <w:tr>
        <w:trPr>
          <w:trHeight w:val="229"/>
        </w:trPr>
        <w:tc>
          <w:tcPr>
            <w:tcW w:w="6140" w:type="dxa"/>
            <w:vAlign w:val="bottom"/>
          </w:tcPr>
          <w:p>
            <w:pPr>
              <w:ind w:left="120"/>
              <w:spacing w:after="0"/>
              <w:rPr>
                <w:sz w:val="20"/>
                <w:szCs w:val="20"/>
                <w:color w:val="auto"/>
              </w:rPr>
            </w:pPr>
            <w:r>
              <w:rPr>
                <w:rFonts w:ascii="Arial" w:cs="Arial" w:eastAsia="Arial" w:hAnsi="Arial"/>
                <w:sz w:val="18"/>
                <w:szCs w:val="18"/>
                <w:color w:val="auto"/>
              </w:rPr>
              <w:t>Impairment of assets</w:t>
            </w:r>
          </w:p>
        </w:tc>
        <w:tc>
          <w:tcPr>
            <w:tcW w:w="16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20,505</w:t>
            </w:r>
          </w:p>
        </w:tc>
        <w:tc>
          <w:tcPr>
            <w:tcW w:w="0" w:type="dxa"/>
            <w:vAlign w:val="bottom"/>
          </w:tcPr>
          <w:p>
            <w:pPr>
              <w:spacing w:after="0"/>
              <w:rPr>
                <w:sz w:val="1"/>
                <w:szCs w:val="1"/>
                <w:color w:val="auto"/>
              </w:rPr>
            </w:pPr>
          </w:p>
        </w:tc>
      </w:tr>
      <w:tr>
        <w:trPr>
          <w:trHeight w:val="235"/>
        </w:trPr>
        <w:tc>
          <w:tcPr>
            <w:tcW w:w="6140" w:type="dxa"/>
            <w:vAlign w:val="bottom"/>
          </w:tcPr>
          <w:p>
            <w:pPr>
              <w:ind w:left="120"/>
              <w:spacing w:after="0"/>
              <w:rPr>
                <w:sz w:val="20"/>
                <w:szCs w:val="20"/>
                <w:color w:val="auto"/>
              </w:rPr>
            </w:pPr>
            <w:r>
              <w:rPr>
                <w:rFonts w:ascii="Arial" w:cs="Arial" w:eastAsia="Arial" w:hAnsi="Arial"/>
                <w:sz w:val="18"/>
                <w:szCs w:val="18"/>
                <w:color w:val="auto"/>
              </w:rPr>
              <w:t>Intangible asset amortization - operating expenses</w:t>
            </w: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w:t>
            </w: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622</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1,422</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1,865</w:t>
            </w:r>
          </w:p>
        </w:tc>
        <w:tc>
          <w:tcPr>
            <w:tcW w:w="0" w:type="dxa"/>
            <w:vAlign w:val="bottom"/>
          </w:tcPr>
          <w:p>
            <w:pPr>
              <w:spacing w:after="0"/>
              <w:rPr>
                <w:sz w:val="1"/>
                <w:szCs w:val="1"/>
                <w:color w:val="auto"/>
              </w:rPr>
            </w:pPr>
          </w:p>
        </w:tc>
      </w:tr>
      <w:tr>
        <w:trPr>
          <w:trHeight w:val="223"/>
        </w:trPr>
        <w:tc>
          <w:tcPr>
            <w:tcW w:w="6140" w:type="dxa"/>
            <w:vAlign w:val="bottom"/>
          </w:tcPr>
          <w:p>
            <w:pPr>
              <w:ind w:left="22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90,535</w:t>
            </w: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68,336</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254,617</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239,977</w:t>
            </w:r>
          </w:p>
        </w:tc>
        <w:tc>
          <w:tcPr>
            <w:tcW w:w="0" w:type="dxa"/>
            <w:vAlign w:val="bottom"/>
          </w:tcPr>
          <w:p>
            <w:pPr>
              <w:spacing w:after="0"/>
              <w:rPr>
                <w:sz w:val="1"/>
                <w:szCs w:val="1"/>
                <w:color w:val="auto"/>
              </w:rPr>
            </w:pPr>
          </w:p>
        </w:tc>
      </w:tr>
      <w:tr>
        <w:trPr>
          <w:trHeight w:val="218"/>
        </w:trPr>
        <w:tc>
          <w:tcPr>
            <w:tcW w:w="6140" w:type="dxa"/>
            <w:vAlign w:val="bottom"/>
          </w:tcPr>
          <w:p>
            <w:pPr>
              <w:spacing w:after="0"/>
              <w:rPr>
                <w:sz w:val="20"/>
                <w:szCs w:val="20"/>
                <w:color w:val="auto"/>
              </w:rPr>
            </w:pPr>
            <w:r>
              <w:rPr>
                <w:rFonts w:ascii="Arial" w:cs="Arial" w:eastAsia="Arial" w:hAnsi="Arial"/>
                <w:sz w:val="18"/>
                <w:szCs w:val="18"/>
                <w:color w:val="auto"/>
              </w:rPr>
              <w:t>Income from operations</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16,569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22,946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62,195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20,582</w:t>
            </w:r>
          </w:p>
        </w:tc>
        <w:tc>
          <w:tcPr>
            <w:tcW w:w="0" w:type="dxa"/>
            <w:vAlign w:val="bottom"/>
          </w:tcPr>
          <w:p>
            <w:pPr>
              <w:spacing w:after="0"/>
              <w:rPr>
                <w:sz w:val="1"/>
                <w:szCs w:val="1"/>
                <w:color w:val="auto"/>
              </w:rPr>
            </w:pPr>
          </w:p>
        </w:tc>
      </w:tr>
      <w:tr>
        <w:trPr>
          <w:trHeight w:val="235"/>
        </w:trPr>
        <w:tc>
          <w:tcPr>
            <w:tcW w:w="6140" w:type="dxa"/>
            <w:vAlign w:val="bottom"/>
          </w:tcPr>
          <w:p>
            <w:pPr>
              <w:spacing w:after="0"/>
              <w:rPr>
                <w:sz w:val="20"/>
                <w:szCs w:val="20"/>
                <w:color w:val="auto"/>
              </w:rPr>
            </w:pPr>
            <w:r>
              <w:rPr>
                <w:rFonts w:ascii="Arial" w:cs="Arial" w:eastAsia="Arial" w:hAnsi="Arial"/>
                <w:sz w:val="18"/>
                <w:szCs w:val="18"/>
                <w:color w:val="auto"/>
              </w:rPr>
              <w:t>Other income (loss), net</w:t>
            </w: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4,553</w:t>
            </w: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(4,057)</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15,424</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6,985</w:t>
            </w:r>
          </w:p>
        </w:tc>
        <w:tc>
          <w:tcPr>
            <w:tcW w:w="0" w:type="dxa"/>
            <w:vAlign w:val="bottom"/>
          </w:tcPr>
          <w:p>
            <w:pPr>
              <w:spacing w:after="0"/>
              <w:rPr>
                <w:sz w:val="1"/>
                <w:szCs w:val="1"/>
                <w:color w:val="auto"/>
              </w:rPr>
            </w:pPr>
          </w:p>
        </w:tc>
      </w:tr>
      <w:tr>
        <w:trPr>
          <w:trHeight w:val="218"/>
        </w:trPr>
        <w:tc>
          <w:tcPr>
            <w:tcW w:w="614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21,122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18,889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77,619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27,567</w:t>
            </w:r>
          </w:p>
        </w:tc>
        <w:tc>
          <w:tcPr>
            <w:tcW w:w="0" w:type="dxa"/>
            <w:vAlign w:val="bottom"/>
          </w:tcPr>
          <w:p>
            <w:pPr>
              <w:spacing w:after="0"/>
              <w:rPr>
                <w:sz w:val="1"/>
                <w:szCs w:val="1"/>
                <w:color w:val="auto"/>
              </w:rPr>
            </w:pPr>
          </w:p>
        </w:tc>
      </w:tr>
      <w:tr>
        <w:trPr>
          <w:trHeight w:val="235"/>
        </w:trPr>
        <w:tc>
          <w:tcPr>
            <w:tcW w:w="6140" w:type="dxa"/>
            <w:vAlign w:val="bottom"/>
          </w:tcPr>
          <w:p>
            <w:pPr>
              <w:spacing w:after="0"/>
              <w:rPr>
                <w:sz w:val="20"/>
                <w:szCs w:val="20"/>
                <w:color w:val="auto"/>
              </w:rPr>
            </w:pPr>
            <w:r>
              <w:rPr>
                <w:rFonts w:ascii="Arial" w:cs="Arial" w:eastAsia="Arial" w:hAnsi="Arial"/>
                <w:sz w:val="18"/>
                <w:szCs w:val="18"/>
                <w:color w:val="auto"/>
              </w:rPr>
              <w:t>Income tax provision (benefit)</w:t>
            </w: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(10,381)</w:t>
            </w: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(8,081)</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2,363</w:t>
            </w:r>
          </w:p>
        </w:tc>
        <w:tc>
          <w:tcPr>
            <w:tcW w:w="0" w:type="dxa"/>
            <w:vAlign w:val="bottom"/>
          </w:tcPr>
          <w:p>
            <w:pPr>
              <w:spacing w:after="0"/>
              <w:rPr>
                <w:sz w:val="1"/>
                <w:szCs w:val="1"/>
                <w:color w:val="auto"/>
              </w:rPr>
            </w:pPr>
          </w:p>
        </w:tc>
      </w:tr>
      <w:tr>
        <w:trPr>
          <w:trHeight w:val="230"/>
        </w:trPr>
        <w:tc>
          <w:tcPr>
            <w:tcW w:w="6140" w:type="dxa"/>
            <w:vAlign w:val="bottom"/>
          </w:tcPr>
          <w:p>
            <w:pPr>
              <w:spacing w:after="0"/>
              <w:rPr>
                <w:sz w:val="20"/>
                <w:szCs w:val="20"/>
                <w:color w:val="auto"/>
              </w:rPr>
            </w:pPr>
            <w:r>
              <w:rPr>
                <w:rFonts w:ascii="Arial" w:cs="Arial" w:eastAsia="Arial" w:hAnsi="Arial"/>
                <w:sz w:val="18"/>
                <w:szCs w:val="18"/>
                <w:color w:val="auto"/>
              </w:rPr>
              <w:t>Net income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31,503</w:t>
            </w:r>
          </w:p>
        </w:tc>
        <w:tc>
          <w:tcPr>
            <w:tcW w:w="8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19,137</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85,700</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25,204</w:t>
            </w:r>
          </w:p>
        </w:tc>
        <w:tc>
          <w:tcPr>
            <w:tcW w:w="0" w:type="dxa"/>
            <w:vAlign w:val="bottom"/>
          </w:tcPr>
          <w:p>
            <w:pPr>
              <w:spacing w:after="0"/>
              <w:rPr>
                <w:sz w:val="1"/>
                <w:szCs w:val="1"/>
                <w:color w:val="auto"/>
              </w:rPr>
            </w:pPr>
          </w:p>
        </w:tc>
      </w:tr>
      <w:tr>
        <w:trPr>
          <w:trHeight w:val="34"/>
        </w:trPr>
        <w:tc>
          <w:tcPr>
            <w:tcW w:w="6140" w:type="dxa"/>
            <w:vAlign w:val="bottom"/>
            <w:vMerge w:val="restart"/>
          </w:tcPr>
          <w:p>
            <w:pPr>
              <w:spacing w:after="0"/>
              <w:rPr>
                <w:sz w:val="20"/>
                <w:szCs w:val="20"/>
                <w:color w:val="auto"/>
              </w:rPr>
            </w:pPr>
            <w:r>
              <w:rPr>
                <w:rFonts w:ascii="Arial" w:cs="Arial" w:eastAsia="Arial" w:hAnsi="Arial"/>
                <w:sz w:val="18"/>
                <w:szCs w:val="18"/>
                <w:color w:val="auto"/>
              </w:rPr>
              <w:t>Earnings per share:</w:t>
            </w: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61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140" w:type="dxa"/>
            <w:vAlign w:val="bottom"/>
          </w:tcPr>
          <w:p>
            <w:pPr>
              <w:ind w:left="120"/>
              <w:spacing w:after="0"/>
              <w:rPr>
                <w:sz w:val="20"/>
                <w:szCs w:val="20"/>
                <w:color w:val="auto"/>
              </w:rPr>
            </w:pPr>
            <w:r>
              <w:rPr>
                <w:rFonts w:ascii="Arial" w:cs="Arial" w:eastAsia="Arial" w:hAnsi="Arial"/>
                <w:sz w:val="18"/>
                <w:szCs w:val="18"/>
                <w:color w:val="auto"/>
              </w:rPr>
              <w:t>Basic</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0.39</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0.24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r>
        <w:trPr>
          <w:trHeight w:val="230"/>
        </w:trPr>
        <w:tc>
          <w:tcPr>
            <w:tcW w:w="6140" w:type="dxa"/>
            <w:vAlign w:val="bottom"/>
          </w:tcPr>
          <w:p>
            <w:pPr>
              <w:ind w:left="120"/>
              <w:spacing w:after="0"/>
              <w:rPr>
                <w:sz w:val="20"/>
                <w:szCs w:val="20"/>
                <w:color w:val="auto"/>
              </w:rPr>
            </w:pPr>
            <w:r>
              <w:rPr>
                <w:rFonts w:ascii="Arial" w:cs="Arial" w:eastAsia="Arial" w:hAnsi="Arial"/>
                <w:sz w:val="18"/>
                <w:szCs w:val="18"/>
                <w:color w:val="auto"/>
              </w:rPr>
              <w:t>Diluted</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0.38</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0.24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r>
        <w:trPr>
          <w:trHeight w:val="230"/>
        </w:trPr>
        <w:tc>
          <w:tcPr>
            <w:tcW w:w="6140" w:type="dxa"/>
            <w:vAlign w:val="bottom"/>
          </w:tcPr>
          <w:p>
            <w:pPr>
              <w:spacing w:after="0"/>
              <w:rPr>
                <w:sz w:val="20"/>
                <w:szCs w:val="20"/>
                <w:color w:val="auto"/>
              </w:rPr>
            </w:pPr>
            <w:r>
              <w:rPr>
                <w:rFonts w:ascii="Arial" w:cs="Arial" w:eastAsia="Arial" w:hAnsi="Arial"/>
                <w:sz w:val="18"/>
                <w:szCs w:val="18"/>
                <w:color w:val="auto"/>
              </w:rPr>
              <w:t>Shares used to compute earnings per common share:</w:t>
            </w: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40" w:type="dxa"/>
            <w:vAlign w:val="bottom"/>
          </w:tcPr>
          <w:p>
            <w:pPr>
              <w:ind w:left="120"/>
              <w:spacing w:after="0"/>
              <w:rPr>
                <w:sz w:val="20"/>
                <w:szCs w:val="20"/>
                <w:color w:val="auto"/>
              </w:rPr>
            </w:pPr>
            <w:r>
              <w:rPr>
                <w:rFonts w:ascii="Arial" w:cs="Arial" w:eastAsia="Arial" w:hAnsi="Arial"/>
                <w:sz w:val="18"/>
                <w:szCs w:val="18"/>
                <w:color w:val="auto"/>
              </w:rPr>
              <w:t>Basic</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80,500,406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78,725,139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80,006,663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78,384,184</w:t>
            </w:r>
          </w:p>
        </w:tc>
        <w:tc>
          <w:tcPr>
            <w:tcW w:w="0" w:type="dxa"/>
            <w:vAlign w:val="bottom"/>
          </w:tcPr>
          <w:p>
            <w:pPr>
              <w:spacing w:after="0"/>
              <w:rPr>
                <w:sz w:val="1"/>
                <w:szCs w:val="1"/>
                <w:color w:val="auto"/>
              </w:rPr>
            </w:pPr>
          </w:p>
        </w:tc>
      </w:tr>
      <w:tr>
        <w:trPr>
          <w:trHeight w:val="239"/>
        </w:trPr>
        <w:tc>
          <w:tcPr>
            <w:tcW w:w="6140" w:type="dxa"/>
            <w:vAlign w:val="bottom"/>
          </w:tcPr>
          <w:p>
            <w:pPr>
              <w:ind w:left="120"/>
              <w:spacing w:after="0"/>
              <w:rPr>
                <w:sz w:val="20"/>
                <w:szCs w:val="20"/>
                <w:color w:val="auto"/>
              </w:rPr>
            </w:pPr>
            <w:r>
              <w:rPr>
                <w:rFonts w:ascii="Arial" w:cs="Arial" w:eastAsia="Arial" w:hAnsi="Arial"/>
                <w:sz w:val="18"/>
                <w:szCs w:val="18"/>
                <w:color w:val="auto"/>
              </w:rPr>
              <w:t>Diluted</w:t>
            </w: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82,783,915</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79,691,703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82,204,307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79,946,386</w:t>
            </w:r>
          </w:p>
        </w:tc>
        <w:tc>
          <w:tcPr>
            <w:tcW w:w="0" w:type="dxa"/>
            <w:vAlign w:val="bottom"/>
          </w:tcPr>
          <w:p>
            <w:pPr>
              <w:spacing w:after="0"/>
              <w:rPr>
                <w:sz w:val="1"/>
                <w:szCs w:val="1"/>
                <w:color w:val="auto"/>
              </w:rPr>
            </w:pPr>
          </w:p>
        </w:tc>
      </w:tr>
    </w:tbl>
    <w:p>
      <w:pPr>
        <w:spacing w:after="0" w:line="301" w:lineRule="exact"/>
        <w:rPr>
          <w:sz w:val="20"/>
          <w:szCs w:val="20"/>
          <w:color w:val="auto"/>
        </w:rPr>
      </w:pPr>
    </w:p>
    <w:p>
      <w:pPr>
        <w:ind w:right="280" w:firstLine="8"/>
        <w:spacing w:after="0" w:line="287" w:lineRule="auto"/>
        <w:tabs>
          <w:tab w:leader="none" w:pos="2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Cost of revenue, research and development, sales and marketing and general and administrative expenses include the following stock-based compensation related expenses:</w:t>
      </w:r>
    </w:p>
    <w:p>
      <w:pPr>
        <w:sectPr>
          <w:pgSz w:w="11900" w:h="16838" w:orient="portrait"/>
          <w:cols w:equalWidth="0" w:num="1">
            <w:col w:w="11240"/>
          </w:cols>
          <w:pgMar w:left="320" w:top="1268"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5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80" w:type="dxa"/>
            <w:vAlign w:val="bottom"/>
            <w:gridSpan w:val="5"/>
          </w:tcPr>
          <w:p>
            <w:pPr>
              <w:jc w:val="center"/>
              <w:ind w:right="340"/>
              <w:spacing w:after="0"/>
              <w:rPr>
                <w:sz w:val="20"/>
                <w:szCs w:val="20"/>
                <w:color w:val="auto"/>
              </w:rPr>
            </w:pPr>
            <w:r>
              <w:rPr>
                <w:rFonts w:ascii="Arial" w:cs="Arial" w:eastAsia="Arial" w:hAnsi="Arial"/>
                <w:sz w:val="18"/>
                <w:szCs w:val="18"/>
                <w:color w:val="auto"/>
                <w:w w:val="99"/>
              </w:rPr>
              <w:t>Three Months Ended</w:t>
            </w:r>
          </w:p>
        </w:tc>
        <w:tc>
          <w:tcPr>
            <w:tcW w:w="2560" w:type="dxa"/>
            <w:vAlign w:val="bottom"/>
            <w:gridSpan w:val="6"/>
          </w:tcPr>
          <w:p>
            <w:pPr>
              <w:ind w:left="20"/>
              <w:spacing w:after="0"/>
              <w:rPr>
                <w:sz w:val="20"/>
                <w:szCs w:val="20"/>
                <w:color w:val="auto"/>
              </w:rPr>
            </w:pPr>
            <w:r>
              <w:rPr>
                <w:rFonts w:ascii="Arial" w:cs="Arial" w:eastAsia="Arial" w:hAnsi="Arial"/>
                <w:sz w:val="18"/>
                <w:szCs w:val="18"/>
                <w:color w:val="auto"/>
              </w:rPr>
              <w:t>Nine Months Ended September</w:t>
            </w:r>
          </w:p>
        </w:tc>
      </w:tr>
      <w:tr>
        <w:trPr>
          <w:trHeight w:val="250"/>
        </w:trPr>
        <w:tc>
          <w:tcPr>
            <w:tcW w:w="5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380" w:type="dxa"/>
            <w:vAlign w:val="bottom"/>
            <w:gridSpan w:val="5"/>
          </w:tcPr>
          <w:p>
            <w:pPr>
              <w:jc w:val="center"/>
              <w:ind w:right="360"/>
              <w:spacing w:after="0"/>
              <w:rPr>
                <w:sz w:val="20"/>
                <w:szCs w:val="20"/>
                <w:color w:val="auto"/>
              </w:rPr>
            </w:pPr>
            <w:r>
              <w:rPr>
                <w:rFonts w:ascii="Arial" w:cs="Arial" w:eastAsia="Arial" w:hAnsi="Arial"/>
                <w:sz w:val="18"/>
                <w:szCs w:val="18"/>
                <w:color w:val="auto"/>
                <w:w w:val="99"/>
              </w:rPr>
              <w:t>September 30,</w:t>
            </w: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40" w:type="dxa"/>
            <w:vAlign w:val="bottom"/>
            <w:gridSpan w:val="3"/>
          </w:tcPr>
          <w:p>
            <w:pPr>
              <w:jc w:val="right"/>
              <w:ind w:right="110"/>
              <w:spacing w:after="0"/>
              <w:rPr>
                <w:sz w:val="20"/>
                <w:szCs w:val="20"/>
                <w:color w:val="auto"/>
              </w:rPr>
            </w:pPr>
            <w:r>
              <w:rPr>
                <w:rFonts w:ascii="Arial" w:cs="Arial" w:eastAsia="Arial" w:hAnsi="Arial"/>
                <w:sz w:val="18"/>
                <w:szCs w:val="18"/>
                <w:color w:val="auto"/>
                <w:w w:val="87"/>
              </w:rPr>
              <w:t>30,</w:t>
            </w:r>
          </w:p>
        </w:tc>
        <w:tc>
          <w:tcPr>
            <w:tcW w:w="960" w:type="dxa"/>
            <w:vAlign w:val="bottom"/>
          </w:tcPr>
          <w:p>
            <w:pPr>
              <w:spacing w:after="0"/>
              <w:rPr>
                <w:sz w:val="21"/>
                <w:szCs w:val="21"/>
                <w:color w:val="auto"/>
              </w:rPr>
            </w:pPr>
          </w:p>
        </w:tc>
      </w:tr>
      <w:tr>
        <w:trPr>
          <w:trHeight w:val="237"/>
        </w:trPr>
        <w:tc>
          <w:tcPr>
            <w:tcW w:w="590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2026</w:t>
            </w:r>
          </w:p>
        </w:tc>
        <w:tc>
          <w:tcPr>
            <w:tcW w:w="80" w:type="dxa"/>
            <w:vAlign w:val="bottom"/>
            <w:tcBorders>
              <w:top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2025</w:t>
            </w:r>
          </w:p>
        </w:tc>
        <w:tc>
          <w:tcPr>
            <w:tcW w:w="8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2026</w:t>
            </w:r>
          </w:p>
        </w:tc>
        <w:tc>
          <w:tcPr>
            <w:tcW w:w="8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2025</w:t>
            </w:r>
          </w:p>
        </w:tc>
      </w:tr>
      <w:tr>
        <w:trPr>
          <w:trHeight w:val="224"/>
        </w:trPr>
        <w:tc>
          <w:tcPr>
            <w:tcW w:w="5900" w:type="dxa"/>
            <w:vAlign w:val="bottom"/>
          </w:tcPr>
          <w:p>
            <w:pPr>
              <w:spacing w:after="0"/>
              <w:rPr>
                <w:sz w:val="20"/>
                <w:szCs w:val="20"/>
                <w:color w:val="auto"/>
              </w:rPr>
            </w:pPr>
            <w:r>
              <w:rPr>
                <w:rFonts w:ascii="Arial" w:cs="Arial" w:eastAsia="Arial" w:hAnsi="Arial"/>
                <w:sz w:val="18"/>
                <w:szCs w:val="18"/>
                <w:color w:val="auto"/>
              </w:rPr>
              <w:t>Cost of revenue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995</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540</w:t>
            </w:r>
          </w:p>
        </w:tc>
        <w:tc>
          <w:tcPr>
            <w:tcW w:w="80" w:type="dxa"/>
            <w:vAlign w:val="bottom"/>
          </w:tcPr>
          <w:p>
            <w:pPr>
              <w:spacing w:after="0"/>
              <w:rPr>
                <w:sz w:val="19"/>
                <w:szCs w:val="19"/>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3,054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1,668</w:t>
            </w:r>
          </w:p>
        </w:tc>
      </w:tr>
      <w:tr>
        <w:trPr>
          <w:trHeight w:val="230"/>
        </w:trPr>
        <w:tc>
          <w:tcPr>
            <w:tcW w:w="59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2,742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1,949</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8,340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6,023</w:t>
            </w:r>
          </w:p>
        </w:tc>
      </w:tr>
      <w:tr>
        <w:trPr>
          <w:trHeight w:val="229"/>
        </w:trPr>
        <w:tc>
          <w:tcPr>
            <w:tcW w:w="5900" w:type="dxa"/>
            <w:vAlign w:val="bottom"/>
          </w:tcPr>
          <w:p>
            <w:pPr>
              <w:spacing w:after="0"/>
              <w:rPr>
                <w:sz w:val="20"/>
                <w:szCs w:val="20"/>
                <w:color w:val="auto"/>
              </w:rPr>
            </w:pPr>
            <w:r>
              <w:rPr>
                <w:rFonts w:ascii="Arial" w:cs="Arial" w:eastAsia="Arial" w:hAnsi="Arial"/>
                <w:sz w:val="18"/>
                <w:szCs w:val="18"/>
                <w:color w:val="auto"/>
              </w:rPr>
              <w:t>Selling and marketing</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2,734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2,102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7,839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6,258</w:t>
            </w:r>
          </w:p>
        </w:tc>
      </w:tr>
      <w:tr>
        <w:trPr>
          <w:trHeight w:val="235"/>
        </w:trPr>
        <w:tc>
          <w:tcPr>
            <w:tcW w:w="59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7,488</w:t>
            </w: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6,166</w:t>
            </w: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21,573</w:t>
            </w:r>
          </w:p>
        </w:tc>
        <w:tc>
          <w:tcPr>
            <w:tcW w:w="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18,751</w:t>
            </w:r>
          </w:p>
        </w:tc>
      </w:tr>
      <w:tr>
        <w:trPr>
          <w:trHeight w:val="223"/>
        </w:trPr>
        <w:tc>
          <w:tcPr>
            <w:tcW w:w="5900" w:type="dxa"/>
            <w:vAlign w:val="bottom"/>
          </w:tcPr>
          <w:p>
            <w:pPr>
              <w:ind w:left="100"/>
              <w:spacing w:after="0"/>
              <w:rPr>
                <w:sz w:val="20"/>
                <w:szCs w:val="20"/>
                <w:color w:val="auto"/>
              </w:rPr>
            </w:pPr>
            <w:r>
              <w:rPr>
                <w:rFonts w:ascii="Arial" w:cs="Arial" w:eastAsia="Arial" w:hAnsi="Arial"/>
                <w:sz w:val="18"/>
                <w:szCs w:val="18"/>
                <w:color w:val="auto"/>
              </w:rPr>
              <w:t>Total stock-based compensation expense</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13,959</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10,757</w:t>
            </w:r>
          </w:p>
        </w:tc>
        <w:tc>
          <w:tcPr>
            <w:tcW w:w="80" w:type="dxa"/>
            <w:vAlign w:val="bottom"/>
          </w:tcPr>
          <w:p>
            <w:pPr>
              <w:spacing w:after="0"/>
              <w:rPr>
                <w:sz w:val="19"/>
                <w:szCs w:val="19"/>
                <w:color w:val="auto"/>
              </w:rPr>
            </w:pP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40,806</w:t>
            </w:r>
          </w:p>
        </w:tc>
        <w:tc>
          <w:tcPr>
            <w:tcW w:w="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32,700</w:t>
            </w:r>
          </w:p>
        </w:tc>
      </w:tr>
      <w:tr>
        <w:trPr>
          <w:trHeight w:val="20"/>
        </w:trPr>
        <w:tc>
          <w:tcPr>
            <w:tcW w:w="5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100"/>
          </w:cols>
          <w:pgMar w:left="460" w:top="905" w:right="339" w:bottom="1440" w:gutter="0" w:footer="0" w:header="0"/>
        </w:sectPr>
      </w:pPr>
    </w:p>
    <w:bookmarkStart w:id="9" w:name="page10"/>
    <w:bookmarkEnd w:id="9"/>
    <w:p>
      <w:pPr>
        <w:jc w:val="center"/>
        <w:ind w:right="20"/>
        <w:spacing w:after="0"/>
        <w:rPr>
          <w:sz w:val="20"/>
          <w:szCs w:val="20"/>
          <w:color w:val="auto"/>
        </w:rPr>
      </w:pPr>
      <w:r>
        <w:rPr>
          <w:rFonts w:ascii="Arial" w:cs="Arial" w:eastAsia="Arial" w:hAnsi="Arial"/>
          <w:sz w:val="18"/>
          <w:szCs w:val="18"/>
          <w:color w:val="auto"/>
        </w:rPr>
        <w:t>VERACYTE, INC.</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CONDENSED CONSOLIDATED STATEMENT OF COMPREHENSIVE INCOME</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80" w:type="dxa"/>
            <w:vAlign w:val="bottom"/>
            <w:gridSpan w:val="5"/>
          </w:tcPr>
          <w:p>
            <w:pPr>
              <w:jc w:val="center"/>
              <w:ind w:right="340"/>
              <w:spacing w:after="0"/>
              <w:rPr>
                <w:sz w:val="20"/>
                <w:szCs w:val="20"/>
                <w:color w:val="auto"/>
              </w:rPr>
            </w:pPr>
            <w:r>
              <w:rPr>
                <w:rFonts w:ascii="Arial" w:cs="Arial" w:eastAsia="Arial" w:hAnsi="Arial"/>
                <w:sz w:val="18"/>
                <w:szCs w:val="18"/>
                <w:color w:val="auto"/>
                <w:w w:val="99"/>
              </w:rPr>
              <w:t>Three Months Ended</w:t>
            </w:r>
          </w:p>
        </w:tc>
        <w:tc>
          <w:tcPr>
            <w:tcW w:w="2560" w:type="dxa"/>
            <w:vAlign w:val="bottom"/>
            <w:gridSpan w:val="5"/>
          </w:tcPr>
          <w:p>
            <w:pPr>
              <w:ind w:left="20"/>
              <w:spacing w:after="0"/>
              <w:rPr>
                <w:sz w:val="20"/>
                <w:szCs w:val="20"/>
                <w:color w:val="auto"/>
              </w:rPr>
            </w:pPr>
            <w:r>
              <w:rPr>
                <w:rFonts w:ascii="Arial" w:cs="Arial" w:eastAsia="Arial" w:hAnsi="Arial"/>
                <w:sz w:val="18"/>
                <w:szCs w:val="18"/>
                <w:color w:val="auto"/>
              </w:rPr>
              <w:t>Nine Months Ended September</w:t>
            </w:r>
          </w:p>
        </w:tc>
      </w:tr>
      <w:tr>
        <w:trPr>
          <w:trHeight w:val="250"/>
        </w:trPr>
        <w:tc>
          <w:tcPr>
            <w:tcW w:w="60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380" w:type="dxa"/>
            <w:vAlign w:val="bottom"/>
            <w:gridSpan w:val="5"/>
          </w:tcPr>
          <w:p>
            <w:pPr>
              <w:jc w:val="center"/>
              <w:ind w:right="360"/>
              <w:spacing w:after="0"/>
              <w:rPr>
                <w:sz w:val="20"/>
                <w:szCs w:val="20"/>
                <w:color w:val="auto"/>
              </w:rPr>
            </w:pPr>
            <w:r>
              <w:rPr>
                <w:rFonts w:ascii="Arial" w:cs="Arial" w:eastAsia="Arial" w:hAnsi="Arial"/>
                <w:sz w:val="18"/>
                <w:szCs w:val="18"/>
                <w:color w:val="auto"/>
                <w:w w:val="99"/>
              </w:rPr>
              <w:t>September 30,</w:t>
            </w:r>
          </w:p>
        </w:tc>
        <w:tc>
          <w:tcPr>
            <w:tcW w:w="260" w:type="dxa"/>
            <w:vAlign w:val="bottom"/>
          </w:tcPr>
          <w:p>
            <w:pPr>
              <w:spacing w:after="0"/>
              <w:rPr>
                <w:sz w:val="21"/>
                <w:szCs w:val="21"/>
                <w:color w:val="auto"/>
              </w:rPr>
            </w:pPr>
          </w:p>
        </w:tc>
        <w:tc>
          <w:tcPr>
            <w:tcW w:w="1320" w:type="dxa"/>
            <w:vAlign w:val="bottom"/>
            <w:gridSpan w:val="3"/>
          </w:tcPr>
          <w:p>
            <w:pPr>
              <w:jc w:val="right"/>
              <w:ind w:right="90"/>
              <w:spacing w:after="0"/>
              <w:rPr>
                <w:sz w:val="20"/>
                <w:szCs w:val="20"/>
                <w:color w:val="auto"/>
              </w:rPr>
            </w:pPr>
            <w:r>
              <w:rPr>
                <w:rFonts w:ascii="Arial" w:cs="Arial" w:eastAsia="Arial" w:hAnsi="Arial"/>
                <w:sz w:val="18"/>
                <w:szCs w:val="18"/>
                <w:color w:val="auto"/>
              </w:rPr>
              <w:t>30,</w:t>
            </w:r>
          </w:p>
        </w:tc>
        <w:tc>
          <w:tcPr>
            <w:tcW w:w="980" w:type="dxa"/>
            <w:vAlign w:val="bottom"/>
          </w:tcPr>
          <w:p>
            <w:pPr>
              <w:spacing w:after="0"/>
              <w:rPr>
                <w:sz w:val="21"/>
                <w:szCs w:val="21"/>
                <w:color w:val="auto"/>
              </w:rPr>
            </w:pPr>
          </w:p>
        </w:tc>
      </w:tr>
      <w:tr>
        <w:trPr>
          <w:trHeight w:val="230"/>
        </w:trPr>
        <w:tc>
          <w:tcPr>
            <w:tcW w:w="600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2026</w:t>
            </w:r>
          </w:p>
        </w:tc>
        <w:tc>
          <w:tcPr>
            <w:tcW w:w="8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2025</w:t>
            </w: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2026</w:t>
            </w:r>
          </w:p>
        </w:tc>
        <w:tc>
          <w:tcPr>
            <w:tcW w:w="8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2025</w:t>
            </w:r>
          </w:p>
        </w:tc>
      </w:tr>
      <w:tr>
        <w:trPr>
          <w:trHeight w:val="218"/>
        </w:trPr>
        <w:tc>
          <w:tcPr>
            <w:tcW w:w="6000" w:type="dxa"/>
            <w:vAlign w:val="bottom"/>
          </w:tcPr>
          <w:p>
            <w:pPr>
              <w:spacing w:after="0"/>
              <w:rPr>
                <w:sz w:val="20"/>
                <w:szCs w:val="20"/>
                <w:color w:val="auto"/>
              </w:rPr>
            </w:pPr>
            <w:r>
              <w:rPr>
                <w:rFonts w:ascii="Arial" w:cs="Arial" w:eastAsia="Arial" w:hAnsi="Arial"/>
                <w:sz w:val="18"/>
                <w:szCs w:val="18"/>
                <w:color w:val="auto"/>
              </w:rPr>
              <w:t>Net income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31,503</w:t>
            </w:r>
          </w:p>
        </w:tc>
        <w:tc>
          <w:tcPr>
            <w:tcW w:w="80" w:type="dxa"/>
            <w:vAlign w:val="bottom"/>
          </w:tcPr>
          <w:p>
            <w:pPr>
              <w:spacing w:after="0"/>
              <w:rPr>
                <w:sz w:val="18"/>
                <w:szCs w:val="18"/>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19,137</w:t>
            </w:r>
          </w:p>
        </w:tc>
        <w:tc>
          <w:tcPr>
            <w:tcW w:w="80" w:type="dxa"/>
            <w:vAlign w:val="bottom"/>
          </w:tcPr>
          <w:p>
            <w:pPr>
              <w:spacing w:after="0"/>
              <w:rPr>
                <w:sz w:val="18"/>
                <w:szCs w:val="18"/>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85,700</w:t>
            </w:r>
          </w:p>
        </w:tc>
        <w:tc>
          <w:tcPr>
            <w:tcW w:w="80" w:type="dxa"/>
            <w:vAlign w:val="bottom"/>
          </w:tcPr>
          <w:p>
            <w:pPr>
              <w:spacing w:after="0"/>
              <w:rPr>
                <w:sz w:val="18"/>
                <w:szCs w:val="18"/>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25,204</w:t>
            </w:r>
          </w:p>
        </w:tc>
      </w:tr>
      <w:tr>
        <w:trPr>
          <w:trHeight w:val="229"/>
        </w:trPr>
        <w:tc>
          <w:tcPr>
            <w:tcW w:w="6000" w:type="dxa"/>
            <w:vAlign w:val="bottom"/>
          </w:tcPr>
          <w:p>
            <w:pPr>
              <w:ind w:left="120"/>
              <w:spacing w:after="0"/>
              <w:rPr>
                <w:sz w:val="20"/>
                <w:szCs w:val="20"/>
                <w:color w:val="auto"/>
              </w:rPr>
            </w:pPr>
            <w:r>
              <w:rPr>
                <w:rFonts w:ascii="Arial" w:cs="Arial" w:eastAsia="Arial" w:hAnsi="Arial"/>
                <w:sz w:val="18"/>
                <w:szCs w:val="18"/>
                <w:color w:val="auto"/>
              </w:rPr>
              <w:t>Other comprehensive income (loss):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9"/>
        </w:trPr>
        <w:tc>
          <w:tcPr>
            <w:tcW w:w="6000" w:type="dxa"/>
            <w:vAlign w:val="bottom"/>
          </w:tcPr>
          <w:p>
            <w:pPr>
              <w:ind w:left="240"/>
              <w:spacing w:after="0"/>
              <w:rPr>
                <w:sz w:val="20"/>
                <w:szCs w:val="20"/>
                <w:color w:val="auto"/>
              </w:rPr>
            </w:pPr>
            <w:r>
              <w:rPr>
                <w:rFonts w:ascii="Arial" w:cs="Arial" w:eastAsia="Arial" w:hAnsi="Arial"/>
                <w:sz w:val="18"/>
                <w:szCs w:val="18"/>
                <w:color w:val="auto"/>
              </w:rPr>
              <w:t>Change in currency translation adjustments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(4,556)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19,575</w:t>
            </w:r>
          </w:p>
        </w:tc>
      </w:tr>
      <w:tr>
        <w:trPr>
          <w:trHeight w:val="235"/>
        </w:trPr>
        <w:tc>
          <w:tcPr>
            <w:tcW w:w="6000" w:type="dxa"/>
            <w:vAlign w:val="bottom"/>
          </w:tcPr>
          <w:p>
            <w:pPr>
              <w:ind w:left="220"/>
              <w:spacing w:after="0"/>
              <w:rPr>
                <w:sz w:val="20"/>
                <w:szCs w:val="20"/>
                <w:color w:val="auto"/>
              </w:rPr>
            </w:pPr>
            <w:r>
              <w:rPr>
                <w:rFonts w:ascii="Arial" w:cs="Arial" w:eastAsia="Arial" w:hAnsi="Arial"/>
                <w:sz w:val="18"/>
                <w:szCs w:val="18"/>
                <w:color w:val="auto"/>
              </w:rPr>
              <w:t>Release of accumulated translation adjustment</w:t>
            </w:r>
          </w:p>
        </w:tc>
        <w:tc>
          <w:tcPr>
            <w:tcW w:w="28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8,295</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8,295</w:t>
            </w:r>
          </w:p>
        </w:tc>
      </w:tr>
      <w:tr>
        <w:trPr>
          <w:trHeight w:val="223"/>
        </w:trPr>
        <w:tc>
          <w:tcPr>
            <w:tcW w:w="6000" w:type="dxa"/>
            <w:vAlign w:val="bottom"/>
          </w:tcPr>
          <w:p>
            <w:pPr>
              <w:ind w:left="120"/>
              <w:spacing w:after="0"/>
              <w:rPr>
                <w:sz w:val="20"/>
                <w:szCs w:val="20"/>
                <w:color w:val="auto"/>
              </w:rPr>
            </w:pPr>
            <w:r>
              <w:rPr>
                <w:rFonts w:ascii="Arial" w:cs="Arial" w:eastAsia="Arial" w:hAnsi="Arial"/>
                <w:sz w:val="18"/>
                <w:szCs w:val="18"/>
                <w:color w:val="auto"/>
              </w:rPr>
              <w:t>Other comprehensive income (loss)</w:t>
            </w: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3,739</w:t>
            </w: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27,870</w:t>
            </w:r>
          </w:p>
        </w:tc>
      </w:tr>
      <w:tr>
        <w:trPr>
          <w:trHeight w:val="223"/>
        </w:trPr>
        <w:tc>
          <w:tcPr>
            <w:tcW w:w="6000" w:type="dxa"/>
            <w:vAlign w:val="bottom"/>
          </w:tcPr>
          <w:p>
            <w:pPr>
              <w:spacing w:after="0"/>
              <w:rPr>
                <w:sz w:val="20"/>
                <w:szCs w:val="20"/>
                <w:color w:val="auto"/>
              </w:rPr>
            </w:pPr>
            <w:r>
              <w:rPr>
                <w:rFonts w:ascii="Arial" w:cs="Arial" w:eastAsia="Arial" w:hAnsi="Arial"/>
                <w:sz w:val="18"/>
                <w:szCs w:val="18"/>
                <w:color w:val="auto"/>
              </w:rPr>
              <w:t>Net comprehensive income</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31,381</w:t>
            </w: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22,876</w:t>
            </w:r>
          </w:p>
        </w:tc>
        <w:tc>
          <w:tcPr>
            <w:tcW w:w="80" w:type="dxa"/>
            <w:vAlign w:val="bottom"/>
          </w:tcPr>
          <w:p>
            <w:pPr>
              <w:spacing w:after="0"/>
              <w:rPr>
                <w:sz w:val="19"/>
                <w:szCs w:val="19"/>
                <w:color w:val="auto"/>
              </w:rPr>
            </w:pP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85,851</w:t>
            </w: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53,074</w:t>
            </w:r>
          </w:p>
        </w:tc>
      </w:tr>
      <w:tr>
        <w:trPr>
          <w:trHeight w:val="20"/>
        </w:trPr>
        <w:tc>
          <w:tcPr>
            <w:tcW w:w="60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20"/>
          </w:cols>
          <w:pgMar w:left="340" w:top="931" w:right="339" w:bottom="1440" w:gutter="0" w:footer="0" w:header="0"/>
        </w:sectPr>
      </w:pPr>
    </w:p>
    <w:bookmarkStart w:id="10" w:name="page11"/>
    <w:bookmarkEnd w:id="10"/>
    <w:p>
      <w:pPr>
        <w:jc w:val="center"/>
        <w:ind w:right="20"/>
        <w:spacing w:after="0"/>
        <w:rPr>
          <w:sz w:val="20"/>
          <w:szCs w:val="20"/>
          <w:color w:val="auto"/>
        </w:rPr>
      </w:pPr>
      <w:r>
        <w:rPr>
          <w:rFonts w:ascii="Arial" w:cs="Arial" w:eastAsia="Arial" w:hAnsi="Arial"/>
          <w:sz w:val="18"/>
          <w:szCs w:val="18"/>
          <w:color w:val="auto"/>
        </w:rPr>
        <w:t>VERACYTE, INC.</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CONDENSED CONSOLIDATED BALANCE SHEETS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20" w:type="dxa"/>
            <w:vAlign w:val="bottom"/>
            <w:gridSpan w:val="2"/>
          </w:tcPr>
          <w:p>
            <w:pPr>
              <w:jc w:val="center"/>
              <w:ind w:right="420"/>
              <w:spacing w:after="0"/>
              <w:rPr>
                <w:sz w:val="20"/>
                <w:szCs w:val="20"/>
                <w:color w:val="auto"/>
              </w:rPr>
            </w:pPr>
            <w:r>
              <w:rPr>
                <w:rFonts w:ascii="Arial" w:cs="Arial" w:eastAsia="Arial" w:hAnsi="Arial"/>
                <w:sz w:val="18"/>
                <w:szCs w:val="18"/>
                <w:color w:val="auto"/>
                <w:w w:val="99"/>
              </w:rPr>
              <w:t>September 30,</w:t>
            </w:r>
          </w:p>
        </w:tc>
        <w:tc>
          <w:tcPr>
            <w:tcW w:w="320" w:type="dxa"/>
            <w:vAlign w:val="bottom"/>
          </w:tcPr>
          <w:p>
            <w:pPr>
              <w:spacing w:after="0"/>
              <w:rPr>
                <w:sz w:val="19"/>
                <w:szCs w:val="19"/>
                <w:color w:val="auto"/>
              </w:rPr>
            </w:pPr>
          </w:p>
        </w:tc>
        <w:tc>
          <w:tcPr>
            <w:tcW w:w="1800" w:type="dxa"/>
            <w:vAlign w:val="bottom"/>
          </w:tcPr>
          <w:p>
            <w:pPr>
              <w:jc w:val="center"/>
              <w:ind w:right="21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42"/>
        </w:trPr>
        <w:tc>
          <w:tcPr>
            <w:tcW w:w="66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color w:val="auto"/>
                <w:w w:val="99"/>
              </w:rPr>
              <w:t>2026</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color w:val="auto"/>
                <w:w w:val="99"/>
              </w:rPr>
              <w:t>2025</w:t>
            </w:r>
          </w:p>
        </w:tc>
        <w:tc>
          <w:tcPr>
            <w:tcW w:w="0" w:type="dxa"/>
            <w:vAlign w:val="bottom"/>
          </w:tcPr>
          <w:p>
            <w:pPr>
              <w:spacing w:after="0"/>
              <w:rPr>
                <w:sz w:val="1"/>
                <w:szCs w:val="1"/>
                <w:color w:val="auto"/>
              </w:rPr>
            </w:pPr>
          </w:p>
        </w:tc>
      </w:tr>
      <w:tr>
        <w:trPr>
          <w:trHeight w:val="239"/>
        </w:trPr>
        <w:tc>
          <w:tcPr>
            <w:tcW w:w="6600" w:type="dxa"/>
            <w:vAlign w:val="bottom"/>
            <w:vMerge w:val="restart"/>
          </w:tcPr>
          <w:p>
            <w:pPr>
              <w:spacing w:after="0"/>
              <w:rPr>
                <w:sz w:val="20"/>
                <w:szCs w:val="20"/>
                <w:color w:val="auto"/>
              </w:rPr>
            </w:pPr>
            <w:r>
              <w:rPr>
                <w:rFonts w:ascii="Arial" w:cs="Arial" w:eastAsia="Arial" w:hAnsi="Arial"/>
                <w:sz w:val="18"/>
                <w:szCs w:val="18"/>
                <w:color w:val="auto"/>
              </w:rPr>
              <w:t>Assets</w:t>
            </w:r>
          </w:p>
        </w:tc>
        <w:tc>
          <w:tcPr>
            <w:tcW w:w="300" w:type="dxa"/>
            <w:vAlign w:val="bottom"/>
          </w:tcPr>
          <w:p>
            <w:pPr>
              <w:spacing w:after="0"/>
              <w:rPr>
                <w:sz w:val="20"/>
                <w:szCs w:val="20"/>
                <w:color w:val="auto"/>
              </w:rPr>
            </w:pPr>
          </w:p>
        </w:tc>
        <w:tc>
          <w:tcPr>
            <w:tcW w:w="1820" w:type="dxa"/>
            <w:vAlign w:val="bottom"/>
          </w:tcPr>
          <w:p>
            <w:pPr>
              <w:jc w:val="center"/>
              <w:ind w:right="230"/>
              <w:spacing w:after="0"/>
              <w:rPr>
                <w:sz w:val="20"/>
                <w:szCs w:val="20"/>
                <w:color w:val="auto"/>
              </w:rPr>
            </w:pPr>
            <w:r>
              <w:rPr>
                <w:rFonts w:ascii="Arial" w:cs="Arial" w:eastAsia="Arial" w:hAnsi="Arial"/>
                <w:sz w:val="18"/>
                <w:szCs w:val="18"/>
                <w:color w:val="auto"/>
                <w:w w:val="99"/>
              </w:rPr>
              <w:t>(Unaudited)</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0" w:type="dxa"/>
            <w:vAlign w:val="bottom"/>
          </w:tcPr>
          <w:p>
            <w:pPr>
              <w:jc w:val="center"/>
              <w:ind w:right="210"/>
              <w:spacing w:after="0"/>
              <w:rPr>
                <w:sz w:val="20"/>
                <w:szCs w:val="20"/>
                <w:color w:val="auto"/>
              </w:rPr>
            </w:pPr>
            <w:r>
              <w:rPr>
                <w:rFonts w:ascii="Arial" w:cs="Arial" w:eastAsia="Arial" w:hAnsi="Arial"/>
                <w:sz w:val="18"/>
                <w:szCs w:val="18"/>
                <w:color w:val="auto"/>
                <w:w w:val="99"/>
              </w:rPr>
              <w:t>(See Note 1)</w:t>
            </w:r>
          </w:p>
        </w:tc>
        <w:tc>
          <w:tcPr>
            <w:tcW w:w="0" w:type="dxa"/>
            <w:vAlign w:val="bottom"/>
          </w:tcPr>
          <w:p>
            <w:pPr>
              <w:spacing w:after="0"/>
              <w:rPr>
                <w:sz w:val="1"/>
                <w:szCs w:val="1"/>
                <w:color w:val="auto"/>
              </w:rPr>
            </w:pPr>
          </w:p>
        </w:tc>
      </w:tr>
      <w:tr>
        <w:trPr>
          <w:trHeight w:val="215"/>
        </w:trPr>
        <w:tc>
          <w:tcPr>
            <w:tcW w:w="66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00" w:type="dxa"/>
            <w:vAlign w:val="bottom"/>
          </w:tcPr>
          <w:p>
            <w:pPr>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tcPr>
          <w:p>
            <w:pPr>
              <w:ind w:left="220"/>
              <w:spacing w:after="0"/>
              <w:rPr>
                <w:sz w:val="20"/>
                <w:szCs w:val="20"/>
                <w:color w:val="auto"/>
              </w:rPr>
            </w:pPr>
            <w:r>
              <w:rPr>
                <w:rFonts w:ascii="Arial" w:cs="Arial" w:eastAsia="Arial" w:hAnsi="Arial"/>
                <w:sz w:val="18"/>
                <w:szCs w:val="18"/>
                <w:color w:val="auto"/>
              </w:rPr>
              <w:t>Cash and cash equivalents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199,828</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362,578</w:t>
            </w:r>
          </w:p>
        </w:tc>
        <w:tc>
          <w:tcPr>
            <w:tcW w:w="0" w:type="dxa"/>
            <w:vAlign w:val="bottom"/>
          </w:tcPr>
          <w:p>
            <w:pPr>
              <w:spacing w:after="0"/>
              <w:rPr>
                <w:sz w:val="1"/>
                <w:szCs w:val="1"/>
                <w:color w:val="auto"/>
              </w:rPr>
            </w:pPr>
          </w:p>
        </w:tc>
      </w:tr>
      <w:tr>
        <w:trPr>
          <w:trHeight w:val="229"/>
        </w:trPr>
        <w:tc>
          <w:tcPr>
            <w:tcW w:w="6600" w:type="dxa"/>
            <w:vAlign w:val="bottom"/>
          </w:tcPr>
          <w:p>
            <w:pPr>
              <w:ind w:left="220"/>
              <w:spacing w:after="0"/>
              <w:rPr>
                <w:sz w:val="20"/>
                <w:szCs w:val="20"/>
                <w:color w:val="auto"/>
              </w:rPr>
            </w:pPr>
            <w:r>
              <w:rPr>
                <w:rFonts w:ascii="Arial" w:cs="Arial" w:eastAsia="Arial" w:hAnsi="Arial"/>
                <w:sz w:val="18"/>
                <w:szCs w:val="18"/>
                <w:color w:val="auto"/>
              </w:rPr>
              <w:t>Short-term investments</w:t>
            </w:r>
          </w:p>
        </w:tc>
        <w:tc>
          <w:tcPr>
            <w:tcW w:w="3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170,704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50,311</w:t>
            </w:r>
          </w:p>
        </w:tc>
        <w:tc>
          <w:tcPr>
            <w:tcW w:w="0" w:type="dxa"/>
            <w:vAlign w:val="bottom"/>
          </w:tcPr>
          <w:p>
            <w:pPr>
              <w:spacing w:after="0"/>
              <w:rPr>
                <w:sz w:val="1"/>
                <w:szCs w:val="1"/>
                <w:color w:val="auto"/>
              </w:rPr>
            </w:pPr>
          </w:p>
        </w:tc>
      </w:tr>
      <w:tr>
        <w:trPr>
          <w:trHeight w:val="230"/>
        </w:trPr>
        <w:tc>
          <w:tcPr>
            <w:tcW w:w="6600" w:type="dxa"/>
            <w:vAlign w:val="bottom"/>
          </w:tcPr>
          <w:p>
            <w:pPr>
              <w:ind w:left="220"/>
              <w:spacing w:after="0"/>
              <w:rPr>
                <w:sz w:val="20"/>
                <w:szCs w:val="20"/>
                <w:color w:val="auto"/>
              </w:rPr>
            </w:pPr>
            <w:r>
              <w:rPr>
                <w:rFonts w:ascii="Arial" w:cs="Arial" w:eastAsia="Arial" w:hAnsi="Arial"/>
                <w:sz w:val="18"/>
                <w:szCs w:val="18"/>
                <w:color w:val="auto"/>
              </w:rPr>
              <w:t>Accounts receivable</w:t>
            </w:r>
          </w:p>
        </w:tc>
        <w:tc>
          <w:tcPr>
            <w:tcW w:w="3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56,788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44,660</w:t>
            </w:r>
          </w:p>
        </w:tc>
        <w:tc>
          <w:tcPr>
            <w:tcW w:w="0" w:type="dxa"/>
            <w:vAlign w:val="bottom"/>
          </w:tcPr>
          <w:p>
            <w:pPr>
              <w:spacing w:after="0"/>
              <w:rPr>
                <w:sz w:val="1"/>
                <w:szCs w:val="1"/>
                <w:color w:val="auto"/>
              </w:rPr>
            </w:pPr>
          </w:p>
        </w:tc>
      </w:tr>
      <w:tr>
        <w:trPr>
          <w:trHeight w:val="229"/>
        </w:trPr>
        <w:tc>
          <w:tcPr>
            <w:tcW w:w="6600" w:type="dxa"/>
            <w:vAlign w:val="bottom"/>
          </w:tcPr>
          <w:p>
            <w:pPr>
              <w:ind w:left="220"/>
              <w:spacing w:after="0"/>
              <w:rPr>
                <w:sz w:val="20"/>
                <w:szCs w:val="20"/>
                <w:color w:val="auto"/>
              </w:rPr>
            </w:pPr>
            <w:r>
              <w:rPr>
                <w:rFonts w:ascii="Arial" w:cs="Arial" w:eastAsia="Arial" w:hAnsi="Arial"/>
                <w:sz w:val="18"/>
                <w:szCs w:val="18"/>
                <w:color w:val="auto"/>
              </w:rPr>
              <w:t>Supplies</w:t>
            </w:r>
          </w:p>
        </w:tc>
        <w:tc>
          <w:tcPr>
            <w:tcW w:w="3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25,818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20,546</w:t>
            </w:r>
          </w:p>
        </w:tc>
        <w:tc>
          <w:tcPr>
            <w:tcW w:w="0" w:type="dxa"/>
            <w:vAlign w:val="bottom"/>
          </w:tcPr>
          <w:p>
            <w:pPr>
              <w:spacing w:after="0"/>
              <w:rPr>
                <w:sz w:val="1"/>
                <w:szCs w:val="1"/>
                <w:color w:val="auto"/>
              </w:rPr>
            </w:pPr>
          </w:p>
        </w:tc>
      </w:tr>
      <w:tr>
        <w:trPr>
          <w:trHeight w:val="235"/>
        </w:trPr>
        <w:tc>
          <w:tcPr>
            <w:tcW w:w="6600" w:type="dxa"/>
            <w:vAlign w:val="bottom"/>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14,740</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10,281</w:t>
            </w:r>
          </w:p>
        </w:tc>
        <w:tc>
          <w:tcPr>
            <w:tcW w:w="0" w:type="dxa"/>
            <w:vAlign w:val="bottom"/>
          </w:tcPr>
          <w:p>
            <w:pPr>
              <w:spacing w:after="0"/>
              <w:rPr>
                <w:sz w:val="1"/>
                <w:szCs w:val="1"/>
                <w:color w:val="auto"/>
              </w:rPr>
            </w:pPr>
          </w:p>
        </w:tc>
      </w:tr>
      <w:tr>
        <w:trPr>
          <w:trHeight w:val="218"/>
        </w:trPr>
        <w:tc>
          <w:tcPr>
            <w:tcW w:w="6600" w:type="dxa"/>
            <w:vAlign w:val="bottom"/>
          </w:tcPr>
          <w:p>
            <w:pPr>
              <w:ind w:left="320"/>
              <w:spacing w:after="0"/>
              <w:rPr>
                <w:sz w:val="20"/>
                <w:szCs w:val="20"/>
                <w:color w:val="auto"/>
              </w:rPr>
            </w:pPr>
            <w:r>
              <w:rPr>
                <w:rFonts w:ascii="Arial" w:cs="Arial" w:eastAsia="Arial" w:hAnsi="Arial"/>
                <w:sz w:val="18"/>
                <w:szCs w:val="18"/>
                <w:color w:val="auto"/>
              </w:rPr>
              <w:t>Total current assets</w:t>
            </w:r>
          </w:p>
        </w:tc>
        <w:tc>
          <w:tcPr>
            <w:tcW w:w="3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467,878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488,376</w:t>
            </w:r>
          </w:p>
        </w:tc>
        <w:tc>
          <w:tcPr>
            <w:tcW w:w="0" w:type="dxa"/>
            <w:vAlign w:val="bottom"/>
          </w:tcPr>
          <w:p>
            <w:pPr>
              <w:spacing w:after="0"/>
              <w:rPr>
                <w:sz w:val="1"/>
                <w:szCs w:val="1"/>
                <w:color w:val="auto"/>
              </w:rPr>
            </w:pPr>
          </w:p>
        </w:tc>
      </w:tr>
      <w:tr>
        <w:trPr>
          <w:trHeight w:val="229"/>
        </w:trPr>
        <w:tc>
          <w:tcPr>
            <w:tcW w:w="660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3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24,870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22,192</w:t>
            </w:r>
          </w:p>
        </w:tc>
        <w:tc>
          <w:tcPr>
            <w:tcW w:w="0" w:type="dxa"/>
            <w:vAlign w:val="bottom"/>
          </w:tcPr>
          <w:p>
            <w:pPr>
              <w:spacing w:after="0"/>
              <w:rPr>
                <w:sz w:val="1"/>
                <w:szCs w:val="1"/>
                <w:color w:val="auto"/>
              </w:rPr>
            </w:pPr>
          </w:p>
        </w:tc>
      </w:tr>
      <w:tr>
        <w:trPr>
          <w:trHeight w:val="230"/>
        </w:trPr>
        <w:tc>
          <w:tcPr>
            <w:tcW w:w="6600" w:type="dxa"/>
            <w:vAlign w:val="bottom"/>
          </w:tcPr>
          <w:p>
            <w:pPr>
              <w:spacing w:after="0"/>
              <w:rPr>
                <w:sz w:val="20"/>
                <w:szCs w:val="20"/>
                <w:color w:val="auto"/>
              </w:rPr>
            </w:pPr>
            <w:r>
              <w:rPr>
                <w:rFonts w:ascii="Arial" w:cs="Arial" w:eastAsia="Arial" w:hAnsi="Arial"/>
                <w:sz w:val="18"/>
                <w:szCs w:val="18"/>
                <w:color w:val="auto"/>
              </w:rPr>
              <w:t>Right-of-use assets, operating leases</w:t>
            </w:r>
          </w:p>
        </w:tc>
        <w:tc>
          <w:tcPr>
            <w:tcW w:w="3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35,097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36,599</w:t>
            </w:r>
          </w:p>
        </w:tc>
        <w:tc>
          <w:tcPr>
            <w:tcW w:w="0" w:type="dxa"/>
            <w:vAlign w:val="bottom"/>
          </w:tcPr>
          <w:p>
            <w:pPr>
              <w:spacing w:after="0"/>
              <w:rPr>
                <w:sz w:val="1"/>
                <w:szCs w:val="1"/>
                <w:color w:val="auto"/>
              </w:rPr>
            </w:pPr>
          </w:p>
        </w:tc>
      </w:tr>
      <w:tr>
        <w:trPr>
          <w:trHeight w:val="229"/>
        </w:trPr>
        <w:tc>
          <w:tcPr>
            <w:tcW w:w="6600" w:type="dxa"/>
            <w:vAlign w:val="bottom"/>
          </w:tcPr>
          <w:p>
            <w:pPr>
              <w:spacing w:after="0"/>
              <w:rPr>
                <w:sz w:val="20"/>
                <w:szCs w:val="20"/>
                <w:color w:val="auto"/>
              </w:rPr>
            </w:pPr>
            <w:r>
              <w:rPr>
                <w:rFonts w:ascii="Arial" w:cs="Arial" w:eastAsia="Arial" w:hAnsi="Arial"/>
                <w:sz w:val="18"/>
                <w:szCs w:val="18"/>
                <w:color w:val="auto"/>
              </w:rPr>
              <w:t>Intangible assets, net</w:t>
            </w:r>
          </w:p>
        </w:tc>
        <w:tc>
          <w:tcPr>
            <w:tcW w:w="3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184,883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89,148</w:t>
            </w:r>
          </w:p>
        </w:tc>
        <w:tc>
          <w:tcPr>
            <w:tcW w:w="0" w:type="dxa"/>
            <w:vAlign w:val="bottom"/>
          </w:tcPr>
          <w:p>
            <w:pPr>
              <w:spacing w:after="0"/>
              <w:rPr>
                <w:sz w:val="1"/>
                <w:szCs w:val="1"/>
                <w:color w:val="auto"/>
              </w:rPr>
            </w:pPr>
          </w:p>
        </w:tc>
      </w:tr>
      <w:tr>
        <w:trPr>
          <w:trHeight w:val="229"/>
        </w:trPr>
        <w:tc>
          <w:tcPr>
            <w:tcW w:w="6600" w:type="dxa"/>
            <w:vAlign w:val="bottom"/>
          </w:tcPr>
          <w:p>
            <w:pPr>
              <w:spacing w:after="0"/>
              <w:rPr>
                <w:sz w:val="20"/>
                <w:szCs w:val="20"/>
                <w:color w:val="auto"/>
              </w:rPr>
            </w:pPr>
            <w:r>
              <w:rPr>
                <w:rFonts w:ascii="Arial" w:cs="Arial" w:eastAsia="Arial" w:hAnsi="Arial"/>
                <w:sz w:val="18"/>
                <w:szCs w:val="18"/>
                <w:color w:val="auto"/>
              </w:rPr>
              <w:t>Goodwill</w:t>
            </w:r>
          </w:p>
        </w:tc>
        <w:tc>
          <w:tcPr>
            <w:tcW w:w="3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855,575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767,154</w:t>
            </w:r>
          </w:p>
        </w:tc>
        <w:tc>
          <w:tcPr>
            <w:tcW w:w="0" w:type="dxa"/>
            <w:vAlign w:val="bottom"/>
          </w:tcPr>
          <w:p>
            <w:pPr>
              <w:spacing w:after="0"/>
              <w:rPr>
                <w:sz w:val="1"/>
                <w:szCs w:val="1"/>
                <w:color w:val="auto"/>
              </w:rPr>
            </w:pPr>
          </w:p>
        </w:tc>
      </w:tr>
      <w:tr>
        <w:trPr>
          <w:trHeight w:val="230"/>
        </w:trPr>
        <w:tc>
          <w:tcPr>
            <w:tcW w:w="6600" w:type="dxa"/>
            <w:vAlign w:val="bottom"/>
          </w:tcPr>
          <w:p>
            <w:pPr>
              <w:spacing w:after="0"/>
              <w:rPr>
                <w:sz w:val="20"/>
                <w:szCs w:val="20"/>
                <w:color w:val="auto"/>
              </w:rPr>
            </w:pPr>
            <w:r>
              <w:rPr>
                <w:rFonts w:ascii="Arial" w:cs="Arial" w:eastAsia="Arial" w:hAnsi="Arial"/>
                <w:sz w:val="18"/>
                <w:szCs w:val="18"/>
                <w:color w:val="auto"/>
              </w:rPr>
              <w:t>Restricted cash</w:t>
            </w:r>
          </w:p>
        </w:tc>
        <w:tc>
          <w:tcPr>
            <w:tcW w:w="3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1,646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1,648</w:t>
            </w:r>
          </w:p>
        </w:tc>
        <w:tc>
          <w:tcPr>
            <w:tcW w:w="0" w:type="dxa"/>
            <w:vAlign w:val="bottom"/>
          </w:tcPr>
          <w:p>
            <w:pPr>
              <w:spacing w:after="0"/>
              <w:rPr>
                <w:sz w:val="1"/>
                <w:szCs w:val="1"/>
                <w:color w:val="auto"/>
              </w:rPr>
            </w:pPr>
          </w:p>
        </w:tc>
      </w:tr>
      <w:tr>
        <w:trPr>
          <w:trHeight w:val="235"/>
        </w:trPr>
        <w:tc>
          <w:tcPr>
            <w:tcW w:w="6600" w:type="dxa"/>
            <w:vAlign w:val="bottom"/>
          </w:tcPr>
          <w:p>
            <w:pPr>
              <w:spacing w:after="0"/>
              <w:rPr>
                <w:sz w:val="20"/>
                <w:szCs w:val="20"/>
                <w:color w:val="auto"/>
              </w:rPr>
            </w:pPr>
            <w:r>
              <w:rPr>
                <w:rFonts w:ascii="Arial" w:cs="Arial" w:eastAsia="Arial" w:hAnsi="Arial"/>
                <w:sz w:val="18"/>
                <w:szCs w:val="18"/>
                <w:color w:val="auto"/>
              </w:rPr>
              <w:t>Other assets</w:t>
            </w:r>
          </w:p>
        </w:tc>
        <w:tc>
          <w:tcPr>
            <w:tcW w:w="3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3,307</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902</w:t>
            </w:r>
          </w:p>
        </w:tc>
        <w:tc>
          <w:tcPr>
            <w:tcW w:w="0" w:type="dxa"/>
            <w:vAlign w:val="bottom"/>
          </w:tcPr>
          <w:p>
            <w:pPr>
              <w:spacing w:after="0"/>
              <w:rPr>
                <w:sz w:val="1"/>
                <w:szCs w:val="1"/>
                <w:color w:val="auto"/>
              </w:rPr>
            </w:pPr>
          </w:p>
        </w:tc>
      </w:tr>
      <w:tr>
        <w:trPr>
          <w:trHeight w:val="223"/>
        </w:trPr>
        <w:tc>
          <w:tcPr>
            <w:tcW w:w="6600" w:type="dxa"/>
            <w:vAlign w:val="bottom"/>
          </w:tcPr>
          <w:p>
            <w:pPr>
              <w:ind w:left="320"/>
              <w:spacing w:after="0"/>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1,573,256</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1,406,019</w:t>
            </w:r>
          </w:p>
        </w:tc>
        <w:tc>
          <w:tcPr>
            <w:tcW w:w="0" w:type="dxa"/>
            <w:vAlign w:val="bottom"/>
          </w:tcPr>
          <w:p>
            <w:pPr>
              <w:spacing w:after="0"/>
              <w:rPr>
                <w:sz w:val="1"/>
                <w:szCs w:val="1"/>
                <w:color w:val="auto"/>
              </w:rPr>
            </w:pPr>
          </w:p>
        </w:tc>
      </w:tr>
      <w:tr>
        <w:trPr>
          <w:trHeight w:val="21"/>
        </w:trPr>
        <w:tc>
          <w:tcPr>
            <w:tcW w:w="6600" w:type="dxa"/>
            <w:vAlign w:val="bottom"/>
            <w:vMerge w:val="restart"/>
          </w:tcPr>
          <w:p>
            <w:pPr>
              <w:spacing w:after="0"/>
              <w:rPr>
                <w:sz w:val="20"/>
                <w:szCs w:val="20"/>
                <w:color w:val="auto"/>
              </w:rPr>
            </w:pPr>
            <w:r>
              <w:rPr>
                <w:rFonts w:ascii="Arial" w:cs="Arial" w:eastAsia="Arial" w:hAnsi="Arial"/>
                <w:sz w:val="18"/>
                <w:szCs w:val="18"/>
                <w:color w:val="auto"/>
              </w:rPr>
              <w:t>Liabilities and Stockholders’ Equity</w:t>
            </w:r>
          </w:p>
        </w:tc>
        <w:tc>
          <w:tcPr>
            <w:tcW w:w="3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60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600" w:type="dxa"/>
            <w:vAlign w:val="bottom"/>
          </w:tcPr>
          <w:p>
            <w:pPr>
              <w:spacing w:after="0"/>
              <w:rPr>
                <w:sz w:val="20"/>
                <w:szCs w:val="20"/>
                <w:color w:val="auto"/>
              </w:rPr>
            </w:pPr>
            <w:r>
              <w:rPr>
                <w:rFonts w:ascii="Arial" w:cs="Arial" w:eastAsia="Arial" w:hAnsi="Arial"/>
                <w:sz w:val="18"/>
                <w:szCs w:val="18"/>
                <w:color w:val="auto"/>
              </w:rPr>
              <w:t>Current liabilities:</w:t>
            </w:r>
          </w:p>
        </w:tc>
        <w:tc>
          <w:tcPr>
            <w:tcW w:w="3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tcPr>
          <w:p>
            <w:pPr>
              <w:ind w:left="220"/>
              <w:spacing w:after="0"/>
              <w:rPr>
                <w:sz w:val="20"/>
                <w:szCs w:val="20"/>
                <w:color w:val="auto"/>
              </w:rPr>
            </w:pPr>
            <w:r>
              <w:rPr>
                <w:rFonts w:ascii="Arial" w:cs="Arial" w:eastAsia="Arial" w:hAnsi="Arial"/>
                <w:sz w:val="18"/>
                <w:szCs w:val="18"/>
                <w:color w:val="auto"/>
              </w:rPr>
              <w:t>Accounts payable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9,710</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4,593</w:t>
            </w:r>
          </w:p>
        </w:tc>
        <w:tc>
          <w:tcPr>
            <w:tcW w:w="0" w:type="dxa"/>
            <w:vAlign w:val="bottom"/>
          </w:tcPr>
          <w:p>
            <w:pPr>
              <w:spacing w:after="0"/>
              <w:rPr>
                <w:sz w:val="1"/>
                <w:szCs w:val="1"/>
                <w:color w:val="auto"/>
              </w:rPr>
            </w:pPr>
          </w:p>
        </w:tc>
      </w:tr>
      <w:tr>
        <w:trPr>
          <w:trHeight w:val="230"/>
        </w:trPr>
        <w:tc>
          <w:tcPr>
            <w:tcW w:w="6600" w:type="dxa"/>
            <w:vAlign w:val="bottom"/>
          </w:tcPr>
          <w:p>
            <w:pPr>
              <w:ind w:left="220"/>
              <w:spacing w:after="0"/>
              <w:rPr>
                <w:sz w:val="20"/>
                <w:szCs w:val="20"/>
                <w:color w:val="auto"/>
              </w:rPr>
            </w:pPr>
            <w:r>
              <w:rPr>
                <w:rFonts w:ascii="Arial" w:cs="Arial" w:eastAsia="Arial" w:hAnsi="Arial"/>
                <w:sz w:val="18"/>
                <w:szCs w:val="18"/>
                <w:color w:val="auto"/>
              </w:rPr>
              <w:t>Accrued liabilities</w:t>
            </w:r>
          </w:p>
        </w:tc>
        <w:tc>
          <w:tcPr>
            <w:tcW w:w="3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60,087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48,801</w:t>
            </w:r>
          </w:p>
        </w:tc>
        <w:tc>
          <w:tcPr>
            <w:tcW w:w="0" w:type="dxa"/>
            <w:vAlign w:val="bottom"/>
          </w:tcPr>
          <w:p>
            <w:pPr>
              <w:spacing w:after="0"/>
              <w:rPr>
                <w:sz w:val="1"/>
                <w:szCs w:val="1"/>
                <w:color w:val="auto"/>
              </w:rPr>
            </w:pPr>
          </w:p>
        </w:tc>
      </w:tr>
      <w:tr>
        <w:trPr>
          <w:trHeight w:val="230"/>
        </w:trPr>
        <w:tc>
          <w:tcPr>
            <w:tcW w:w="6600" w:type="dxa"/>
            <w:vAlign w:val="bottom"/>
          </w:tcPr>
          <w:p>
            <w:pPr>
              <w:ind w:left="220"/>
              <w:spacing w:after="0"/>
              <w:rPr>
                <w:sz w:val="20"/>
                <w:szCs w:val="20"/>
                <w:color w:val="auto"/>
              </w:rPr>
            </w:pPr>
            <w:r>
              <w:rPr>
                <w:rFonts w:ascii="Arial" w:cs="Arial" w:eastAsia="Arial" w:hAnsi="Arial"/>
                <w:sz w:val="18"/>
                <w:szCs w:val="18"/>
                <w:color w:val="auto"/>
              </w:rPr>
              <w:t>Current portion of deferred revenue</w:t>
            </w:r>
          </w:p>
        </w:tc>
        <w:tc>
          <w:tcPr>
            <w:tcW w:w="3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864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1,160</w:t>
            </w:r>
          </w:p>
        </w:tc>
        <w:tc>
          <w:tcPr>
            <w:tcW w:w="0" w:type="dxa"/>
            <w:vAlign w:val="bottom"/>
          </w:tcPr>
          <w:p>
            <w:pPr>
              <w:spacing w:after="0"/>
              <w:rPr>
                <w:sz w:val="1"/>
                <w:szCs w:val="1"/>
                <w:color w:val="auto"/>
              </w:rPr>
            </w:pPr>
          </w:p>
        </w:tc>
      </w:tr>
      <w:tr>
        <w:trPr>
          <w:trHeight w:val="230"/>
        </w:trPr>
        <w:tc>
          <w:tcPr>
            <w:tcW w:w="6600" w:type="dxa"/>
            <w:vAlign w:val="bottom"/>
          </w:tcPr>
          <w:p>
            <w:pPr>
              <w:ind w:left="220"/>
              <w:spacing w:after="0"/>
              <w:rPr>
                <w:sz w:val="20"/>
                <w:szCs w:val="20"/>
                <w:color w:val="auto"/>
              </w:rPr>
            </w:pPr>
            <w:r>
              <w:rPr>
                <w:rFonts w:ascii="Arial" w:cs="Arial" w:eastAsia="Arial" w:hAnsi="Arial"/>
                <w:sz w:val="18"/>
                <w:szCs w:val="18"/>
                <w:color w:val="auto"/>
              </w:rPr>
              <w:t>Current portion of acquisition-related contingent consideration</w:t>
            </w:r>
          </w:p>
        </w:tc>
        <w:tc>
          <w:tcPr>
            <w:tcW w:w="3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6,734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1,332</w:t>
            </w:r>
          </w:p>
        </w:tc>
        <w:tc>
          <w:tcPr>
            <w:tcW w:w="0" w:type="dxa"/>
            <w:vAlign w:val="bottom"/>
          </w:tcPr>
          <w:p>
            <w:pPr>
              <w:spacing w:after="0"/>
              <w:rPr>
                <w:sz w:val="1"/>
                <w:szCs w:val="1"/>
                <w:color w:val="auto"/>
              </w:rPr>
            </w:pPr>
          </w:p>
        </w:tc>
      </w:tr>
      <w:tr>
        <w:trPr>
          <w:trHeight w:val="235"/>
        </w:trPr>
        <w:tc>
          <w:tcPr>
            <w:tcW w:w="6600" w:type="dxa"/>
            <w:vAlign w:val="bottom"/>
          </w:tcPr>
          <w:p>
            <w:pPr>
              <w:ind w:left="220"/>
              <w:spacing w:after="0"/>
              <w:rPr>
                <w:sz w:val="20"/>
                <w:szCs w:val="20"/>
                <w:color w:val="auto"/>
              </w:rPr>
            </w:pPr>
            <w:r>
              <w:rPr>
                <w:rFonts w:ascii="Arial" w:cs="Arial" w:eastAsia="Arial" w:hAnsi="Arial"/>
                <w:sz w:val="18"/>
                <w:szCs w:val="18"/>
                <w:color w:val="auto"/>
              </w:rPr>
              <w:t>Current portion of operating lease liabilities</w:t>
            </w:r>
          </w:p>
        </w:tc>
        <w:tc>
          <w:tcPr>
            <w:tcW w:w="3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6,814</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4,051</w:t>
            </w:r>
          </w:p>
        </w:tc>
        <w:tc>
          <w:tcPr>
            <w:tcW w:w="0" w:type="dxa"/>
            <w:vAlign w:val="bottom"/>
          </w:tcPr>
          <w:p>
            <w:pPr>
              <w:spacing w:after="0"/>
              <w:rPr>
                <w:sz w:val="1"/>
                <w:szCs w:val="1"/>
                <w:color w:val="auto"/>
              </w:rPr>
            </w:pPr>
          </w:p>
        </w:tc>
      </w:tr>
      <w:tr>
        <w:trPr>
          <w:trHeight w:val="218"/>
        </w:trPr>
        <w:tc>
          <w:tcPr>
            <w:tcW w:w="6600" w:type="dxa"/>
            <w:vAlign w:val="bottom"/>
          </w:tcPr>
          <w:p>
            <w:pPr>
              <w:ind w:left="320"/>
              <w:spacing w:after="0"/>
              <w:rPr>
                <w:sz w:val="20"/>
                <w:szCs w:val="20"/>
                <w:color w:val="auto"/>
              </w:rPr>
            </w:pPr>
            <w:r>
              <w:rPr>
                <w:rFonts w:ascii="Arial" w:cs="Arial" w:eastAsia="Arial" w:hAnsi="Arial"/>
                <w:sz w:val="18"/>
                <w:szCs w:val="18"/>
                <w:color w:val="auto"/>
              </w:rPr>
              <w:t>Total current liabilities</w:t>
            </w:r>
          </w:p>
        </w:tc>
        <w:tc>
          <w:tcPr>
            <w:tcW w:w="3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84,209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59,937</w:t>
            </w:r>
          </w:p>
        </w:tc>
        <w:tc>
          <w:tcPr>
            <w:tcW w:w="0" w:type="dxa"/>
            <w:vAlign w:val="bottom"/>
          </w:tcPr>
          <w:p>
            <w:pPr>
              <w:spacing w:after="0"/>
              <w:rPr>
                <w:sz w:val="1"/>
                <w:szCs w:val="1"/>
                <w:color w:val="auto"/>
              </w:rPr>
            </w:pPr>
          </w:p>
        </w:tc>
      </w:tr>
      <w:tr>
        <w:trPr>
          <w:trHeight w:val="229"/>
        </w:trPr>
        <w:tc>
          <w:tcPr>
            <w:tcW w:w="660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3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1,616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646</w:t>
            </w:r>
          </w:p>
        </w:tc>
        <w:tc>
          <w:tcPr>
            <w:tcW w:w="0" w:type="dxa"/>
            <w:vAlign w:val="bottom"/>
          </w:tcPr>
          <w:p>
            <w:pPr>
              <w:spacing w:after="0"/>
              <w:rPr>
                <w:sz w:val="1"/>
                <w:szCs w:val="1"/>
                <w:color w:val="auto"/>
              </w:rPr>
            </w:pPr>
          </w:p>
        </w:tc>
      </w:tr>
      <w:tr>
        <w:trPr>
          <w:trHeight w:val="230"/>
        </w:trPr>
        <w:tc>
          <w:tcPr>
            <w:tcW w:w="6600" w:type="dxa"/>
            <w:vAlign w:val="bottom"/>
          </w:tcPr>
          <w:p>
            <w:pPr>
              <w:spacing w:after="0"/>
              <w:rPr>
                <w:sz w:val="20"/>
                <w:szCs w:val="20"/>
                <w:color w:val="auto"/>
              </w:rPr>
            </w:pPr>
            <w:r>
              <w:rPr>
                <w:rFonts w:ascii="Arial" w:cs="Arial" w:eastAsia="Arial" w:hAnsi="Arial"/>
                <w:sz w:val="18"/>
                <w:szCs w:val="18"/>
                <w:color w:val="auto"/>
              </w:rPr>
              <w:t>Acquisition-related contingent consideration, net of current portion</w:t>
            </w:r>
          </w:p>
        </w:tc>
        <w:tc>
          <w:tcPr>
            <w:tcW w:w="3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17,245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30"/>
        </w:trPr>
        <w:tc>
          <w:tcPr>
            <w:tcW w:w="6600" w:type="dxa"/>
            <w:vAlign w:val="bottom"/>
          </w:tcPr>
          <w:p>
            <w:pPr>
              <w:spacing w:after="0"/>
              <w:rPr>
                <w:sz w:val="20"/>
                <w:szCs w:val="20"/>
                <w:color w:val="auto"/>
              </w:rPr>
            </w:pPr>
            <w:r>
              <w:rPr>
                <w:rFonts w:ascii="Arial" w:cs="Arial" w:eastAsia="Arial" w:hAnsi="Arial"/>
                <w:sz w:val="18"/>
                <w:szCs w:val="18"/>
                <w:color w:val="auto"/>
              </w:rPr>
              <w:t>Operating lease liabilities, net of current portion</w:t>
            </w:r>
          </w:p>
        </w:tc>
        <w:tc>
          <w:tcPr>
            <w:tcW w:w="3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33,922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35,603</w:t>
            </w:r>
          </w:p>
        </w:tc>
        <w:tc>
          <w:tcPr>
            <w:tcW w:w="0" w:type="dxa"/>
            <w:vAlign w:val="bottom"/>
          </w:tcPr>
          <w:p>
            <w:pPr>
              <w:spacing w:after="0"/>
              <w:rPr>
                <w:sz w:val="1"/>
                <w:szCs w:val="1"/>
                <w:color w:val="auto"/>
              </w:rPr>
            </w:pPr>
          </w:p>
        </w:tc>
      </w:tr>
      <w:tr>
        <w:trPr>
          <w:trHeight w:val="235"/>
        </w:trPr>
        <w:tc>
          <w:tcPr>
            <w:tcW w:w="6600" w:type="dxa"/>
            <w:vAlign w:val="bottom"/>
          </w:tcPr>
          <w:p>
            <w:pPr>
              <w:spacing w:after="0"/>
              <w:rPr>
                <w:sz w:val="20"/>
                <w:szCs w:val="20"/>
                <w:color w:val="auto"/>
              </w:rPr>
            </w:pPr>
            <w:r>
              <w:rPr>
                <w:rFonts w:ascii="Arial" w:cs="Arial" w:eastAsia="Arial" w:hAnsi="Arial"/>
                <w:sz w:val="18"/>
                <w:szCs w:val="18"/>
                <w:color w:val="auto"/>
              </w:rPr>
              <w:t>Other liabilities</w:t>
            </w:r>
          </w:p>
        </w:tc>
        <w:tc>
          <w:tcPr>
            <w:tcW w:w="3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6600" w:type="dxa"/>
            <w:vAlign w:val="bottom"/>
          </w:tcPr>
          <w:p>
            <w:pPr>
              <w:ind w:left="320"/>
              <w:spacing w:after="0"/>
              <w:rPr>
                <w:sz w:val="20"/>
                <w:szCs w:val="20"/>
                <w:color w:val="auto"/>
              </w:rPr>
            </w:pPr>
            <w:r>
              <w:rPr>
                <w:rFonts w:ascii="Arial" w:cs="Arial" w:eastAsia="Arial" w:hAnsi="Arial"/>
                <w:sz w:val="18"/>
                <w:szCs w:val="18"/>
                <w:color w:val="auto"/>
              </w:rPr>
              <w:t>Total liabilities</w:t>
            </w:r>
          </w:p>
        </w:tc>
        <w:tc>
          <w:tcPr>
            <w:tcW w:w="3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139,992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96,443</w:t>
            </w:r>
          </w:p>
        </w:tc>
        <w:tc>
          <w:tcPr>
            <w:tcW w:w="0" w:type="dxa"/>
            <w:vAlign w:val="bottom"/>
          </w:tcPr>
          <w:p>
            <w:pPr>
              <w:spacing w:after="0"/>
              <w:rPr>
                <w:sz w:val="1"/>
                <w:szCs w:val="1"/>
                <w:color w:val="auto"/>
              </w:rPr>
            </w:pPr>
          </w:p>
        </w:tc>
      </w:tr>
      <w:tr>
        <w:trPr>
          <w:trHeight w:val="235"/>
        </w:trPr>
        <w:tc>
          <w:tcPr>
            <w:tcW w:w="660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3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1,433,264</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1,309,576</w:t>
            </w:r>
          </w:p>
        </w:tc>
        <w:tc>
          <w:tcPr>
            <w:tcW w:w="0" w:type="dxa"/>
            <w:vAlign w:val="bottom"/>
          </w:tcPr>
          <w:p>
            <w:pPr>
              <w:spacing w:after="0"/>
              <w:rPr>
                <w:sz w:val="1"/>
                <w:szCs w:val="1"/>
                <w:color w:val="auto"/>
              </w:rPr>
            </w:pPr>
          </w:p>
        </w:tc>
      </w:tr>
      <w:tr>
        <w:trPr>
          <w:trHeight w:val="223"/>
        </w:trPr>
        <w:tc>
          <w:tcPr>
            <w:tcW w:w="660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1,573,256</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1,406,019</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ind w:left="160" w:right="60" w:hanging="159"/>
        <w:spacing w:after="0" w:line="227" w:lineRule="auto"/>
        <w:tabs>
          <w:tab w:leader="none" w:pos="198"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condensed consolidated balance sheet at December 31, 2025 has been derived from the audited financial statements at that date included in the company's Annual Report on Form 10-K for the year ended December 31, 2025, filed with the Securities and Exchange Commission on February 26, 2026.</w:t>
      </w:r>
    </w:p>
    <w:p>
      <w:pPr>
        <w:sectPr>
          <w:pgSz w:w="11900" w:h="16838" w:orient="portrait"/>
          <w:cols w:equalWidth="0" w:num="1">
            <w:col w:w="10940"/>
          </w:cols>
          <w:pgMar w:left="480" w:top="1025" w:right="479" w:bottom="1440" w:gutter="0" w:footer="0" w:header="0"/>
        </w:sectPr>
      </w:pPr>
    </w:p>
    <w:bookmarkStart w:id="11" w:name="page12"/>
    <w:bookmarkEnd w:id="11"/>
    <w:p>
      <w:pPr>
        <w:jc w:val="center"/>
        <w:ind w:right="20"/>
        <w:spacing w:after="0"/>
        <w:rPr>
          <w:sz w:val="20"/>
          <w:szCs w:val="20"/>
          <w:color w:val="auto"/>
        </w:rPr>
      </w:pPr>
      <w:r>
        <w:rPr>
          <w:rFonts w:ascii="Arial" w:cs="Arial" w:eastAsia="Arial" w:hAnsi="Arial"/>
          <w:sz w:val="18"/>
          <w:szCs w:val="18"/>
          <w:color w:val="auto"/>
        </w:rPr>
        <w:t>VERACYTE, INC.</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CONDENSED CONSOLIDATED STATEMENTS OF CASH FLOWS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9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4"/>
          </w:tcPr>
          <w:p>
            <w:pPr>
              <w:jc w:val="right"/>
              <w:ind w:right="90"/>
              <w:spacing w:after="0"/>
              <w:rPr>
                <w:sz w:val="20"/>
                <w:szCs w:val="20"/>
                <w:color w:val="auto"/>
              </w:rPr>
            </w:pPr>
            <w:r>
              <w:rPr>
                <w:rFonts w:ascii="Arial" w:cs="Arial" w:eastAsia="Arial" w:hAnsi="Arial"/>
                <w:sz w:val="18"/>
                <w:szCs w:val="18"/>
                <w:color w:val="auto"/>
              </w:rPr>
              <w:t>Nine Months Ended September 30,</w:t>
            </w:r>
          </w:p>
        </w:tc>
        <w:tc>
          <w:tcPr>
            <w:tcW w:w="0" w:type="dxa"/>
            <w:vAlign w:val="bottom"/>
          </w:tcPr>
          <w:p>
            <w:pPr>
              <w:spacing w:after="0"/>
              <w:rPr>
                <w:sz w:val="1"/>
                <w:szCs w:val="1"/>
                <w:color w:val="auto"/>
              </w:rPr>
            </w:pPr>
          </w:p>
        </w:tc>
      </w:tr>
      <w:tr>
        <w:trPr>
          <w:trHeight w:val="223"/>
        </w:trPr>
        <w:tc>
          <w:tcPr>
            <w:tcW w:w="7920" w:type="dxa"/>
            <w:vAlign w:val="bottom"/>
            <w:vMerge w:val="restart"/>
          </w:tcPr>
          <w:p>
            <w:pPr>
              <w:spacing w:after="0"/>
              <w:rPr>
                <w:sz w:val="20"/>
                <w:szCs w:val="20"/>
                <w:color w:val="auto"/>
              </w:rPr>
            </w:pPr>
            <w:r>
              <w:rPr>
                <w:rFonts w:ascii="Arial" w:cs="Arial" w:eastAsia="Arial" w:hAnsi="Arial"/>
                <w:sz w:val="18"/>
                <w:szCs w:val="18"/>
                <w:b w:val="1"/>
                <w:bCs w:val="1"/>
                <w:color w:val="auto"/>
              </w:rPr>
              <w:t>Operating activities</w:t>
            </w: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2026</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2025</w:t>
            </w:r>
          </w:p>
        </w:tc>
        <w:tc>
          <w:tcPr>
            <w:tcW w:w="0" w:type="dxa"/>
            <w:vAlign w:val="bottom"/>
          </w:tcPr>
          <w:p>
            <w:pPr>
              <w:spacing w:after="0"/>
              <w:rPr>
                <w:sz w:val="1"/>
                <w:szCs w:val="1"/>
                <w:color w:val="auto"/>
              </w:rPr>
            </w:pPr>
          </w:p>
        </w:tc>
      </w:tr>
      <w:tr>
        <w:trPr>
          <w:trHeight w:val="204"/>
        </w:trPr>
        <w:tc>
          <w:tcPr>
            <w:tcW w:w="79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920" w:type="dxa"/>
            <w:vAlign w:val="bottom"/>
          </w:tcPr>
          <w:p>
            <w:pPr>
              <w:spacing w:after="0"/>
              <w:rPr>
                <w:sz w:val="20"/>
                <w:szCs w:val="20"/>
                <w:color w:val="auto"/>
              </w:rPr>
            </w:pPr>
            <w:r>
              <w:rPr>
                <w:rFonts w:ascii="Arial" w:cs="Arial" w:eastAsia="Arial" w:hAnsi="Arial"/>
                <w:sz w:val="18"/>
                <w:szCs w:val="18"/>
                <w:color w:val="auto"/>
              </w:rPr>
              <w:t>Net income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85,700</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25,204</w:t>
            </w:r>
          </w:p>
        </w:tc>
        <w:tc>
          <w:tcPr>
            <w:tcW w:w="0" w:type="dxa"/>
            <w:vAlign w:val="bottom"/>
          </w:tcPr>
          <w:p>
            <w:pPr>
              <w:spacing w:after="0"/>
              <w:rPr>
                <w:sz w:val="1"/>
                <w:szCs w:val="1"/>
                <w:color w:val="auto"/>
              </w:rPr>
            </w:pPr>
          </w:p>
        </w:tc>
      </w:tr>
      <w:tr>
        <w:trPr>
          <w:trHeight w:val="230"/>
        </w:trPr>
        <w:tc>
          <w:tcPr>
            <w:tcW w:w="7920" w:type="dxa"/>
            <w:vAlign w:val="bottom"/>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2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16,247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16,117</w:t>
            </w:r>
          </w:p>
        </w:tc>
        <w:tc>
          <w:tcPr>
            <w:tcW w:w="0" w:type="dxa"/>
            <w:vAlign w:val="bottom"/>
          </w:tcPr>
          <w:p>
            <w:pPr>
              <w:spacing w:after="0"/>
              <w:rPr>
                <w:sz w:val="1"/>
                <w:szCs w:val="1"/>
                <w:color w:val="auto"/>
              </w:rPr>
            </w:pPr>
          </w:p>
        </w:tc>
      </w:tr>
      <w:tr>
        <w:trPr>
          <w:trHeight w:val="230"/>
        </w:trPr>
        <w:tc>
          <w:tcPr>
            <w:tcW w:w="7920" w:type="dxa"/>
            <w:vAlign w:val="bottom"/>
          </w:tcPr>
          <w:p>
            <w:pPr>
              <w:ind w:left="160"/>
              <w:spacing w:after="0"/>
              <w:rPr>
                <w:sz w:val="20"/>
                <w:szCs w:val="20"/>
                <w:color w:val="auto"/>
              </w:rPr>
            </w:pPr>
            <w:r>
              <w:rPr>
                <w:rFonts w:ascii="Arial" w:cs="Arial" w:eastAsia="Arial" w:hAnsi="Arial"/>
                <w:sz w:val="18"/>
                <w:szCs w:val="18"/>
                <w:color w:val="auto"/>
              </w:rPr>
              <w:t>Loss on disposal of property, plant and equipment</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367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9"/>
        </w:trPr>
        <w:tc>
          <w:tcPr>
            <w:tcW w:w="7920" w:type="dxa"/>
            <w:vAlign w:val="bottom"/>
          </w:tcPr>
          <w:p>
            <w:pPr>
              <w:ind w:left="160"/>
              <w:spacing w:after="0"/>
              <w:rPr>
                <w:sz w:val="20"/>
                <w:szCs w:val="20"/>
                <w:color w:val="auto"/>
              </w:rPr>
            </w:pPr>
            <w:r>
              <w:rPr>
                <w:rFonts w:ascii="Arial" w:cs="Arial" w:eastAsia="Arial" w:hAnsi="Arial"/>
                <w:sz w:val="18"/>
                <w:szCs w:val="18"/>
                <w:color w:val="auto"/>
              </w:rPr>
              <w:t>Stock-based compensation</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40,806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32,700</w:t>
            </w:r>
          </w:p>
        </w:tc>
        <w:tc>
          <w:tcPr>
            <w:tcW w:w="0" w:type="dxa"/>
            <w:vAlign w:val="bottom"/>
          </w:tcPr>
          <w:p>
            <w:pPr>
              <w:spacing w:after="0"/>
              <w:rPr>
                <w:sz w:val="1"/>
                <w:szCs w:val="1"/>
                <w:color w:val="auto"/>
              </w:rPr>
            </w:pPr>
          </w:p>
        </w:tc>
      </w:tr>
      <w:tr>
        <w:trPr>
          <w:trHeight w:val="229"/>
        </w:trPr>
        <w:tc>
          <w:tcPr>
            <w:tcW w:w="7920" w:type="dxa"/>
            <w:vAlign w:val="bottom"/>
          </w:tcPr>
          <w:p>
            <w:pPr>
              <w:ind w:left="160"/>
              <w:spacing w:after="0"/>
              <w:rPr>
                <w:sz w:val="20"/>
                <w:szCs w:val="20"/>
                <w:color w:val="auto"/>
              </w:rPr>
            </w:pPr>
            <w:r>
              <w:rPr>
                <w:rFonts w:ascii="Arial" w:cs="Arial" w:eastAsia="Arial" w:hAnsi="Arial"/>
                <w:sz w:val="18"/>
                <w:szCs w:val="18"/>
                <w:color w:val="auto"/>
              </w:rPr>
              <w:t>Deferred income taxes</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(11,599)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7920" w:type="dxa"/>
            <w:vAlign w:val="bottom"/>
          </w:tcPr>
          <w:p>
            <w:pPr>
              <w:ind w:left="160"/>
              <w:spacing w:after="0"/>
              <w:rPr>
                <w:sz w:val="20"/>
                <w:szCs w:val="20"/>
                <w:color w:val="auto"/>
              </w:rPr>
            </w:pPr>
            <w:r>
              <w:rPr>
                <w:rFonts w:ascii="Arial" w:cs="Arial" w:eastAsia="Arial" w:hAnsi="Arial"/>
                <w:sz w:val="18"/>
                <w:szCs w:val="18"/>
                <w:color w:val="auto"/>
              </w:rPr>
              <w:t>Noncash lease expense</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2,088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2,289</w:t>
            </w:r>
          </w:p>
        </w:tc>
        <w:tc>
          <w:tcPr>
            <w:tcW w:w="0" w:type="dxa"/>
            <w:vAlign w:val="bottom"/>
          </w:tcPr>
          <w:p>
            <w:pPr>
              <w:spacing w:after="0"/>
              <w:rPr>
                <w:sz w:val="1"/>
                <w:szCs w:val="1"/>
                <w:color w:val="auto"/>
              </w:rPr>
            </w:pPr>
          </w:p>
        </w:tc>
      </w:tr>
      <w:tr>
        <w:trPr>
          <w:trHeight w:val="229"/>
        </w:trPr>
        <w:tc>
          <w:tcPr>
            <w:tcW w:w="7920" w:type="dxa"/>
            <w:vAlign w:val="bottom"/>
          </w:tcPr>
          <w:p>
            <w:pPr>
              <w:ind w:left="160"/>
              <w:spacing w:after="0"/>
              <w:rPr>
                <w:sz w:val="20"/>
                <w:szCs w:val="20"/>
                <w:color w:val="auto"/>
              </w:rPr>
            </w:pPr>
            <w:r>
              <w:rPr>
                <w:rFonts w:ascii="Arial" w:cs="Arial" w:eastAsia="Arial" w:hAnsi="Arial"/>
                <w:sz w:val="18"/>
                <w:szCs w:val="18"/>
                <w:color w:val="auto"/>
              </w:rPr>
              <w:t>Revaluation of acquisition-related contingent consideration</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(1,110)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(2,713)</w:t>
            </w:r>
          </w:p>
        </w:tc>
        <w:tc>
          <w:tcPr>
            <w:tcW w:w="0" w:type="dxa"/>
            <w:vAlign w:val="bottom"/>
          </w:tcPr>
          <w:p>
            <w:pPr>
              <w:spacing w:after="0"/>
              <w:rPr>
                <w:sz w:val="1"/>
                <w:szCs w:val="1"/>
                <w:color w:val="auto"/>
              </w:rPr>
            </w:pPr>
          </w:p>
        </w:tc>
      </w:tr>
      <w:tr>
        <w:trPr>
          <w:trHeight w:val="229"/>
        </w:trPr>
        <w:tc>
          <w:tcPr>
            <w:tcW w:w="7920" w:type="dxa"/>
            <w:vAlign w:val="bottom"/>
          </w:tcPr>
          <w:p>
            <w:pPr>
              <w:ind w:left="160"/>
              <w:spacing w:after="0"/>
              <w:rPr>
                <w:sz w:val="20"/>
                <w:szCs w:val="20"/>
                <w:color w:val="auto"/>
              </w:rPr>
            </w:pPr>
            <w:r>
              <w:rPr>
                <w:rFonts w:ascii="Arial" w:cs="Arial" w:eastAsia="Arial" w:hAnsi="Arial"/>
                <w:sz w:val="18"/>
                <w:szCs w:val="18"/>
                <w:color w:val="auto"/>
              </w:rPr>
              <w:t>Effect of foreign currency on operations</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(3,845)</w:t>
            </w:r>
          </w:p>
        </w:tc>
        <w:tc>
          <w:tcPr>
            <w:tcW w:w="0" w:type="dxa"/>
            <w:vAlign w:val="bottom"/>
          </w:tcPr>
          <w:p>
            <w:pPr>
              <w:spacing w:after="0"/>
              <w:rPr>
                <w:sz w:val="1"/>
                <w:szCs w:val="1"/>
                <w:color w:val="auto"/>
              </w:rPr>
            </w:pPr>
          </w:p>
        </w:tc>
      </w:tr>
      <w:tr>
        <w:trPr>
          <w:trHeight w:val="230"/>
        </w:trPr>
        <w:tc>
          <w:tcPr>
            <w:tcW w:w="7920" w:type="dxa"/>
            <w:vAlign w:val="bottom"/>
          </w:tcPr>
          <w:p>
            <w:pPr>
              <w:ind w:left="160"/>
              <w:spacing w:after="0"/>
              <w:rPr>
                <w:sz w:val="20"/>
                <w:szCs w:val="20"/>
                <w:color w:val="auto"/>
              </w:rPr>
            </w:pPr>
            <w:r>
              <w:rPr>
                <w:rFonts w:ascii="Arial" w:cs="Arial" w:eastAsia="Arial" w:hAnsi="Arial"/>
                <w:sz w:val="18"/>
                <w:szCs w:val="18"/>
                <w:color w:val="auto"/>
              </w:rPr>
              <w:t>Amortization of discount on short-term investments</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(2,380)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(2,619)</w:t>
            </w:r>
          </w:p>
        </w:tc>
        <w:tc>
          <w:tcPr>
            <w:tcW w:w="0" w:type="dxa"/>
            <w:vAlign w:val="bottom"/>
          </w:tcPr>
          <w:p>
            <w:pPr>
              <w:spacing w:after="0"/>
              <w:rPr>
                <w:sz w:val="1"/>
                <w:szCs w:val="1"/>
                <w:color w:val="auto"/>
              </w:rPr>
            </w:pPr>
          </w:p>
        </w:tc>
      </w:tr>
      <w:tr>
        <w:trPr>
          <w:trHeight w:val="229"/>
        </w:trPr>
        <w:tc>
          <w:tcPr>
            <w:tcW w:w="7920" w:type="dxa"/>
            <w:vAlign w:val="bottom"/>
          </w:tcPr>
          <w:p>
            <w:pPr>
              <w:ind w:left="160"/>
              <w:spacing w:after="0"/>
              <w:rPr>
                <w:sz w:val="20"/>
                <w:szCs w:val="20"/>
                <w:color w:val="auto"/>
              </w:rPr>
            </w:pPr>
            <w:r>
              <w:rPr>
                <w:rFonts w:ascii="Arial" w:cs="Arial" w:eastAsia="Arial" w:hAnsi="Arial"/>
                <w:sz w:val="18"/>
                <w:szCs w:val="18"/>
                <w:color w:val="auto"/>
              </w:rPr>
              <w:t>Impairment loss</w:t>
            </w:r>
          </w:p>
        </w:tc>
        <w:tc>
          <w:tcPr>
            <w:tcW w:w="16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20,505</w:t>
            </w:r>
          </w:p>
        </w:tc>
        <w:tc>
          <w:tcPr>
            <w:tcW w:w="0" w:type="dxa"/>
            <w:vAlign w:val="bottom"/>
          </w:tcPr>
          <w:p>
            <w:pPr>
              <w:spacing w:after="0"/>
              <w:rPr>
                <w:sz w:val="1"/>
                <w:szCs w:val="1"/>
                <w:color w:val="auto"/>
              </w:rPr>
            </w:pPr>
          </w:p>
        </w:tc>
      </w:tr>
      <w:tr>
        <w:trPr>
          <w:trHeight w:val="230"/>
        </w:trPr>
        <w:tc>
          <w:tcPr>
            <w:tcW w:w="7920" w:type="dxa"/>
            <w:vAlign w:val="bottom"/>
          </w:tcPr>
          <w:p>
            <w:pPr>
              <w:ind w:left="160"/>
              <w:spacing w:after="0"/>
              <w:rPr>
                <w:sz w:val="20"/>
                <w:szCs w:val="20"/>
                <w:color w:val="auto"/>
              </w:rPr>
            </w:pPr>
            <w:r>
              <w:rPr>
                <w:rFonts w:ascii="Arial" w:cs="Arial" w:eastAsia="Arial" w:hAnsi="Arial"/>
                <w:sz w:val="18"/>
                <w:szCs w:val="18"/>
                <w:color w:val="auto"/>
              </w:rPr>
              <w:t>Non-cash loss on deconsolidation of subsidiary</w:t>
            </w:r>
          </w:p>
        </w:tc>
        <w:tc>
          <w:tcPr>
            <w:tcW w:w="16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3,863</w:t>
            </w:r>
          </w:p>
        </w:tc>
        <w:tc>
          <w:tcPr>
            <w:tcW w:w="0" w:type="dxa"/>
            <w:vAlign w:val="bottom"/>
          </w:tcPr>
          <w:p>
            <w:pPr>
              <w:spacing w:after="0"/>
              <w:rPr>
                <w:sz w:val="1"/>
                <w:szCs w:val="1"/>
                <w:color w:val="auto"/>
              </w:rPr>
            </w:pPr>
          </w:p>
        </w:tc>
      </w:tr>
      <w:tr>
        <w:trPr>
          <w:trHeight w:val="229"/>
        </w:trPr>
        <w:tc>
          <w:tcPr>
            <w:tcW w:w="792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20" w:type="dxa"/>
            <w:vAlign w:val="bottom"/>
          </w:tcPr>
          <w:p>
            <w:pPr>
              <w:ind w:left="160"/>
              <w:spacing w:after="0"/>
              <w:rPr>
                <w:sz w:val="20"/>
                <w:szCs w:val="20"/>
                <w:color w:val="auto"/>
              </w:rPr>
            </w:pPr>
            <w:r>
              <w:rPr>
                <w:rFonts w:ascii="Arial" w:cs="Arial" w:eastAsia="Arial" w:hAnsi="Arial"/>
                <w:sz w:val="18"/>
                <w:szCs w:val="18"/>
                <w:color w:val="auto"/>
              </w:rPr>
              <w:t>Accounts receivable</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(11,963)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(3,858)</w:t>
            </w:r>
          </w:p>
        </w:tc>
        <w:tc>
          <w:tcPr>
            <w:tcW w:w="0" w:type="dxa"/>
            <w:vAlign w:val="bottom"/>
          </w:tcPr>
          <w:p>
            <w:pPr>
              <w:spacing w:after="0"/>
              <w:rPr>
                <w:sz w:val="1"/>
                <w:szCs w:val="1"/>
                <w:color w:val="auto"/>
              </w:rPr>
            </w:pPr>
          </w:p>
        </w:tc>
      </w:tr>
      <w:tr>
        <w:trPr>
          <w:trHeight w:val="230"/>
        </w:trPr>
        <w:tc>
          <w:tcPr>
            <w:tcW w:w="7920" w:type="dxa"/>
            <w:vAlign w:val="bottom"/>
          </w:tcPr>
          <w:p>
            <w:pPr>
              <w:ind w:left="160"/>
              <w:spacing w:after="0"/>
              <w:rPr>
                <w:sz w:val="20"/>
                <w:szCs w:val="20"/>
                <w:color w:val="auto"/>
              </w:rPr>
            </w:pPr>
            <w:r>
              <w:rPr>
                <w:rFonts w:ascii="Arial" w:cs="Arial" w:eastAsia="Arial" w:hAnsi="Arial"/>
                <w:sz w:val="18"/>
                <w:szCs w:val="18"/>
                <w:color w:val="auto"/>
              </w:rPr>
              <w:t>Supplies</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(3,435)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(2,642)</w:t>
            </w:r>
          </w:p>
        </w:tc>
        <w:tc>
          <w:tcPr>
            <w:tcW w:w="0" w:type="dxa"/>
            <w:vAlign w:val="bottom"/>
          </w:tcPr>
          <w:p>
            <w:pPr>
              <w:spacing w:after="0"/>
              <w:rPr>
                <w:sz w:val="1"/>
                <w:szCs w:val="1"/>
                <w:color w:val="auto"/>
              </w:rPr>
            </w:pPr>
          </w:p>
        </w:tc>
      </w:tr>
      <w:tr>
        <w:trPr>
          <w:trHeight w:val="229"/>
        </w:trPr>
        <w:tc>
          <w:tcPr>
            <w:tcW w:w="7920" w:type="dxa"/>
            <w:vAlign w:val="bottom"/>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(4,112)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(6,416)</w:t>
            </w:r>
          </w:p>
        </w:tc>
        <w:tc>
          <w:tcPr>
            <w:tcW w:w="0" w:type="dxa"/>
            <w:vAlign w:val="bottom"/>
          </w:tcPr>
          <w:p>
            <w:pPr>
              <w:spacing w:after="0"/>
              <w:rPr>
                <w:sz w:val="1"/>
                <w:szCs w:val="1"/>
                <w:color w:val="auto"/>
              </w:rPr>
            </w:pPr>
          </w:p>
        </w:tc>
      </w:tr>
      <w:tr>
        <w:trPr>
          <w:trHeight w:val="230"/>
        </w:trPr>
        <w:tc>
          <w:tcPr>
            <w:tcW w:w="7920" w:type="dxa"/>
            <w:vAlign w:val="bottom"/>
          </w:tcPr>
          <w:p>
            <w:pPr>
              <w:ind w:left="160"/>
              <w:spacing w:after="0"/>
              <w:rPr>
                <w:sz w:val="20"/>
                <w:szCs w:val="20"/>
                <w:color w:val="auto"/>
              </w:rPr>
            </w:pPr>
            <w:r>
              <w:rPr>
                <w:rFonts w:ascii="Arial" w:cs="Arial" w:eastAsia="Arial" w:hAnsi="Arial"/>
                <w:sz w:val="18"/>
                <w:szCs w:val="18"/>
                <w:color w:val="auto"/>
              </w:rPr>
              <w:t>Other assets</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(771)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30"/>
        </w:trPr>
        <w:tc>
          <w:tcPr>
            <w:tcW w:w="7920" w:type="dxa"/>
            <w:vAlign w:val="bottom"/>
          </w:tcPr>
          <w:p>
            <w:pPr>
              <w:ind w:left="160"/>
              <w:spacing w:after="0"/>
              <w:rPr>
                <w:sz w:val="20"/>
                <w:szCs w:val="20"/>
                <w:color w:val="auto"/>
              </w:rPr>
            </w:pPr>
            <w:r>
              <w:rPr>
                <w:rFonts w:ascii="Arial" w:cs="Arial" w:eastAsia="Arial" w:hAnsi="Arial"/>
                <w:sz w:val="18"/>
                <w:szCs w:val="18"/>
                <w:color w:val="auto"/>
              </w:rPr>
              <w:t>Operating lease liabilities</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496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(1,681)</w:t>
            </w:r>
          </w:p>
        </w:tc>
        <w:tc>
          <w:tcPr>
            <w:tcW w:w="0" w:type="dxa"/>
            <w:vAlign w:val="bottom"/>
          </w:tcPr>
          <w:p>
            <w:pPr>
              <w:spacing w:after="0"/>
              <w:rPr>
                <w:sz w:val="1"/>
                <w:szCs w:val="1"/>
                <w:color w:val="auto"/>
              </w:rPr>
            </w:pPr>
          </w:p>
        </w:tc>
      </w:tr>
      <w:tr>
        <w:trPr>
          <w:trHeight w:val="229"/>
        </w:trPr>
        <w:tc>
          <w:tcPr>
            <w:tcW w:w="792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5,522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(547)</w:t>
            </w:r>
          </w:p>
        </w:tc>
        <w:tc>
          <w:tcPr>
            <w:tcW w:w="0" w:type="dxa"/>
            <w:vAlign w:val="bottom"/>
          </w:tcPr>
          <w:p>
            <w:pPr>
              <w:spacing w:after="0"/>
              <w:rPr>
                <w:sz w:val="1"/>
                <w:szCs w:val="1"/>
                <w:color w:val="auto"/>
              </w:rPr>
            </w:pPr>
          </w:p>
        </w:tc>
      </w:tr>
      <w:tr>
        <w:trPr>
          <w:trHeight w:val="235"/>
        </w:trPr>
        <w:tc>
          <w:tcPr>
            <w:tcW w:w="7920" w:type="dxa"/>
            <w:vAlign w:val="bottom"/>
          </w:tcPr>
          <w:p>
            <w:pPr>
              <w:ind w:left="160"/>
              <w:spacing w:after="0"/>
              <w:rPr>
                <w:sz w:val="20"/>
                <w:szCs w:val="20"/>
                <w:color w:val="auto"/>
              </w:rPr>
            </w:pPr>
            <w:r>
              <w:rPr>
                <w:rFonts w:ascii="Arial" w:cs="Arial" w:eastAsia="Arial" w:hAnsi="Arial"/>
                <w:sz w:val="18"/>
                <w:szCs w:val="18"/>
                <w:color w:val="auto"/>
              </w:rPr>
              <w:t>Accrued liabilities and deferred revenue</w:t>
            </w: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5,466</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7,034</w:t>
            </w:r>
          </w:p>
        </w:tc>
        <w:tc>
          <w:tcPr>
            <w:tcW w:w="0" w:type="dxa"/>
            <w:vAlign w:val="bottom"/>
          </w:tcPr>
          <w:p>
            <w:pPr>
              <w:spacing w:after="0"/>
              <w:rPr>
                <w:sz w:val="1"/>
                <w:szCs w:val="1"/>
                <w:color w:val="auto"/>
              </w:rPr>
            </w:pPr>
          </w:p>
        </w:tc>
      </w:tr>
      <w:tr>
        <w:trPr>
          <w:trHeight w:val="223"/>
        </w:trPr>
        <w:tc>
          <w:tcPr>
            <w:tcW w:w="792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121,299</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83,724</w:t>
            </w:r>
          </w:p>
        </w:tc>
        <w:tc>
          <w:tcPr>
            <w:tcW w:w="0" w:type="dxa"/>
            <w:vAlign w:val="bottom"/>
          </w:tcPr>
          <w:p>
            <w:pPr>
              <w:spacing w:after="0"/>
              <w:rPr>
                <w:sz w:val="1"/>
                <w:szCs w:val="1"/>
                <w:color w:val="auto"/>
              </w:rPr>
            </w:pPr>
          </w:p>
        </w:tc>
      </w:tr>
      <w:tr>
        <w:trPr>
          <w:trHeight w:val="204"/>
        </w:trPr>
        <w:tc>
          <w:tcPr>
            <w:tcW w:w="7920" w:type="dxa"/>
            <w:vAlign w:val="bottom"/>
          </w:tcPr>
          <w:p>
            <w:pPr>
              <w:spacing w:after="0" w:line="204" w:lineRule="exact"/>
              <w:rPr>
                <w:sz w:val="20"/>
                <w:szCs w:val="20"/>
                <w:color w:val="auto"/>
              </w:rPr>
            </w:pPr>
            <w:r>
              <w:rPr>
                <w:rFonts w:ascii="Arial" w:cs="Arial" w:eastAsia="Arial" w:hAnsi="Arial"/>
                <w:sz w:val="18"/>
                <w:szCs w:val="18"/>
                <w:b w:val="1"/>
                <w:bCs w:val="1"/>
                <w:color w:val="auto"/>
              </w:rPr>
              <w:t>Investing activities</w:t>
            </w: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920" w:type="dxa"/>
            <w:vAlign w:val="bottom"/>
          </w:tcPr>
          <w:p>
            <w:pPr>
              <w:spacing w:after="0"/>
              <w:rPr>
                <w:sz w:val="20"/>
                <w:szCs w:val="20"/>
                <w:color w:val="auto"/>
              </w:rPr>
            </w:pPr>
            <w:r>
              <w:rPr>
                <w:rFonts w:ascii="Arial" w:cs="Arial" w:eastAsia="Arial" w:hAnsi="Arial"/>
                <w:sz w:val="18"/>
                <w:szCs w:val="18"/>
                <w:color w:val="auto"/>
              </w:rPr>
              <w:t>Business acquisitions, net of cash acquired</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(153,190)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920" w:type="dxa"/>
            <w:vAlign w:val="bottom"/>
          </w:tcPr>
          <w:p>
            <w:pPr>
              <w:spacing w:after="0"/>
              <w:rPr>
                <w:sz w:val="20"/>
                <w:szCs w:val="20"/>
                <w:color w:val="auto"/>
              </w:rPr>
            </w:pPr>
            <w:r>
              <w:rPr>
                <w:rFonts w:ascii="Arial" w:cs="Arial" w:eastAsia="Arial" w:hAnsi="Arial"/>
                <w:sz w:val="18"/>
                <w:szCs w:val="18"/>
                <w:color w:val="auto"/>
              </w:rPr>
              <w:t>Purchase of short-term investments</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(234,997)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(99,998)</w:t>
            </w:r>
          </w:p>
        </w:tc>
        <w:tc>
          <w:tcPr>
            <w:tcW w:w="0" w:type="dxa"/>
            <w:vAlign w:val="bottom"/>
          </w:tcPr>
          <w:p>
            <w:pPr>
              <w:spacing w:after="0"/>
              <w:rPr>
                <w:sz w:val="1"/>
                <w:szCs w:val="1"/>
                <w:color w:val="auto"/>
              </w:rPr>
            </w:pPr>
          </w:p>
        </w:tc>
      </w:tr>
      <w:tr>
        <w:trPr>
          <w:trHeight w:val="229"/>
        </w:trPr>
        <w:tc>
          <w:tcPr>
            <w:tcW w:w="7920" w:type="dxa"/>
            <w:vAlign w:val="bottom"/>
          </w:tcPr>
          <w:p>
            <w:pPr>
              <w:spacing w:after="0"/>
              <w:rPr>
                <w:sz w:val="20"/>
                <w:szCs w:val="20"/>
                <w:color w:val="auto"/>
              </w:rPr>
            </w:pPr>
            <w:r>
              <w:rPr>
                <w:rFonts w:ascii="Arial" w:cs="Arial" w:eastAsia="Arial" w:hAnsi="Arial"/>
                <w:sz w:val="18"/>
                <w:szCs w:val="18"/>
                <w:color w:val="auto"/>
              </w:rPr>
              <w:t>Proceeds from maturity of short-term investments</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116,984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102,116</w:t>
            </w:r>
          </w:p>
        </w:tc>
        <w:tc>
          <w:tcPr>
            <w:tcW w:w="0" w:type="dxa"/>
            <w:vAlign w:val="bottom"/>
          </w:tcPr>
          <w:p>
            <w:pPr>
              <w:spacing w:after="0"/>
              <w:rPr>
                <w:sz w:val="1"/>
                <w:szCs w:val="1"/>
                <w:color w:val="auto"/>
              </w:rPr>
            </w:pPr>
          </w:p>
        </w:tc>
      </w:tr>
      <w:tr>
        <w:trPr>
          <w:trHeight w:val="230"/>
        </w:trPr>
        <w:tc>
          <w:tcPr>
            <w:tcW w:w="7920" w:type="dxa"/>
            <w:vAlign w:val="bottom"/>
          </w:tcPr>
          <w:p>
            <w:pPr>
              <w:spacing w:after="0"/>
              <w:rPr>
                <w:sz w:val="20"/>
                <w:szCs w:val="20"/>
                <w:color w:val="auto"/>
              </w:rPr>
            </w:pPr>
            <w:r>
              <w:rPr>
                <w:rFonts w:ascii="Arial" w:cs="Arial" w:eastAsia="Arial" w:hAnsi="Arial"/>
                <w:sz w:val="18"/>
                <w:szCs w:val="18"/>
                <w:color w:val="auto"/>
              </w:rPr>
              <w:t>Issuance of loan receivable</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(1,622)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5"/>
        </w:trPr>
        <w:tc>
          <w:tcPr>
            <w:tcW w:w="7920" w:type="dxa"/>
            <w:vAlign w:val="bottom"/>
          </w:tcPr>
          <w:p>
            <w:pPr>
              <w:spacing w:after="0"/>
              <w:rPr>
                <w:sz w:val="20"/>
                <w:szCs w:val="20"/>
                <w:color w:val="auto"/>
              </w:rPr>
            </w:pPr>
            <w:r>
              <w:rPr>
                <w:rFonts w:ascii="Arial" w:cs="Arial" w:eastAsia="Arial" w:hAnsi="Arial"/>
                <w:sz w:val="18"/>
                <w:szCs w:val="18"/>
                <w:color w:val="auto"/>
              </w:rPr>
              <w:t>Purchases of property, plant and equipment</w:t>
            </w: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(8,155)</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(5,897)</w:t>
            </w:r>
          </w:p>
        </w:tc>
        <w:tc>
          <w:tcPr>
            <w:tcW w:w="0" w:type="dxa"/>
            <w:vAlign w:val="bottom"/>
          </w:tcPr>
          <w:p>
            <w:pPr>
              <w:spacing w:after="0"/>
              <w:rPr>
                <w:sz w:val="1"/>
                <w:szCs w:val="1"/>
                <w:color w:val="auto"/>
              </w:rPr>
            </w:pPr>
          </w:p>
        </w:tc>
      </w:tr>
      <w:tr>
        <w:trPr>
          <w:trHeight w:val="223"/>
        </w:trPr>
        <w:tc>
          <w:tcPr>
            <w:tcW w:w="79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(280,980)</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(3,779)</w:t>
            </w:r>
          </w:p>
        </w:tc>
        <w:tc>
          <w:tcPr>
            <w:tcW w:w="0" w:type="dxa"/>
            <w:vAlign w:val="bottom"/>
          </w:tcPr>
          <w:p>
            <w:pPr>
              <w:spacing w:after="0"/>
              <w:rPr>
                <w:sz w:val="1"/>
                <w:szCs w:val="1"/>
                <w:color w:val="auto"/>
              </w:rPr>
            </w:pPr>
          </w:p>
        </w:tc>
      </w:tr>
      <w:tr>
        <w:trPr>
          <w:trHeight w:val="204"/>
        </w:trPr>
        <w:tc>
          <w:tcPr>
            <w:tcW w:w="7920" w:type="dxa"/>
            <w:vAlign w:val="bottom"/>
          </w:tcPr>
          <w:p>
            <w:pPr>
              <w:spacing w:after="0" w:line="204" w:lineRule="exact"/>
              <w:rPr>
                <w:sz w:val="20"/>
                <w:szCs w:val="20"/>
                <w:color w:val="auto"/>
              </w:rPr>
            </w:pPr>
            <w:r>
              <w:rPr>
                <w:rFonts w:ascii="Arial" w:cs="Arial" w:eastAsia="Arial" w:hAnsi="Arial"/>
                <w:sz w:val="18"/>
                <w:szCs w:val="18"/>
                <w:b w:val="1"/>
                <w:bCs w:val="1"/>
                <w:color w:val="auto"/>
              </w:rPr>
              <w:t>Financing activities</w:t>
            </w: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920" w:type="dxa"/>
            <w:vAlign w:val="bottom"/>
          </w:tcPr>
          <w:p>
            <w:pPr>
              <w:spacing w:after="0"/>
              <w:rPr>
                <w:sz w:val="20"/>
                <w:szCs w:val="20"/>
                <w:color w:val="auto"/>
              </w:rPr>
            </w:pPr>
            <w:r>
              <w:rPr>
                <w:rFonts w:ascii="Arial" w:cs="Arial" w:eastAsia="Arial" w:hAnsi="Arial"/>
                <w:sz w:val="18"/>
                <w:szCs w:val="18"/>
                <w:color w:val="auto"/>
              </w:rPr>
              <w:t>Payment of taxes on vested restricted stock units</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(17,462)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(14,645)</w:t>
            </w:r>
          </w:p>
        </w:tc>
        <w:tc>
          <w:tcPr>
            <w:tcW w:w="0" w:type="dxa"/>
            <w:vAlign w:val="bottom"/>
          </w:tcPr>
          <w:p>
            <w:pPr>
              <w:spacing w:after="0"/>
              <w:rPr>
                <w:sz w:val="1"/>
                <w:szCs w:val="1"/>
                <w:color w:val="auto"/>
              </w:rPr>
            </w:pPr>
          </w:p>
        </w:tc>
      </w:tr>
      <w:tr>
        <w:trPr>
          <w:trHeight w:val="235"/>
        </w:trPr>
        <w:tc>
          <w:tcPr>
            <w:tcW w:w="7920" w:type="dxa"/>
            <w:vAlign w:val="bottom"/>
          </w:tcPr>
          <w:p>
            <w:pPr>
              <w:spacing w:after="0"/>
              <w:rPr>
                <w:sz w:val="20"/>
                <w:szCs w:val="20"/>
                <w:color w:val="auto"/>
              </w:rPr>
            </w:pPr>
            <w:r>
              <w:rPr>
                <w:rFonts w:ascii="Arial" w:cs="Arial" w:eastAsia="Arial" w:hAnsi="Arial"/>
                <w:sz w:val="18"/>
                <w:szCs w:val="18"/>
                <w:color w:val="auto"/>
              </w:rPr>
              <w:t>Proceeds from the exercise of common stock options and employee stock purchases</w:t>
            </w: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14,493</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10,572</w:t>
            </w:r>
          </w:p>
        </w:tc>
        <w:tc>
          <w:tcPr>
            <w:tcW w:w="0" w:type="dxa"/>
            <w:vAlign w:val="bottom"/>
          </w:tcPr>
          <w:p>
            <w:pPr>
              <w:spacing w:after="0"/>
              <w:rPr>
                <w:sz w:val="1"/>
                <w:szCs w:val="1"/>
                <w:color w:val="auto"/>
              </w:rPr>
            </w:pPr>
          </w:p>
        </w:tc>
      </w:tr>
      <w:tr>
        <w:trPr>
          <w:trHeight w:val="223"/>
        </w:trPr>
        <w:tc>
          <w:tcPr>
            <w:tcW w:w="7920" w:type="dxa"/>
            <w:vAlign w:val="bottom"/>
          </w:tcPr>
          <w:p>
            <w:pPr>
              <w:spacing w:after="0"/>
              <w:rPr>
                <w:sz w:val="20"/>
                <w:szCs w:val="20"/>
                <w:color w:val="auto"/>
              </w:rPr>
            </w:pPr>
            <w:r>
              <w:rPr>
                <w:rFonts w:ascii="Arial" w:cs="Arial" w:eastAsia="Arial" w:hAnsi="Arial"/>
                <w:sz w:val="18"/>
                <w:szCs w:val="18"/>
                <w:color w:val="auto"/>
              </w:rPr>
              <w:t>Net cash used in financing activities</w:t>
            </w: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(2,969)</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(4,073)</w:t>
            </w:r>
          </w:p>
        </w:tc>
        <w:tc>
          <w:tcPr>
            <w:tcW w:w="0" w:type="dxa"/>
            <w:vAlign w:val="bottom"/>
          </w:tcPr>
          <w:p>
            <w:pPr>
              <w:spacing w:after="0"/>
              <w:rPr>
                <w:sz w:val="1"/>
                <w:szCs w:val="1"/>
                <w:color w:val="auto"/>
              </w:rPr>
            </w:pPr>
          </w:p>
        </w:tc>
      </w:tr>
      <w:tr>
        <w:trPr>
          <w:trHeight w:val="218"/>
        </w:trPr>
        <w:tc>
          <w:tcPr>
            <w:tcW w:w="7920" w:type="dxa"/>
            <w:vAlign w:val="bottom"/>
          </w:tcPr>
          <w:p>
            <w:pPr>
              <w:spacing w:after="0"/>
              <w:rPr>
                <w:sz w:val="20"/>
                <w:szCs w:val="20"/>
                <w:color w:val="auto"/>
              </w:rPr>
            </w:pPr>
            <w:r>
              <w:rPr>
                <w:rFonts w:ascii="Arial" w:cs="Arial" w:eastAsia="Arial" w:hAnsi="Arial"/>
                <w:sz w:val="18"/>
                <w:szCs w:val="18"/>
                <w:b w:val="1"/>
                <w:bCs w:val="1"/>
                <w:color w:val="auto"/>
              </w:rPr>
              <w:t>(Decrease) increase in cash, cash equivalents and restricted cash</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(162,650)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75,872</w:t>
            </w:r>
          </w:p>
        </w:tc>
        <w:tc>
          <w:tcPr>
            <w:tcW w:w="0" w:type="dxa"/>
            <w:vAlign w:val="bottom"/>
          </w:tcPr>
          <w:p>
            <w:pPr>
              <w:spacing w:after="0"/>
              <w:rPr>
                <w:sz w:val="1"/>
                <w:szCs w:val="1"/>
                <w:color w:val="auto"/>
              </w:rPr>
            </w:pPr>
          </w:p>
        </w:tc>
      </w:tr>
      <w:tr>
        <w:trPr>
          <w:trHeight w:val="235"/>
        </w:trPr>
        <w:tc>
          <w:tcPr>
            <w:tcW w:w="7920" w:type="dxa"/>
            <w:vAlign w:val="bottom"/>
          </w:tcPr>
          <w:p>
            <w:pPr>
              <w:spacing w:after="0"/>
              <w:rPr>
                <w:sz w:val="20"/>
                <w:szCs w:val="20"/>
                <w:color w:val="auto"/>
              </w:rPr>
            </w:pPr>
            <w:r>
              <w:rPr>
                <w:rFonts w:ascii="Arial" w:cs="Arial" w:eastAsia="Arial" w:hAnsi="Arial"/>
                <w:sz w:val="18"/>
                <w:szCs w:val="18"/>
                <w:b w:val="1"/>
                <w:bCs w:val="1"/>
                <w:color w:val="auto"/>
              </w:rPr>
              <w:t>Effect of foreign currency on cash, cash equivalents and restricted cash</w:t>
            </w: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707</w:t>
            </w:r>
          </w:p>
        </w:tc>
        <w:tc>
          <w:tcPr>
            <w:tcW w:w="0" w:type="dxa"/>
            <w:vAlign w:val="bottom"/>
          </w:tcPr>
          <w:p>
            <w:pPr>
              <w:spacing w:after="0"/>
              <w:rPr>
                <w:sz w:val="1"/>
                <w:szCs w:val="1"/>
                <w:color w:val="auto"/>
              </w:rPr>
            </w:pPr>
          </w:p>
        </w:tc>
      </w:tr>
      <w:tr>
        <w:trPr>
          <w:trHeight w:val="218"/>
        </w:trPr>
        <w:tc>
          <w:tcPr>
            <w:tcW w:w="7920" w:type="dxa"/>
            <w:vAlign w:val="bottom"/>
          </w:tcPr>
          <w:p>
            <w:pPr>
              <w:spacing w:after="0"/>
              <w:rPr>
                <w:sz w:val="20"/>
                <w:szCs w:val="20"/>
                <w:color w:val="auto"/>
              </w:rPr>
            </w:pPr>
            <w:r>
              <w:rPr>
                <w:rFonts w:ascii="Arial" w:cs="Arial" w:eastAsia="Arial" w:hAnsi="Arial"/>
                <w:sz w:val="18"/>
                <w:szCs w:val="18"/>
                <w:b w:val="1"/>
                <w:bCs w:val="1"/>
                <w:color w:val="auto"/>
              </w:rPr>
              <w:t>Net (decrease) increase in cash, cash equivalents and restricted cash</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(162,752)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76,579</w:t>
            </w:r>
          </w:p>
        </w:tc>
        <w:tc>
          <w:tcPr>
            <w:tcW w:w="0" w:type="dxa"/>
            <w:vAlign w:val="bottom"/>
          </w:tcPr>
          <w:p>
            <w:pPr>
              <w:spacing w:after="0"/>
              <w:rPr>
                <w:sz w:val="1"/>
                <w:szCs w:val="1"/>
                <w:color w:val="auto"/>
              </w:rPr>
            </w:pPr>
          </w:p>
        </w:tc>
      </w:tr>
      <w:tr>
        <w:trPr>
          <w:trHeight w:val="235"/>
        </w:trPr>
        <w:tc>
          <w:tcPr>
            <w:tcW w:w="7920" w:type="dxa"/>
            <w:vAlign w:val="bottom"/>
          </w:tcPr>
          <w:p>
            <w:pPr>
              <w:spacing w:after="0"/>
              <w:rPr>
                <w:sz w:val="20"/>
                <w:szCs w:val="20"/>
                <w:color w:val="auto"/>
              </w:rPr>
            </w:pPr>
            <w:r>
              <w:rPr>
                <w:rFonts w:ascii="Arial" w:cs="Arial" w:eastAsia="Arial" w:hAnsi="Arial"/>
                <w:sz w:val="18"/>
                <w:szCs w:val="18"/>
                <w:b w:val="1"/>
                <w:bCs w:val="1"/>
                <w:color w:val="auto"/>
              </w:rPr>
              <w:t>Cash, cash equivalents and restricted cash at beginning of period</w:t>
            </w: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364,226</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240,631</w:t>
            </w:r>
          </w:p>
        </w:tc>
        <w:tc>
          <w:tcPr>
            <w:tcW w:w="0" w:type="dxa"/>
            <w:vAlign w:val="bottom"/>
          </w:tcPr>
          <w:p>
            <w:pPr>
              <w:spacing w:after="0"/>
              <w:rPr>
                <w:sz w:val="1"/>
                <w:szCs w:val="1"/>
                <w:color w:val="auto"/>
              </w:rPr>
            </w:pPr>
          </w:p>
        </w:tc>
      </w:tr>
      <w:tr>
        <w:trPr>
          <w:trHeight w:val="223"/>
        </w:trPr>
        <w:tc>
          <w:tcPr>
            <w:tcW w:w="7920" w:type="dxa"/>
            <w:vAlign w:val="bottom"/>
          </w:tcPr>
          <w:p>
            <w:pPr>
              <w:spacing w:after="0"/>
              <w:rPr>
                <w:sz w:val="20"/>
                <w:szCs w:val="20"/>
                <w:color w:val="auto"/>
              </w:rPr>
            </w:pPr>
            <w:r>
              <w:rPr>
                <w:rFonts w:ascii="Arial" w:cs="Arial" w:eastAsia="Arial" w:hAnsi="Arial"/>
                <w:sz w:val="18"/>
                <w:szCs w:val="18"/>
                <w:b w:val="1"/>
                <w:bCs w:val="1"/>
                <w:color w:val="auto"/>
              </w:rPr>
              <w:t>Cash, cash equivalents and restricted cash at end of period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201,474</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317,210</w:t>
            </w:r>
          </w:p>
        </w:tc>
        <w:tc>
          <w:tcPr>
            <w:tcW w:w="0" w:type="dxa"/>
            <w:vAlign w:val="bottom"/>
          </w:tcPr>
          <w:p>
            <w:pPr>
              <w:spacing w:after="0"/>
              <w:rPr>
                <w:sz w:val="1"/>
                <w:szCs w:val="1"/>
                <w:color w:val="auto"/>
              </w:rPr>
            </w:pPr>
          </w:p>
        </w:tc>
      </w:tr>
      <w:tr>
        <w:trPr>
          <w:trHeight w:val="20"/>
        </w:trPr>
        <w:tc>
          <w:tcPr>
            <w:tcW w:w="7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400" w:top="1025" w:right="399" w:bottom="1440" w:gutter="0" w:footer="0" w:header="0"/>
        </w:sectPr>
      </w:pPr>
    </w:p>
    <w:bookmarkStart w:id="12" w:name="page13"/>
    <w:bookmarkEnd w:id="12"/>
    <w:p>
      <w:pPr>
        <w:jc w:val="center"/>
        <w:ind w:right="20"/>
        <w:spacing w:after="0"/>
        <w:rPr>
          <w:sz w:val="20"/>
          <w:szCs w:val="20"/>
          <w:color w:val="auto"/>
        </w:rPr>
      </w:pPr>
      <w:r>
        <w:rPr>
          <w:rFonts w:ascii="Arial" w:cs="Arial" w:eastAsia="Arial" w:hAnsi="Arial"/>
          <w:sz w:val="18"/>
          <w:szCs w:val="18"/>
          <w:color w:val="auto"/>
        </w:rPr>
        <w:t>CASH, CASH EQUIVALENTS AND RESTRICTED CASH</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gridSpan w:val="2"/>
          </w:tcPr>
          <w:p>
            <w:pPr>
              <w:ind w:left="60"/>
              <w:spacing w:after="0"/>
              <w:rPr>
                <w:sz w:val="20"/>
                <w:szCs w:val="20"/>
                <w:color w:val="auto"/>
              </w:rPr>
            </w:pPr>
            <w:r>
              <w:rPr>
                <w:rFonts w:ascii="Arial" w:cs="Arial" w:eastAsia="Arial" w:hAnsi="Arial"/>
                <w:sz w:val="18"/>
                <w:szCs w:val="18"/>
                <w:color w:val="auto"/>
              </w:rPr>
              <w:t>September 30,</w:t>
            </w:r>
          </w:p>
        </w:tc>
        <w:tc>
          <w:tcPr>
            <w:tcW w:w="160" w:type="dxa"/>
            <w:vAlign w:val="bottom"/>
          </w:tcPr>
          <w:p>
            <w:pPr>
              <w:spacing w:after="0"/>
              <w:rPr>
                <w:sz w:val="19"/>
                <w:szCs w:val="19"/>
                <w:color w:val="auto"/>
              </w:rPr>
            </w:pPr>
          </w:p>
        </w:tc>
        <w:tc>
          <w:tcPr>
            <w:tcW w:w="1380" w:type="dxa"/>
            <w:vAlign w:val="bottom"/>
          </w:tcPr>
          <w:p>
            <w:pPr>
              <w:jc w:val="right"/>
              <w:ind w:right="110"/>
              <w:spacing w:after="0"/>
              <w:rPr>
                <w:sz w:val="20"/>
                <w:szCs w:val="20"/>
                <w:color w:val="auto"/>
              </w:rPr>
            </w:pPr>
            <w:r>
              <w:rPr>
                <w:rFonts w:ascii="Arial" w:cs="Arial" w:eastAsia="Arial" w:hAnsi="Arial"/>
                <w:sz w:val="18"/>
                <w:szCs w:val="18"/>
                <w:color w:val="auto"/>
              </w:rPr>
              <w:t>December 31,</w:t>
            </w:r>
          </w:p>
        </w:tc>
      </w:tr>
      <w:tr>
        <w:trPr>
          <w:trHeight w:val="242"/>
        </w:trPr>
        <w:tc>
          <w:tcPr>
            <w:tcW w:w="78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2026</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2025</w:t>
            </w:r>
          </w:p>
        </w:tc>
      </w:tr>
      <w:tr>
        <w:trPr>
          <w:trHeight w:val="224"/>
        </w:trPr>
        <w:tc>
          <w:tcPr>
            <w:tcW w:w="78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199,828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362,578</w:t>
            </w:r>
          </w:p>
        </w:tc>
      </w:tr>
      <w:tr>
        <w:trPr>
          <w:trHeight w:val="235"/>
        </w:trPr>
        <w:tc>
          <w:tcPr>
            <w:tcW w:w="7880" w:type="dxa"/>
            <w:vAlign w:val="bottom"/>
          </w:tcPr>
          <w:p>
            <w:pPr>
              <w:spacing w:after="0"/>
              <w:rPr>
                <w:sz w:val="20"/>
                <w:szCs w:val="20"/>
                <w:color w:val="auto"/>
              </w:rPr>
            </w:pPr>
            <w:r>
              <w:rPr>
                <w:rFonts w:ascii="Arial" w:cs="Arial" w:eastAsia="Arial" w:hAnsi="Arial"/>
                <w:sz w:val="18"/>
                <w:szCs w:val="18"/>
                <w:color w:val="auto"/>
              </w:rPr>
              <w:t>Restricted cash</w:t>
            </w:r>
          </w:p>
        </w:tc>
        <w:tc>
          <w:tcPr>
            <w:tcW w:w="2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1,646</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1,648</w:t>
            </w:r>
          </w:p>
        </w:tc>
      </w:tr>
      <w:tr>
        <w:trPr>
          <w:trHeight w:val="223"/>
        </w:trPr>
        <w:tc>
          <w:tcPr>
            <w:tcW w:w="7880" w:type="dxa"/>
            <w:vAlign w:val="bottom"/>
          </w:tcPr>
          <w:p>
            <w:pPr>
              <w:spacing w:after="0"/>
              <w:rPr>
                <w:sz w:val="20"/>
                <w:szCs w:val="20"/>
                <w:color w:val="auto"/>
              </w:rPr>
            </w:pPr>
            <w:r>
              <w:rPr>
                <w:rFonts w:ascii="Arial" w:cs="Arial" w:eastAsia="Arial" w:hAnsi="Arial"/>
                <w:sz w:val="18"/>
                <w:szCs w:val="18"/>
                <w:color w:val="auto"/>
              </w:rPr>
              <w:t>Total cash, cash equivalents and restricted cash</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201,474</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364,226</w:t>
            </w:r>
          </w:p>
        </w:tc>
      </w:tr>
      <w:tr>
        <w:trPr>
          <w:trHeight w:val="21"/>
        </w:trPr>
        <w:tc>
          <w:tcPr>
            <w:tcW w:w="78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20"/>
          </w:cols>
          <w:pgMar w:left="340" w:top="1025" w:right="339" w:bottom="1440" w:gutter="0" w:footer="0" w:header="0"/>
        </w:sectPr>
      </w:pPr>
    </w:p>
    <w:bookmarkStart w:id="13" w:name="page14"/>
    <w:bookmarkEnd w:id="13"/>
    <w:p>
      <w:pPr>
        <w:jc w:val="center"/>
        <w:ind w:right="20"/>
        <w:spacing w:after="0"/>
        <w:rPr>
          <w:sz w:val="20"/>
          <w:szCs w:val="20"/>
          <w:color w:val="auto"/>
        </w:rPr>
      </w:pPr>
      <w:r>
        <w:rPr>
          <w:rFonts w:ascii="Arial" w:cs="Arial" w:eastAsia="Arial" w:hAnsi="Arial"/>
          <w:sz w:val="18"/>
          <w:szCs w:val="18"/>
          <w:color w:val="auto"/>
        </w:rPr>
        <w:t>VERACYTE, INC.</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RECONCILIATION OF U.S. GAAP to NON-GAAP FINANCIAL MEASURES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thousands)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5220" w:type="dxa"/>
            <w:vAlign w:val="bottom"/>
          </w:tcPr>
          <w:p>
            <w:pPr>
              <w:spacing w:after="0"/>
              <w:rPr>
                <w:sz w:val="21"/>
                <w:szCs w:val="21"/>
                <w:color w:val="auto"/>
              </w:rPr>
            </w:pPr>
          </w:p>
        </w:tc>
        <w:tc>
          <w:tcPr>
            <w:tcW w:w="3040" w:type="dxa"/>
            <w:vAlign w:val="bottom"/>
            <w:gridSpan w:val="6"/>
          </w:tcPr>
          <w:p>
            <w:pPr>
              <w:ind w:left="20"/>
              <w:spacing w:after="0"/>
              <w:rPr>
                <w:sz w:val="20"/>
                <w:szCs w:val="20"/>
                <w:color w:val="auto"/>
              </w:rPr>
            </w:pPr>
            <w:r>
              <w:rPr>
                <w:rFonts w:ascii="Arial" w:cs="Arial" w:eastAsia="Arial" w:hAnsi="Arial"/>
                <w:sz w:val="18"/>
                <w:szCs w:val="18"/>
                <w:color w:val="auto"/>
              </w:rPr>
              <w:t>Three Months Ended September 30,</w:t>
            </w:r>
          </w:p>
        </w:tc>
        <w:tc>
          <w:tcPr>
            <w:tcW w:w="2960" w:type="dxa"/>
            <w:vAlign w:val="bottom"/>
            <w:gridSpan w:val="5"/>
          </w:tcPr>
          <w:p>
            <w:pPr>
              <w:jc w:val="right"/>
              <w:spacing w:after="0"/>
              <w:rPr>
                <w:sz w:val="20"/>
                <w:szCs w:val="20"/>
                <w:color w:val="auto"/>
              </w:rPr>
            </w:pPr>
            <w:r>
              <w:rPr>
                <w:rFonts w:ascii="Arial" w:cs="Arial" w:eastAsia="Arial" w:hAnsi="Arial"/>
                <w:sz w:val="18"/>
                <w:szCs w:val="18"/>
                <w:color w:val="auto"/>
              </w:rPr>
              <w:t>Nine Months Ended September 30,</w:t>
            </w:r>
          </w:p>
        </w:tc>
      </w:tr>
      <w:tr>
        <w:trPr>
          <w:trHeight w:val="236"/>
        </w:trPr>
        <w:tc>
          <w:tcPr>
            <w:tcW w:w="522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rPr>
              <w:t>2026</w:t>
            </w:r>
          </w:p>
        </w:tc>
        <w:tc>
          <w:tcPr>
            <w:tcW w:w="120" w:type="dxa"/>
            <w:vAlign w:val="bottom"/>
            <w:tcBorders>
              <w:top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rPr>
              <w:t>2025</w:t>
            </w:r>
          </w:p>
        </w:tc>
        <w:tc>
          <w:tcPr>
            <w:tcW w:w="100" w:type="dxa"/>
            <w:vAlign w:val="bottom"/>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rPr>
              <w:t>2026</w:t>
            </w:r>
          </w:p>
        </w:tc>
        <w:tc>
          <w:tcPr>
            <w:tcW w:w="80" w:type="dxa"/>
            <w:vAlign w:val="bottom"/>
            <w:tcBorders>
              <w:top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rPr>
              <w:t>2025</w:t>
            </w:r>
          </w:p>
        </w:tc>
      </w:tr>
      <w:tr>
        <w:trPr>
          <w:trHeight w:val="211"/>
        </w:trPr>
        <w:tc>
          <w:tcPr>
            <w:tcW w:w="5220" w:type="dxa"/>
            <w:vAlign w:val="bottom"/>
          </w:tcPr>
          <w:p>
            <w:pPr>
              <w:spacing w:after="0"/>
              <w:rPr>
                <w:sz w:val="20"/>
                <w:szCs w:val="20"/>
                <w:color w:val="auto"/>
              </w:rPr>
            </w:pPr>
            <w:r>
              <w:rPr>
                <w:rFonts w:ascii="Arial" w:cs="Arial" w:eastAsia="Arial" w:hAnsi="Arial"/>
                <w:sz w:val="18"/>
                <w:szCs w:val="18"/>
                <w:b w:val="1"/>
                <w:bCs w:val="1"/>
                <w:color w:val="auto"/>
              </w:rPr>
              <w:t>Reconciliation of Non-GAAP Cost of Revenue:</w:t>
            </w: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29"/>
        </w:trPr>
        <w:tc>
          <w:tcPr>
            <w:tcW w:w="5220" w:type="dxa"/>
            <w:vAlign w:val="bottom"/>
          </w:tcPr>
          <w:p>
            <w:pPr>
              <w:ind w:left="120"/>
              <w:spacing w:after="0"/>
              <w:rPr>
                <w:sz w:val="20"/>
                <w:szCs w:val="20"/>
                <w:color w:val="auto"/>
              </w:rPr>
            </w:pPr>
            <w:r>
              <w:rPr>
                <w:rFonts w:ascii="Arial" w:cs="Arial" w:eastAsia="Arial" w:hAnsi="Arial"/>
                <w:sz w:val="18"/>
                <w:szCs w:val="18"/>
                <w:color w:val="auto"/>
              </w:rPr>
              <w:t>GAAP cost of testing revenue</w:t>
            </w: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38,477</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33,777</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108,092</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94,444</w:t>
            </w:r>
          </w:p>
        </w:tc>
      </w:tr>
      <w:tr>
        <w:trPr>
          <w:trHeight w:val="230"/>
        </w:trPr>
        <w:tc>
          <w:tcPr>
            <w:tcW w:w="5220" w:type="dxa"/>
            <w:vAlign w:val="bottom"/>
          </w:tcPr>
          <w:p>
            <w:pPr>
              <w:ind w:left="220"/>
              <w:spacing w:after="0"/>
              <w:rPr>
                <w:sz w:val="20"/>
                <w:szCs w:val="20"/>
                <w:color w:val="auto"/>
              </w:rPr>
            </w:pPr>
            <w:r>
              <w:rPr>
                <w:rFonts w:ascii="Arial" w:cs="Arial" w:eastAsia="Arial" w:hAnsi="Arial"/>
                <w:sz w:val="18"/>
                <w:szCs w:val="18"/>
                <w:color w:val="auto"/>
              </w:rPr>
              <w:t>Stock-based compensation expense</w:t>
            </w:r>
          </w:p>
        </w:tc>
        <w:tc>
          <w:tcPr>
            <w:tcW w:w="300" w:type="dxa"/>
            <w:vAlign w:val="bottom"/>
          </w:tcPr>
          <w:p>
            <w:pPr>
              <w:spacing w:after="0"/>
              <w:rPr>
                <w:sz w:val="19"/>
                <w:szCs w:val="19"/>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(994)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(555)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(3,052)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(1,543)</w:t>
            </w:r>
          </w:p>
        </w:tc>
      </w:tr>
      <w:tr>
        <w:trPr>
          <w:trHeight w:val="229"/>
        </w:trPr>
        <w:tc>
          <w:tcPr>
            <w:tcW w:w="5220" w:type="dxa"/>
            <w:vAlign w:val="bottom"/>
          </w:tcPr>
          <w:p>
            <w:pPr>
              <w:ind w:left="220"/>
              <w:spacing w:after="0"/>
              <w:rPr>
                <w:sz w:val="20"/>
                <w:szCs w:val="20"/>
                <w:color w:val="auto"/>
              </w:rPr>
            </w:pPr>
            <w:r>
              <w:rPr>
                <w:rFonts w:ascii="Arial" w:cs="Arial" w:eastAsia="Arial" w:hAnsi="Arial"/>
                <w:sz w:val="18"/>
                <w:szCs w:val="18"/>
                <w:color w:val="auto"/>
              </w:rPr>
              <w:t>Acquisition related expenses (1)</w:t>
            </w:r>
          </w:p>
        </w:tc>
        <w:tc>
          <w:tcPr>
            <w:tcW w:w="300" w:type="dxa"/>
            <w:vAlign w:val="bottom"/>
          </w:tcPr>
          <w:p>
            <w:pPr>
              <w:spacing w:after="0"/>
              <w:rPr>
                <w:sz w:val="19"/>
                <w:szCs w:val="19"/>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(131)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w:t>
            </w:r>
          </w:p>
        </w:tc>
      </w:tr>
      <w:tr>
        <w:trPr>
          <w:trHeight w:val="235"/>
        </w:trPr>
        <w:tc>
          <w:tcPr>
            <w:tcW w:w="5220" w:type="dxa"/>
            <w:vAlign w:val="bottom"/>
          </w:tcPr>
          <w:p>
            <w:pPr>
              <w:ind w:left="220"/>
              <w:spacing w:after="0"/>
              <w:rPr>
                <w:sz w:val="20"/>
                <w:szCs w:val="20"/>
                <w:color w:val="auto"/>
              </w:rPr>
            </w:pPr>
            <w:r>
              <w:rPr>
                <w:rFonts w:ascii="Arial" w:cs="Arial" w:eastAsia="Arial" w:hAnsi="Arial"/>
                <w:sz w:val="18"/>
                <w:szCs w:val="18"/>
                <w:color w:val="auto"/>
              </w:rPr>
              <w:t>Other adjustments (2)</w:t>
            </w:r>
          </w:p>
        </w:tc>
        <w:tc>
          <w:tcPr>
            <w:tcW w:w="300" w:type="dxa"/>
            <w:vAlign w:val="bottom"/>
          </w:tcPr>
          <w:p>
            <w:pPr>
              <w:spacing w:after="0"/>
              <w:rPr>
                <w:sz w:val="20"/>
                <w:szCs w:val="20"/>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(316)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(954)</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w:t>
            </w:r>
          </w:p>
        </w:tc>
      </w:tr>
      <w:tr>
        <w:trPr>
          <w:trHeight w:val="223"/>
        </w:trPr>
        <w:tc>
          <w:tcPr>
            <w:tcW w:w="5220" w:type="dxa"/>
            <w:vAlign w:val="bottom"/>
          </w:tcPr>
          <w:p>
            <w:pPr>
              <w:ind w:left="120"/>
              <w:spacing w:after="0"/>
              <w:rPr>
                <w:sz w:val="20"/>
                <w:szCs w:val="20"/>
                <w:color w:val="auto"/>
              </w:rPr>
            </w:pPr>
            <w:r>
              <w:rPr>
                <w:rFonts w:ascii="Arial" w:cs="Arial" w:eastAsia="Arial" w:hAnsi="Arial"/>
                <w:sz w:val="18"/>
                <w:szCs w:val="18"/>
                <w:color w:val="auto"/>
              </w:rPr>
              <w:t>Non-GAAP cost of testing revenue</w:t>
            </w:r>
          </w:p>
        </w:tc>
        <w:tc>
          <w:tcPr>
            <w:tcW w:w="3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37,036</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33,222</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103,955</w:t>
            </w:r>
          </w:p>
        </w:tc>
        <w:tc>
          <w:tcPr>
            <w:tcW w:w="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92,901</w:t>
            </w:r>
          </w:p>
        </w:tc>
      </w:tr>
      <w:tr>
        <w:trPr>
          <w:trHeight w:val="461"/>
        </w:trPr>
        <w:tc>
          <w:tcPr>
            <w:tcW w:w="5220" w:type="dxa"/>
            <w:vAlign w:val="bottom"/>
          </w:tcPr>
          <w:p>
            <w:pPr>
              <w:ind w:left="120"/>
              <w:spacing w:after="0"/>
              <w:rPr>
                <w:sz w:val="20"/>
                <w:szCs w:val="20"/>
                <w:color w:val="auto"/>
              </w:rPr>
            </w:pPr>
            <w:r>
              <w:rPr>
                <w:rFonts w:ascii="Arial" w:cs="Arial" w:eastAsia="Arial" w:hAnsi="Arial"/>
                <w:sz w:val="18"/>
                <w:szCs w:val="18"/>
                <w:color w:val="auto"/>
              </w:rPr>
              <w:t>GAAP cost of product revenue</w:t>
            </w:r>
          </w:p>
        </w:tc>
        <w:tc>
          <w:tcPr>
            <w:tcW w:w="300" w:type="dxa"/>
            <w:vAlign w:val="bottom"/>
          </w:tcPr>
          <w:p>
            <w:pPr>
              <w:spacing w:after="0"/>
              <w:rPr>
                <w:sz w:val="24"/>
                <w:szCs w:val="24"/>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2,766</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3,015</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7,172</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6,186</w:t>
            </w:r>
          </w:p>
        </w:tc>
      </w:tr>
      <w:tr>
        <w:trPr>
          <w:trHeight w:val="230"/>
        </w:trPr>
        <w:tc>
          <w:tcPr>
            <w:tcW w:w="5220" w:type="dxa"/>
            <w:vAlign w:val="bottom"/>
          </w:tcPr>
          <w:p>
            <w:pPr>
              <w:ind w:left="220"/>
              <w:spacing w:after="0"/>
              <w:rPr>
                <w:sz w:val="20"/>
                <w:szCs w:val="20"/>
                <w:color w:val="auto"/>
              </w:rPr>
            </w:pPr>
            <w:r>
              <w:rPr>
                <w:rFonts w:ascii="Arial" w:cs="Arial" w:eastAsia="Arial" w:hAnsi="Arial"/>
                <w:sz w:val="18"/>
                <w:szCs w:val="18"/>
                <w:color w:val="auto"/>
              </w:rPr>
              <w:t>Stock-based compensation expense</w:t>
            </w:r>
          </w:p>
        </w:tc>
        <w:tc>
          <w:tcPr>
            <w:tcW w:w="300" w:type="dxa"/>
            <w:vAlign w:val="bottom"/>
          </w:tcPr>
          <w:p>
            <w:pPr>
              <w:spacing w:after="0"/>
              <w:rPr>
                <w:sz w:val="19"/>
                <w:szCs w:val="19"/>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(2)</w:t>
            </w:r>
          </w:p>
        </w:tc>
      </w:tr>
      <w:tr>
        <w:trPr>
          <w:trHeight w:val="229"/>
        </w:trPr>
        <w:tc>
          <w:tcPr>
            <w:tcW w:w="5220" w:type="dxa"/>
            <w:vAlign w:val="bottom"/>
          </w:tcPr>
          <w:p>
            <w:pPr>
              <w:ind w:left="220"/>
              <w:spacing w:after="0"/>
              <w:rPr>
                <w:sz w:val="20"/>
                <w:szCs w:val="20"/>
                <w:color w:val="auto"/>
              </w:rPr>
            </w:pPr>
            <w:r>
              <w:rPr>
                <w:rFonts w:ascii="Arial" w:cs="Arial" w:eastAsia="Arial" w:hAnsi="Arial"/>
                <w:sz w:val="18"/>
                <w:szCs w:val="18"/>
                <w:color w:val="auto"/>
              </w:rPr>
              <w:t>Acquisition related expenses (1)</w:t>
            </w:r>
          </w:p>
        </w:tc>
        <w:tc>
          <w:tcPr>
            <w:tcW w:w="300" w:type="dxa"/>
            <w:vAlign w:val="bottom"/>
          </w:tcPr>
          <w:p>
            <w:pPr>
              <w:spacing w:after="0"/>
              <w:rPr>
                <w:sz w:val="19"/>
                <w:szCs w:val="19"/>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w:t>
            </w:r>
          </w:p>
        </w:tc>
      </w:tr>
      <w:tr>
        <w:trPr>
          <w:trHeight w:val="235"/>
        </w:trPr>
        <w:tc>
          <w:tcPr>
            <w:tcW w:w="5220" w:type="dxa"/>
            <w:vAlign w:val="bottom"/>
          </w:tcPr>
          <w:p>
            <w:pPr>
              <w:ind w:left="220"/>
              <w:spacing w:after="0"/>
              <w:rPr>
                <w:sz w:val="20"/>
                <w:szCs w:val="20"/>
                <w:color w:val="auto"/>
              </w:rPr>
            </w:pPr>
            <w:r>
              <w:rPr>
                <w:rFonts w:ascii="Arial" w:cs="Arial" w:eastAsia="Arial" w:hAnsi="Arial"/>
                <w:sz w:val="18"/>
                <w:szCs w:val="18"/>
                <w:color w:val="auto"/>
              </w:rPr>
              <w:t>Other adjustments (2)</w:t>
            </w:r>
          </w:p>
        </w:tc>
        <w:tc>
          <w:tcPr>
            <w:tcW w:w="300" w:type="dxa"/>
            <w:vAlign w:val="bottom"/>
          </w:tcPr>
          <w:p>
            <w:pPr>
              <w:spacing w:after="0"/>
              <w:rPr>
                <w:sz w:val="20"/>
                <w:szCs w:val="20"/>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(1,418)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(1,450)</w:t>
            </w:r>
          </w:p>
        </w:tc>
      </w:tr>
      <w:tr>
        <w:trPr>
          <w:trHeight w:val="223"/>
        </w:trPr>
        <w:tc>
          <w:tcPr>
            <w:tcW w:w="5220" w:type="dxa"/>
            <w:vAlign w:val="bottom"/>
          </w:tcPr>
          <w:p>
            <w:pPr>
              <w:ind w:left="120"/>
              <w:spacing w:after="0"/>
              <w:rPr>
                <w:sz w:val="20"/>
                <w:szCs w:val="20"/>
                <w:color w:val="auto"/>
              </w:rPr>
            </w:pPr>
            <w:r>
              <w:rPr>
                <w:rFonts w:ascii="Arial" w:cs="Arial" w:eastAsia="Arial" w:hAnsi="Arial"/>
                <w:sz w:val="18"/>
                <w:szCs w:val="18"/>
                <w:color w:val="auto"/>
              </w:rPr>
              <w:t>Non-GAAP cost of product revenue</w:t>
            </w:r>
          </w:p>
        </w:tc>
        <w:tc>
          <w:tcPr>
            <w:tcW w:w="3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2,765</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1,597</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7,181</w:t>
            </w:r>
          </w:p>
        </w:tc>
        <w:tc>
          <w:tcPr>
            <w:tcW w:w="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4,734</w:t>
            </w:r>
          </w:p>
        </w:tc>
      </w:tr>
      <w:tr>
        <w:trPr>
          <w:trHeight w:val="461"/>
        </w:trPr>
        <w:tc>
          <w:tcPr>
            <w:tcW w:w="5220" w:type="dxa"/>
            <w:vAlign w:val="bottom"/>
          </w:tcPr>
          <w:p>
            <w:pPr>
              <w:ind w:left="120"/>
              <w:spacing w:after="0"/>
              <w:rPr>
                <w:sz w:val="20"/>
                <w:szCs w:val="20"/>
                <w:color w:val="auto"/>
              </w:rPr>
            </w:pPr>
            <w:r>
              <w:rPr>
                <w:rFonts w:ascii="Arial" w:cs="Arial" w:eastAsia="Arial" w:hAnsi="Arial"/>
                <w:sz w:val="18"/>
                <w:szCs w:val="18"/>
                <w:color w:val="auto"/>
              </w:rPr>
              <w:t>GAAP cost of biopharmaceutical and other revenue</w:t>
            </w:r>
          </w:p>
        </w:tc>
        <w:tc>
          <w:tcPr>
            <w:tcW w:w="300" w:type="dxa"/>
            <w:vAlign w:val="bottom"/>
          </w:tcPr>
          <w:p>
            <w:pPr>
              <w:spacing w:after="0"/>
              <w:rPr>
                <w:sz w:val="24"/>
                <w:szCs w:val="24"/>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142</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1,091</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357</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7,361</w:t>
            </w:r>
          </w:p>
        </w:tc>
      </w:tr>
      <w:tr>
        <w:trPr>
          <w:trHeight w:val="229"/>
        </w:trPr>
        <w:tc>
          <w:tcPr>
            <w:tcW w:w="5220" w:type="dxa"/>
            <w:vAlign w:val="bottom"/>
          </w:tcPr>
          <w:p>
            <w:pPr>
              <w:ind w:left="220"/>
              <w:spacing w:after="0"/>
              <w:rPr>
                <w:sz w:val="20"/>
                <w:szCs w:val="20"/>
                <w:color w:val="auto"/>
              </w:rPr>
            </w:pPr>
            <w:r>
              <w:rPr>
                <w:rFonts w:ascii="Arial" w:cs="Arial" w:eastAsia="Arial" w:hAnsi="Arial"/>
                <w:sz w:val="18"/>
                <w:szCs w:val="18"/>
                <w:color w:val="auto"/>
              </w:rPr>
              <w:t>Stock-based compensation expense</w:t>
            </w:r>
          </w:p>
        </w:tc>
        <w:tc>
          <w:tcPr>
            <w:tcW w:w="300" w:type="dxa"/>
            <w:vAlign w:val="bottom"/>
          </w:tcPr>
          <w:p>
            <w:pPr>
              <w:spacing w:after="0"/>
              <w:rPr>
                <w:sz w:val="19"/>
                <w:szCs w:val="19"/>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(123)</w:t>
            </w:r>
          </w:p>
        </w:tc>
      </w:tr>
      <w:tr>
        <w:trPr>
          <w:trHeight w:val="230"/>
        </w:trPr>
        <w:tc>
          <w:tcPr>
            <w:tcW w:w="5220" w:type="dxa"/>
            <w:vAlign w:val="bottom"/>
          </w:tcPr>
          <w:p>
            <w:pPr>
              <w:ind w:left="220"/>
              <w:spacing w:after="0"/>
              <w:rPr>
                <w:sz w:val="20"/>
                <w:szCs w:val="20"/>
                <w:color w:val="auto"/>
              </w:rPr>
            </w:pPr>
            <w:r>
              <w:rPr>
                <w:rFonts w:ascii="Arial" w:cs="Arial" w:eastAsia="Arial" w:hAnsi="Arial"/>
                <w:sz w:val="18"/>
                <w:szCs w:val="18"/>
                <w:color w:val="auto"/>
              </w:rPr>
              <w:t>Acquisition related expenses (1)</w:t>
            </w:r>
          </w:p>
        </w:tc>
        <w:tc>
          <w:tcPr>
            <w:tcW w:w="300" w:type="dxa"/>
            <w:vAlign w:val="bottom"/>
          </w:tcPr>
          <w:p>
            <w:pPr>
              <w:spacing w:after="0"/>
              <w:rPr>
                <w:sz w:val="19"/>
                <w:szCs w:val="19"/>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w:t>
            </w:r>
          </w:p>
        </w:tc>
      </w:tr>
      <w:tr>
        <w:trPr>
          <w:trHeight w:val="235"/>
        </w:trPr>
        <w:tc>
          <w:tcPr>
            <w:tcW w:w="5220" w:type="dxa"/>
            <w:vAlign w:val="bottom"/>
          </w:tcPr>
          <w:p>
            <w:pPr>
              <w:ind w:left="220"/>
              <w:spacing w:after="0"/>
              <w:rPr>
                <w:sz w:val="20"/>
                <w:szCs w:val="20"/>
                <w:color w:val="auto"/>
              </w:rPr>
            </w:pPr>
            <w:r>
              <w:rPr>
                <w:rFonts w:ascii="Arial" w:cs="Arial" w:eastAsia="Arial" w:hAnsi="Arial"/>
                <w:sz w:val="18"/>
                <w:szCs w:val="18"/>
                <w:color w:val="auto"/>
              </w:rPr>
              <w:t>Other adjustments (2)</w:t>
            </w:r>
          </w:p>
        </w:tc>
        <w:tc>
          <w:tcPr>
            <w:tcW w:w="300" w:type="dxa"/>
            <w:vAlign w:val="bottom"/>
          </w:tcPr>
          <w:p>
            <w:pPr>
              <w:spacing w:after="0"/>
              <w:rPr>
                <w:sz w:val="20"/>
                <w:szCs w:val="20"/>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w:t>
            </w:r>
          </w:p>
        </w:tc>
      </w:tr>
      <w:tr>
        <w:trPr>
          <w:trHeight w:val="223"/>
        </w:trPr>
        <w:tc>
          <w:tcPr>
            <w:tcW w:w="5220" w:type="dxa"/>
            <w:vAlign w:val="bottom"/>
          </w:tcPr>
          <w:p>
            <w:pPr>
              <w:ind w:left="120"/>
              <w:spacing w:after="0"/>
              <w:rPr>
                <w:sz w:val="20"/>
                <w:szCs w:val="20"/>
                <w:color w:val="auto"/>
              </w:rPr>
            </w:pPr>
            <w:r>
              <w:rPr>
                <w:rFonts w:ascii="Arial" w:cs="Arial" w:eastAsia="Arial" w:hAnsi="Arial"/>
                <w:sz w:val="18"/>
                <w:szCs w:val="18"/>
                <w:color w:val="auto"/>
              </w:rPr>
              <w:t>Non-GAAP cost of biopharmaceutical and other revenue</w:t>
            </w:r>
          </w:p>
        </w:tc>
        <w:tc>
          <w:tcPr>
            <w:tcW w:w="3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142</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1,106</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357</w:t>
            </w:r>
          </w:p>
        </w:tc>
        <w:tc>
          <w:tcPr>
            <w:tcW w:w="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7,238</w:t>
            </w:r>
          </w:p>
        </w:tc>
      </w:tr>
      <w:tr>
        <w:trPr>
          <w:trHeight w:val="461"/>
        </w:trPr>
        <w:tc>
          <w:tcPr>
            <w:tcW w:w="5220" w:type="dxa"/>
            <w:vAlign w:val="bottom"/>
          </w:tcPr>
          <w:p>
            <w:pPr>
              <w:spacing w:after="0"/>
              <w:rPr>
                <w:sz w:val="20"/>
                <w:szCs w:val="20"/>
                <w:color w:val="auto"/>
              </w:rPr>
            </w:pPr>
            <w:r>
              <w:rPr>
                <w:rFonts w:ascii="Arial" w:cs="Arial" w:eastAsia="Arial" w:hAnsi="Arial"/>
                <w:sz w:val="18"/>
                <w:szCs w:val="18"/>
                <w:b w:val="1"/>
                <w:bCs w:val="1"/>
                <w:color w:val="auto"/>
              </w:rPr>
              <w:t>Reconciliation of Non-GAAP Gross Margin:</w:t>
            </w: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29"/>
        </w:trPr>
        <w:tc>
          <w:tcPr>
            <w:tcW w:w="5220" w:type="dxa"/>
            <w:vAlign w:val="bottom"/>
          </w:tcPr>
          <w:p>
            <w:pPr>
              <w:ind w:left="120"/>
              <w:spacing w:after="0"/>
              <w:rPr>
                <w:sz w:val="20"/>
                <w:szCs w:val="20"/>
                <w:color w:val="auto"/>
              </w:rPr>
            </w:pPr>
            <w:r>
              <w:rPr>
                <w:rFonts w:ascii="Arial" w:cs="Arial" w:eastAsia="Arial" w:hAnsi="Arial"/>
                <w:sz w:val="18"/>
                <w:szCs w:val="18"/>
                <w:color w:val="auto"/>
              </w:rPr>
              <w:t>GAAP Gross Profit</w:t>
            </w: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107,104</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91,282</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316,812</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260,559</w:t>
            </w:r>
          </w:p>
        </w:tc>
      </w:tr>
      <w:tr>
        <w:trPr>
          <w:trHeight w:val="230"/>
        </w:trPr>
        <w:tc>
          <w:tcPr>
            <w:tcW w:w="5220" w:type="dxa"/>
            <w:vAlign w:val="bottom"/>
          </w:tcPr>
          <w:p>
            <w:pPr>
              <w:ind w:left="120"/>
              <w:spacing w:after="0"/>
              <w:rPr>
                <w:sz w:val="20"/>
                <w:szCs w:val="20"/>
                <w:color w:val="auto"/>
              </w:rPr>
            </w:pPr>
            <w:r>
              <w:rPr>
                <w:rFonts w:ascii="Arial" w:cs="Arial" w:eastAsia="Arial" w:hAnsi="Arial"/>
                <w:sz w:val="18"/>
                <w:szCs w:val="18"/>
                <w:color w:val="auto"/>
              </w:rPr>
              <w:t>GAAP Gross Margin</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70.6%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69.2%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71.8%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69.2%</w:t>
            </w:r>
          </w:p>
        </w:tc>
      </w:tr>
      <w:tr>
        <w:trPr>
          <w:trHeight w:val="230"/>
        </w:trPr>
        <w:tc>
          <w:tcPr>
            <w:tcW w:w="5220" w:type="dxa"/>
            <w:vAlign w:val="bottom"/>
          </w:tcPr>
          <w:p>
            <w:pPr>
              <w:ind w:left="220"/>
              <w:spacing w:after="0"/>
              <w:rPr>
                <w:sz w:val="20"/>
                <w:szCs w:val="20"/>
                <w:color w:val="auto"/>
              </w:rPr>
            </w:pPr>
            <w:r>
              <w:rPr>
                <w:rFonts w:ascii="Arial" w:cs="Arial" w:eastAsia="Arial" w:hAnsi="Arial"/>
                <w:sz w:val="18"/>
                <w:szCs w:val="18"/>
                <w:color w:val="auto"/>
              </w:rPr>
              <w:t>Amortization of intangible assets</w:t>
            </w:r>
          </w:p>
        </w:tc>
        <w:tc>
          <w:tcPr>
            <w:tcW w:w="300" w:type="dxa"/>
            <w:vAlign w:val="bottom"/>
          </w:tcPr>
          <w:p>
            <w:pPr>
              <w:spacing w:after="0"/>
              <w:rPr>
                <w:sz w:val="19"/>
                <w:szCs w:val="19"/>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3,265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2,707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8,713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7,959</w:t>
            </w:r>
          </w:p>
        </w:tc>
      </w:tr>
      <w:tr>
        <w:trPr>
          <w:trHeight w:val="230"/>
        </w:trPr>
        <w:tc>
          <w:tcPr>
            <w:tcW w:w="5220" w:type="dxa"/>
            <w:vAlign w:val="bottom"/>
          </w:tcPr>
          <w:p>
            <w:pPr>
              <w:ind w:left="220"/>
              <w:spacing w:after="0"/>
              <w:rPr>
                <w:sz w:val="20"/>
                <w:szCs w:val="20"/>
                <w:color w:val="auto"/>
              </w:rPr>
            </w:pPr>
            <w:r>
              <w:rPr>
                <w:rFonts w:ascii="Arial" w:cs="Arial" w:eastAsia="Arial" w:hAnsi="Arial"/>
                <w:sz w:val="18"/>
                <w:szCs w:val="18"/>
                <w:color w:val="auto"/>
              </w:rPr>
              <w:t>Stock-based compensation expense</w:t>
            </w:r>
          </w:p>
        </w:tc>
        <w:tc>
          <w:tcPr>
            <w:tcW w:w="300" w:type="dxa"/>
            <w:vAlign w:val="bottom"/>
          </w:tcPr>
          <w:p>
            <w:pPr>
              <w:spacing w:after="0"/>
              <w:rPr>
                <w:sz w:val="19"/>
                <w:szCs w:val="19"/>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995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540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3,054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1,668</w:t>
            </w:r>
          </w:p>
        </w:tc>
      </w:tr>
      <w:tr>
        <w:trPr>
          <w:trHeight w:val="230"/>
        </w:trPr>
        <w:tc>
          <w:tcPr>
            <w:tcW w:w="5220" w:type="dxa"/>
            <w:vAlign w:val="bottom"/>
          </w:tcPr>
          <w:p>
            <w:pPr>
              <w:ind w:left="220"/>
              <w:spacing w:after="0"/>
              <w:rPr>
                <w:sz w:val="20"/>
                <w:szCs w:val="20"/>
                <w:color w:val="auto"/>
              </w:rPr>
            </w:pPr>
            <w:r>
              <w:rPr>
                <w:rFonts w:ascii="Arial" w:cs="Arial" w:eastAsia="Arial" w:hAnsi="Arial"/>
                <w:sz w:val="18"/>
                <w:szCs w:val="18"/>
                <w:color w:val="auto"/>
              </w:rPr>
              <w:t>Acquisition related expenses (1)</w:t>
            </w:r>
          </w:p>
        </w:tc>
        <w:tc>
          <w:tcPr>
            <w:tcW w:w="300" w:type="dxa"/>
            <w:vAlign w:val="bottom"/>
          </w:tcPr>
          <w:p>
            <w:pPr>
              <w:spacing w:after="0"/>
              <w:rPr>
                <w:sz w:val="19"/>
                <w:szCs w:val="19"/>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131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w:t>
            </w:r>
          </w:p>
        </w:tc>
      </w:tr>
      <w:tr>
        <w:trPr>
          <w:trHeight w:val="235"/>
        </w:trPr>
        <w:tc>
          <w:tcPr>
            <w:tcW w:w="5220" w:type="dxa"/>
            <w:vAlign w:val="bottom"/>
          </w:tcPr>
          <w:p>
            <w:pPr>
              <w:ind w:left="220"/>
              <w:spacing w:after="0"/>
              <w:rPr>
                <w:sz w:val="20"/>
                <w:szCs w:val="20"/>
                <w:color w:val="auto"/>
              </w:rPr>
            </w:pPr>
            <w:r>
              <w:rPr>
                <w:rFonts w:ascii="Arial" w:cs="Arial" w:eastAsia="Arial" w:hAnsi="Arial"/>
                <w:sz w:val="18"/>
                <w:szCs w:val="18"/>
                <w:color w:val="auto"/>
              </w:rPr>
              <w:t>Other adjustments (2)</w:t>
            </w: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316</w:t>
            </w: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1,418</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943</w:t>
            </w: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1,450</w:t>
            </w:r>
          </w:p>
        </w:tc>
      </w:tr>
      <w:tr>
        <w:trPr>
          <w:trHeight w:val="223"/>
        </w:trPr>
        <w:tc>
          <w:tcPr>
            <w:tcW w:w="5220" w:type="dxa"/>
            <w:vAlign w:val="bottom"/>
          </w:tcPr>
          <w:p>
            <w:pPr>
              <w:ind w:left="120"/>
              <w:spacing w:after="0"/>
              <w:rPr>
                <w:sz w:val="20"/>
                <w:szCs w:val="20"/>
                <w:color w:val="auto"/>
              </w:rPr>
            </w:pPr>
            <w:r>
              <w:rPr>
                <w:rFonts w:ascii="Arial" w:cs="Arial" w:eastAsia="Arial" w:hAnsi="Arial"/>
                <w:sz w:val="18"/>
                <w:szCs w:val="18"/>
                <w:color w:val="auto"/>
              </w:rPr>
              <w:t>Non-GAAP Gross Profit</w:t>
            </w: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111,811</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95,947</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329,653</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271,636</w:t>
            </w:r>
          </w:p>
        </w:tc>
      </w:tr>
      <w:tr>
        <w:trPr>
          <w:trHeight w:val="232"/>
        </w:trPr>
        <w:tc>
          <w:tcPr>
            <w:tcW w:w="5220" w:type="dxa"/>
            <w:vAlign w:val="bottom"/>
          </w:tcPr>
          <w:p>
            <w:pPr>
              <w:ind w:left="120"/>
              <w:spacing w:after="0"/>
              <w:rPr>
                <w:sz w:val="20"/>
                <w:szCs w:val="20"/>
                <w:color w:val="auto"/>
              </w:rPr>
            </w:pPr>
            <w:r>
              <w:rPr>
                <w:rFonts w:ascii="Arial" w:cs="Arial" w:eastAsia="Arial" w:hAnsi="Arial"/>
                <w:sz w:val="18"/>
                <w:szCs w:val="18"/>
                <w:color w:val="auto"/>
              </w:rPr>
              <w:t>Non-GAAP Gross Margin</w:t>
            </w: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73.7%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72.8%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74.7%</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72.1%</w:t>
            </w:r>
          </w:p>
        </w:tc>
      </w:tr>
    </w:tbl>
    <w:p>
      <w:pPr>
        <w:spacing w:after="0" w:line="242" w:lineRule="exact"/>
        <w:rPr>
          <w:sz w:val="20"/>
          <w:szCs w:val="20"/>
          <w:color w:val="auto"/>
        </w:rPr>
      </w:pPr>
    </w:p>
    <w:p>
      <w:pPr>
        <w:jc w:val="both"/>
        <w:ind w:left="160" w:right="40" w:hanging="161"/>
        <w:spacing w:after="0"/>
        <w:rPr>
          <w:sz w:val="20"/>
          <w:szCs w:val="20"/>
          <w:color w:val="auto"/>
        </w:rPr>
      </w:pPr>
      <w:r>
        <w:rPr>
          <w:rFonts w:ascii="Arial" w:cs="Arial" w:eastAsia="Arial" w:hAnsi="Arial"/>
          <w:sz w:val="18"/>
          <w:szCs w:val="18"/>
          <w:color w:val="auto"/>
        </w:rPr>
        <w:t>1.Includes transaction-related expenses. For the three months and nine months ended September 30, 2026, adjustments consist primarily of transaction-related expenses associated with acquisition activities ($0.1M).</w:t>
      </w:r>
    </w:p>
    <w:p>
      <w:pPr>
        <w:spacing w:after="0" w:line="229" w:lineRule="auto"/>
        <w:rPr>
          <w:sz w:val="20"/>
          <w:szCs w:val="20"/>
          <w:color w:val="auto"/>
        </w:rPr>
      </w:pPr>
      <w:r>
        <w:rPr>
          <w:rFonts w:ascii="Arial" w:cs="Arial" w:eastAsia="Arial" w:hAnsi="Arial"/>
          <w:sz w:val="18"/>
          <w:szCs w:val="18"/>
          <w:color w:val="auto"/>
        </w:rPr>
        <w:t>2.For the three months ended September 30, 2026, adjustments include the impact of Non-GAAP adjustments on IT/Facilities allocations</w:t>
      </w:r>
    </w:p>
    <w:p>
      <w:pPr>
        <w:ind w:left="160"/>
        <w:spacing w:after="0" w:line="204" w:lineRule="auto"/>
        <w:rPr>
          <w:sz w:val="20"/>
          <w:szCs w:val="20"/>
          <w:color w:val="auto"/>
        </w:rPr>
      </w:pPr>
      <w:r>
        <w:rPr>
          <w:rFonts w:ascii="Arial" w:cs="Arial" w:eastAsia="Arial" w:hAnsi="Arial"/>
          <w:sz w:val="18"/>
          <w:szCs w:val="18"/>
          <w:color w:val="auto"/>
        </w:rPr>
        <w:t>($0.3 million). For the three months ended September 30, 2025, adjustments include expenses related to Veracyte SAS investment review.</w:t>
      </w:r>
    </w:p>
    <w:p>
      <w:pPr>
        <w:ind w:left="160"/>
        <w:spacing w:after="0" w:line="219" w:lineRule="auto"/>
        <w:rPr>
          <w:sz w:val="20"/>
          <w:szCs w:val="20"/>
          <w:color w:val="auto"/>
        </w:rPr>
      </w:pPr>
      <w:r>
        <w:rPr>
          <w:rFonts w:ascii="Arial" w:cs="Arial" w:eastAsia="Arial" w:hAnsi="Arial"/>
          <w:sz w:val="18"/>
          <w:szCs w:val="18"/>
          <w:color w:val="auto"/>
        </w:rPr>
        <w:t>For the nine months ended September 30, 2026, adjustments include the impact of Non-GAAP adjustments on IT/Facilities allocations</w:t>
      </w:r>
    </w:p>
    <w:p>
      <w:pPr>
        <w:ind w:left="160" w:right="360"/>
        <w:spacing w:after="0" w:line="229" w:lineRule="auto"/>
        <w:rPr>
          <w:sz w:val="20"/>
          <w:szCs w:val="20"/>
          <w:color w:val="auto"/>
        </w:rPr>
      </w:pPr>
      <w:r>
        <w:rPr>
          <w:rFonts w:ascii="Arial" w:cs="Arial" w:eastAsia="Arial" w:hAnsi="Arial"/>
          <w:sz w:val="18"/>
          <w:szCs w:val="18"/>
          <w:color w:val="auto"/>
        </w:rPr>
        <w:t>($0.9 million), partially offset by expense related to the restructuring of Veracyte SAS. For the nine months ended September 30, 2025, adjustments include expenses related to Veracyte SAS investment review.</w:t>
      </w:r>
    </w:p>
    <w:p>
      <w:pPr>
        <w:sectPr>
          <w:pgSz w:w="11900" w:h="16838" w:orient="portrait"/>
          <w:cols w:equalWidth="0" w:num="1">
            <w:col w:w="11220"/>
          </w:cols>
          <w:pgMar w:left="340" w:top="1025" w:right="339" w:bottom="1440" w:gutter="0" w:footer="0" w:header="0"/>
        </w:sectPr>
      </w:pPr>
    </w:p>
    <w:bookmarkStart w:id="14" w:name="page15"/>
    <w:bookmarkEnd w:id="14"/>
    <w:p>
      <w:pPr>
        <w:jc w:val="center"/>
        <w:ind w:right="20"/>
        <w:spacing w:after="0"/>
        <w:rPr>
          <w:sz w:val="20"/>
          <w:szCs w:val="20"/>
          <w:color w:val="auto"/>
        </w:rPr>
      </w:pPr>
      <w:r>
        <w:rPr>
          <w:rFonts w:ascii="Arial" w:cs="Arial" w:eastAsia="Arial" w:hAnsi="Arial"/>
          <w:sz w:val="18"/>
          <w:szCs w:val="18"/>
          <w:color w:val="auto"/>
        </w:rPr>
        <w:t>VERACYTE, INC.</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RECONCILIATION OF U.S. GAAP to NON-GAAP FINANCIAL MEASURES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60" w:type="dxa"/>
            <w:vAlign w:val="bottom"/>
          </w:tcPr>
          <w:p>
            <w:pPr>
              <w:spacing w:after="0"/>
              <w:rPr>
                <w:sz w:val="17"/>
                <w:szCs w:val="17"/>
                <w:color w:val="auto"/>
              </w:rPr>
            </w:pPr>
          </w:p>
        </w:tc>
        <w:tc>
          <w:tcPr>
            <w:tcW w:w="2820" w:type="dxa"/>
            <w:vAlign w:val="bottom"/>
            <w:gridSpan w:val="6"/>
          </w:tcPr>
          <w:p>
            <w:pPr>
              <w:ind w:left="60"/>
              <w:spacing w:after="0"/>
              <w:rPr>
                <w:sz w:val="20"/>
                <w:szCs w:val="20"/>
                <w:color w:val="auto"/>
              </w:rPr>
            </w:pPr>
            <w:r>
              <w:rPr>
                <w:rFonts w:ascii="Arial" w:cs="Arial" w:eastAsia="Arial" w:hAnsi="Arial"/>
                <w:sz w:val="18"/>
                <w:szCs w:val="18"/>
                <w:color w:val="auto"/>
              </w:rPr>
              <w:t>Three Months Ended September</w:t>
            </w:r>
          </w:p>
        </w:tc>
        <w:tc>
          <w:tcPr>
            <w:tcW w:w="2740" w:type="dxa"/>
            <w:vAlign w:val="bottom"/>
            <w:gridSpan w:val="5"/>
          </w:tcPr>
          <w:p>
            <w:pPr>
              <w:jc w:val="right"/>
              <w:ind w:right="30"/>
              <w:spacing w:after="0"/>
              <w:rPr>
                <w:sz w:val="20"/>
                <w:szCs w:val="20"/>
                <w:color w:val="auto"/>
              </w:rPr>
            </w:pPr>
            <w:r>
              <w:rPr>
                <w:rFonts w:ascii="Arial" w:cs="Arial" w:eastAsia="Arial" w:hAnsi="Arial"/>
                <w:sz w:val="18"/>
                <w:szCs w:val="18"/>
                <w:color w:val="auto"/>
              </w:rPr>
              <w:t>Nine Months Ended September</w:t>
            </w:r>
          </w:p>
        </w:tc>
      </w:tr>
      <w:tr>
        <w:trPr>
          <w:trHeight w:val="250"/>
        </w:trPr>
        <w:tc>
          <w:tcPr>
            <w:tcW w:w="56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8"/>
                <w:szCs w:val="18"/>
                <w:color w:val="auto"/>
              </w:rPr>
              <w:t>30,</w:t>
            </w:r>
          </w:p>
        </w:tc>
        <w:tc>
          <w:tcPr>
            <w:tcW w:w="10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8"/>
                <w:szCs w:val="18"/>
                <w:color w:val="auto"/>
              </w:rPr>
              <w:t>30,</w:t>
            </w:r>
          </w:p>
        </w:tc>
        <w:tc>
          <w:tcPr>
            <w:tcW w:w="1040" w:type="dxa"/>
            <w:vAlign w:val="bottom"/>
            <w:tcBorders>
              <w:bottom w:val="single" w:sz="8" w:color="auto"/>
            </w:tcBorders>
          </w:tcPr>
          <w:p>
            <w:pPr>
              <w:spacing w:after="0"/>
              <w:rPr>
                <w:sz w:val="21"/>
                <w:szCs w:val="21"/>
                <w:color w:val="auto"/>
              </w:rPr>
            </w:pPr>
          </w:p>
        </w:tc>
      </w:tr>
      <w:tr>
        <w:trPr>
          <w:trHeight w:val="236"/>
        </w:trPr>
        <w:tc>
          <w:tcPr>
            <w:tcW w:w="56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2026</w:t>
            </w: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2025</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2026</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2025</w:t>
            </w:r>
          </w:p>
        </w:tc>
      </w:tr>
      <w:tr>
        <w:trPr>
          <w:trHeight w:val="211"/>
        </w:trPr>
        <w:tc>
          <w:tcPr>
            <w:tcW w:w="5660" w:type="dxa"/>
            <w:vAlign w:val="bottom"/>
          </w:tcPr>
          <w:p>
            <w:pPr>
              <w:spacing w:after="0"/>
              <w:rPr>
                <w:sz w:val="20"/>
                <w:szCs w:val="20"/>
                <w:color w:val="auto"/>
              </w:rPr>
            </w:pPr>
            <w:r>
              <w:rPr>
                <w:rFonts w:ascii="Arial" w:cs="Arial" w:eastAsia="Arial" w:hAnsi="Arial"/>
                <w:sz w:val="18"/>
                <w:szCs w:val="18"/>
                <w:b w:val="1"/>
                <w:bCs w:val="1"/>
                <w:color w:val="auto"/>
              </w:rPr>
              <w:t>Reconciliation of Non-GAAP Operating Expenses:</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29"/>
        </w:trPr>
        <w:tc>
          <w:tcPr>
            <w:tcW w:w="5660" w:type="dxa"/>
            <w:vAlign w:val="bottom"/>
          </w:tcPr>
          <w:p>
            <w:pPr>
              <w:ind w:left="120"/>
              <w:spacing w:after="0"/>
              <w:rPr>
                <w:sz w:val="20"/>
                <w:szCs w:val="20"/>
                <w:color w:val="auto"/>
              </w:rPr>
            </w:pPr>
            <w:r>
              <w:rPr>
                <w:rFonts w:ascii="Arial" w:cs="Arial" w:eastAsia="Arial" w:hAnsi="Arial"/>
                <w:sz w:val="18"/>
                <w:szCs w:val="18"/>
                <w:color w:val="auto"/>
              </w:rPr>
              <w:t>GAAP research and development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32,159</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15,981</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88,699</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49,965</w:t>
            </w:r>
          </w:p>
        </w:tc>
      </w:tr>
      <w:tr>
        <w:trPr>
          <w:trHeight w:val="230"/>
        </w:trPr>
        <w:tc>
          <w:tcPr>
            <w:tcW w:w="5660" w:type="dxa"/>
            <w:vAlign w:val="bottom"/>
          </w:tcPr>
          <w:p>
            <w:pPr>
              <w:ind w:left="220"/>
              <w:spacing w:after="0"/>
              <w:rPr>
                <w:sz w:val="20"/>
                <w:szCs w:val="20"/>
                <w:color w:val="auto"/>
              </w:rPr>
            </w:pPr>
            <w:r>
              <w:rPr>
                <w:rFonts w:ascii="Arial" w:cs="Arial" w:eastAsia="Arial" w:hAnsi="Arial"/>
                <w:sz w:val="18"/>
                <w:szCs w:val="18"/>
                <w:color w:val="auto"/>
              </w:rPr>
              <w:t>Stock-based compensation expense</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(2,742)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(1,949)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(8,340)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(6,023)</w:t>
            </w:r>
          </w:p>
        </w:tc>
      </w:tr>
      <w:tr>
        <w:trPr>
          <w:trHeight w:val="229"/>
        </w:trPr>
        <w:tc>
          <w:tcPr>
            <w:tcW w:w="5660" w:type="dxa"/>
            <w:vAlign w:val="bottom"/>
          </w:tcPr>
          <w:p>
            <w:pPr>
              <w:ind w:left="220"/>
              <w:spacing w:after="0"/>
              <w:rPr>
                <w:sz w:val="20"/>
                <w:szCs w:val="20"/>
                <w:color w:val="auto"/>
              </w:rPr>
            </w:pPr>
            <w:r>
              <w:rPr>
                <w:rFonts w:ascii="Arial" w:cs="Arial" w:eastAsia="Arial" w:hAnsi="Arial"/>
                <w:sz w:val="18"/>
                <w:szCs w:val="18"/>
                <w:color w:val="auto"/>
              </w:rPr>
              <w:t>Acquisition related expenses (1)</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5"/>
        </w:trPr>
        <w:tc>
          <w:tcPr>
            <w:tcW w:w="5660" w:type="dxa"/>
            <w:vAlign w:val="bottom"/>
          </w:tcPr>
          <w:p>
            <w:pPr>
              <w:ind w:left="220"/>
              <w:spacing w:after="0"/>
              <w:rPr>
                <w:sz w:val="20"/>
                <w:szCs w:val="20"/>
                <w:color w:val="auto"/>
              </w:rPr>
            </w:pPr>
            <w:r>
              <w:rPr>
                <w:rFonts w:ascii="Arial" w:cs="Arial" w:eastAsia="Arial" w:hAnsi="Arial"/>
                <w:sz w:val="18"/>
                <w:szCs w:val="18"/>
                <w:color w:val="auto"/>
              </w:rPr>
              <w:t>Other adjustments (2)</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(652)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660" w:type="dxa"/>
            <w:vAlign w:val="bottom"/>
          </w:tcPr>
          <w:p>
            <w:pPr>
              <w:ind w:left="120"/>
              <w:spacing w:after="0"/>
              <w:rPr>
                <w:sz w:val="20"/>
                <w:szCs w:val="20"/>
                <w:color w:val="auto"/>
              </w:rPr>
            </w:pPr>
            <w:r>
              <w:rPr>
                <w:rFonts w:ascii="Arial" w:cs="Arial" w:eastAsia="Arial" w:hAnsi="Arial"/>
                <w:sz w:val="18"/>
                <w:szCs w:val="18"/>
                <w:color w:val="auto"/>
              </w:rPr>
              <w:t>Non-GAAP research and development</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29,240</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14,032</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79,706</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43,942</w:t>
            </w:r>
          </w:p>
        </w:tc>
      </w:tr>
      <w:tr>
        <w:trPr>
          <w:trHeight w:val="461"/>
        </w:trPr>
        <w:tc>
          <w:tcPr>
            <w:tcW w:w="5660" w:type="dxa"/>
            <w:vAlign w:val="bottom"/>
          </w:tcPr>
          <w:p>
            <w:pPr>
              <w:ind w:left="120"/>
              <w:spacing w:after="0"/>
              <w:rPr>
                <w:sz w:val="20"/>
                <w:szCs w:val="20"/>
                <w:color w:val="auto"/>
              </w:rPr>
            </w:pPr>
            <w:r>
              <w:rPr>
                <w:rFonts w:ascii="Arial" w:cs="Arial" w:eastAsia="Arial" w:hAnsi="Arial"/>
                <w:sz w:val="18"/>
                <w:szCs w:val="18"/>
                <w:color w:val="auto"/>
              </w:rPr>
              <w:t>GAAP sales and marketing</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28,652</w:t>
            </w:r>
          </w:p>
        </w:tc>
        <w:tc>
          <w:tcPr>
            <w:tcW w:w="12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24,455</w:t>
            </w:r>
          </w:p>
        </w:tc>
        <w:tc>
          <w:tcPr>
            <w:tcW w:w="10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84,071</w:t>
            </w:r>
          </w:p>
        </w:tc>
        <w:tc>
          <w:tcPr>
            <w:tcW w:w="10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74,225</w:t>
            </w:r>
          </w:p>
        </w:tc>
      </w:tr>
      <w:tr>
        <w:trPr>
          <w:trHeight w:val="230"/>
        </w:trPr>
        <w:tc>
          <w:tcPr>
            <w:tcW w:w="5660" w:type="dxa"/>
            <w:vAlign w:val="bottom"/>
          </w:tcPr>
          <w:p>
            <w:pPr>
              <w:ind w:left="220"/>
              <w:spacing w:after="0"/>
              <w:rPr>
                <w:sz w:val="20"/>
                <w:szCs w:val="20"/>
                <w:color w:val="auto"/>
              </w:rPr>
            </w:pPr>
            <w:r>
              <w:rPr>
                <w:rFonts w:ascii="Arial" w:cs="Arial" w:eastAsia="Arial" w:hAnsi="Arial"/>
                <w:sz w:val="18"/>
                <w:szCs w:val="18"/>
                <w:color w:val="auto"/>
              </w:rPr>
              <w:t>Stock-based compensation expense</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(2,734)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(2,102)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(7,839)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(6,258)</w:t>
            </w:r>
          </w:p>
        </w:tc>
      </w:tr>
      <w:tr>
        <w:trPr>
          <w:trHeight w:val="229"/>
        </w:trPr>
        <w:tc>
          <w:tcPr>
            <w:tcW w:w="5660" w:type="dxa"/>
            <w:vAlign w:val="bottom"/>
          </w:tcPr>
          <w:p>
            <w:pPr>
              <w:ind w:left="220"/>
              <w:spacing w:after="0"/>
              <w:rPr>
                <w:sz w:val="20"/>
                <w:szCs w:val="20"/>
                <w:color w:val="auto"/>
              </w:rPr>
            </w:pPr>
            <w:r>
              <w:rPr>
                <w:rFonts w:ascii="Arial" w:cs="Arial" w:eastAsia="Arial" w:hAnsi="Arial"/>
                <w:sz w:val="18"/>
                <w:szCs w:val="18"/>
                <w:color w:val="auto"/>
              </w:rPr>
              <w:t>Acquisition related expenses (1)</w:t>
            </w: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5"/>
        </w:trPr>
        <w:tc>
          <w:tcPr>
            <w:tcW w:w="5660" w:type="dxa"/>
            <w:vAlign w:val="bottom"/>
          </w:tcPr>
          <w:p>
            <w:pPr>
              <w:ind w:left="220"/>
              <w:spacing w:after="0"/>
              <w:rPr>
                <w:sz w:val="20"/>
                <w:szCs w:val="20"/>
                <w:color w:val="auto"/>
              </w:rPr>
            </w:pPr>
            <w:r>
              <w:rPr>
                <w:rFonts w:ascii="Arial" w:cs="Arial" w:eastAsia="Arial" w:hAnsi="Arial"/>
                <w:sz w:val="18"/>
                <w:szCs w:val="18"/>
                <w:color w:val="auto"/>
              </w:rPr>
              <w:t>Other adjustments (2)</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660" w:type="dxa"/>
            <w:vAlign w:val="bottom"/>
          </w:tcPr>
          <w:p>
            <w:pPr>
              <w:ind w:left="120"/>
              <w:spacing w:after="0"/>
              <w:rPr>
                <w:sz w:val="20"/>
                <w:szCs w:val="20"/>
                <w:color w:val="auto"/>
              </w:rPr>
            </w:pPr>
            <w:r>
              <w:rPr>
                <w:rFonts w:ascii="Arial" w:cs="Arial" w:eastAsia="Arial" w:hAnsi="Arial"/>
                <w:sz w:val="18"/>
                <w:szCs w:val="18"/>
                <w:color w:val="auto"/>
              </w:rPr>
              <w:t>Non-GAAP sales and marketing</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25,873</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22,353</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76,108</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67,967</w:t>
            </w:r>
          </w:p>
        </w:tc>
      </w:tr>
      <w:tr>
        <w:trPr>
          <w:trHeight w:val="461"/>
        </w:trPr>
        <w:tc>
          <w:tcPr>
            <w:tcW w:w="5660" w:type="dxa"/>
            <w:vAlign w:val="bottom"/>
          </w:tcPr>
          <w:p>
            <w:pPr>
              <w:ind w:left="120"/>
              <w:spacing w:after="0"/>
              <w:rPr>
                <w:sz w:val="20"/>
                <w:szCs w:val="20"/>
                <w:color w:val="auto"/>
              </w:rPr>
            </w:pPr>
            <w:r>
              <w:rPr>
                <w:rFonts w:ascii="Arial" w:cs="Arial" w:eastAsia="Arial" w:hAnsi="Arial"/>
                <w:sz w:val="18"/>
                <w:szCs w:val="18"/>
                <w:color w:val="auto"/>
              </w:rPr>
              <w:t>GAAP general and administrative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29,302</w:t>
            </w:r>
          </w:p>
        </w:tc>
        <w:tc>
          <w:tcPr>
            <w:tcW w:w="12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27,278</w:t>
            </w:r>
          </w:p>
        </w:tc>
        <w:tc>
          <w:tcPr>
            <w:tcW w:w="10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80,425</w:t>
            </w:r>
          </w:p>
        </w:tc>
        <w:tc>
          <w:tcPr>
            <w:tcW w:w="10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93,417</w:t>
            </w:r>
          </w:p>
        </w:tc>
      </w:tr>
      <w:tr>
        <w:trPr>
          <w:trHeight w:val="229"/>
        </w:trPr>
        <w:tc>
          <w:tcPr>
            <w:tcW w:w="5660" w:type="dxa"/>
            <w:vAlign w:val="bottom"/>
          </w:tcPr>
          <w:p>
            <w:pPr>
              <w:ind w:left="220"/>
              <w:spacing w:after="0"/>
              <w:rPr>
                <w:sz w:val="20"/>
                <w:szCs w:val="20"/>
                <w:color w:val="auto"/>
              </w:rPr>
            </w:pPr>
            <w:r>
              <w:rPr>
                <w:rFonts w:ascii="Arial" w:cs="Arial" w:eastAsia="Arial" w:hAnsi="Arial"/>
                <w:sz w:val="18"/>
                <w:szCs w:val="18"/>
                <w:color w:val="auto"/>
              </w:rPr>
              <w:t>Stock-based compensation expense</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(7,488)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(6,166)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(21,573)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(18,751)</w:t>
            </w:r>
          </w:p>
        </w:tc>
      </w:tr>
      <w:tr>
        <w:trPr>
          <w:trHeight w:val="230"/>
        </w:trPr>
        <w:tc>
          <w:tcPr>
            <w:tcW w:w="5660" w:type="dxa"/>
            <w:vAlign w:val="bottom"/>
          </w:tcPr>
          <w:p>
            <w:pPr>
              <w:ind w:left="220"/>
              <w:spacing w:after="0"/>
              <w:rPr>
                <w:sz w:val="20"/>
                <w:szCs w:val="20"/>
                <w:color w:val="auto"/>
              </w:rPr>
            </w:pPr>
            <w:r>
              <w:rPr>
                <w:rFonts w:ascii="Arial" w:cs="Arial" w:eastAsia="Arial" w:hAnsi="Arial"/>
                <w:sz w:val="18"/>
                <w:szCs w:val="18"/>
                <w:color w:val="auto"/>
              </w:rPr>
              <w:t>Acquisition related expenses (1)</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(1,321)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(635)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(593)</w:t>
            </w:r>
          </w:p>
        </w:tc>
      </w:tr>
      <w:tr>
        <w:trPr>
          <w:trHeight w:val="235"/>
        </w:trPr>
        <w:tc>
          <w:tcPr>
            <w:tcW w:w="5660" w:type="dxa"/>
            <w:vAlign w:val="bottom"/>
          </w:tcPr>
          <w:p>
            <w:pPr>
              <w:ind w:left="220"/>
              <w:spacing w:after="0"/>
              <w:rPr>
                <w:sz w:val="20"/>
                <w:szCs w:val="20"/>
                <w:color w:val="auto"/>
              </w:rPr>
            </w:pPr>
            <w:r>
              <w:rPr>
                <w:rFonts w:ascii="Arial" w:cs="Arial" w:eastAsia="Arial" w:hAnsi="Arial"/>
                <w:sz w:val="18"/>
                <w:szCs w:val="18"/>
                <w:color w:val="auto"/>
              </w:rPr>
              <w:t>Other adjustments (2)</w:t>
            </w: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(2,694)</w:t>
            </w: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1,308</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(6,516)</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(6,530)</w:t>
            </w:r>
          </w:p>
        </w:tc>
      </w:tr>
      <w:tr>
        <w:trPr>
          <w:trHeight w:val="223"/>
        </w:trPr>
        <w:tc>
          <w:tcPr>
            <w:tcW w:w="5660" w:type="dxa"/>
            <w:vAlign w:val="bottom"/>
          </w:tcPr>
          <w:p>
            <w:pPr>
              <w:ind w:left="120"/>
              <w:spacing w:after="0"/>
              <w:rPr>
                <w:sz w:val="20"/>
                <w:szCs w:val="20"/>
                <w:color w:val="auto"/>
              </w:rPr>
            </w:pPr>
            <w:r>
              <w:rPr>
                <w:rFonts w:ascii="Arial" w:cs="Arial" w:eastAsia="Arial" w:hAnsi="Arial"/>
                <w:sz w:val="18"/>
                <w:szCs w:val="18"/>
                <w:color w:val="auto"/>
              </w:rPr>
              <w:t>Non-GAAP general and administrative</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17,799</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22,254</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51,701</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67,543</w:t>
            </w:r>
          </w:p>
        </w:tc>
      </w:tr>
      <w:tr>
        <w:trPr>
          <w:trHeight w:val="461"/>
        </w:trPr>
        <w:tc>
          <w:tcPr>
            <w:tcW w:w="5660" w:type="dxa"/>
            <w:vAlign w:val="bottom"/>
          </w:tcPr>
          <w:p>
            <w:pPr>
              <w:ind w:left="120"/>
              <w:spacing w:after="0"/>
              <w:rPr>
                <w:sz w:val="20"/>
                <w:szCs w:val="20"/>
                <w:color w:val="auto"/>
              </w:rPr>
            </w:pPr>
            <w:r>
              <w:rPr>
                <w:rFonts w:ascii="Arial" w:cs="Arial" w:eastAsia="Arial" w:hAnsi="Arial"/>
                <w:sz w:val="18"/>
                <w:szCs w:val="18"/>
                <w:color w:val="auto"/>
              </w:rPr>
              <w:t>GAAP total operating expenses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90,535</w:t>
            </w:r>
          </w:p>
        </w:tc>
        <w:tc>
          <w:tcPr>
            <w:tcW w:w="12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68,336</w:t>
            </w:r>
          </w:p>
        </w:tc>
        <w:tc>
          <w:tcPr>
            <w:tcW w:w="10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254,617</w:t>
            </w:r>
          </w:p>
        </w:tc>
        <w:tc>
          <w:tcPr>
            <w:tcW w:w="10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239,977</w:t>
            </w:r>
          </w:p>
        </w:tc>
      </w:tr>
      <w:tr>
        <w:trPr>
          <w:trHeight w:val="230"/>
        </w:trPr>
        <w:tc>
          <w:tcPr>
            <w:tcW w:w="5660" w:type="dxa"/>
            <w:vAlign w:val="bottom"/>
          </w:tcPr>
          <w:p>
            <w:pPr>
              <w:ind w:left="220"/>
              <w:spacing w:after="0"/>
              <w:rPr>
                <w:sz w:val="20"/>
                <w:szCs w:val="20"/>
                <w:color w:val="auto"/>
              </w:rPr>
            </w:pPr>
            <w:r>
              <w:rPr>
                <w:rFonts w:ascii="Arial" w:cs="Arial" w:eastAsia="Arial" w:hAnsi="Arial"/>
                <w:sz w:val="18"/>
                <w:szCs w:val="18"/>
                <w:color w:val="auto"/>
              </w:rPr>
              <w:t>Amortization of intangible assets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(622)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(1,422)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(1,865)</w:t>
            </w:r>
          </w:p>
        </w:tc>
      </w:tr>
      <w:tr>
        <w:trPr>
          <w:trHeight w:val="229"/>
        </w:trPr>
        <w:tc>
          <w:tcPr>
            <w:tcW w:w="5660" w:type="dxa"/>
            <w:vAlign w:val="bottom"/>
          </w:tcPr>
          <w:p>
            <w:pPr>
              <w:ind w:left="220"/>
              <w:spacing w:after="0"/>
              <w:rPr>
                <w:sz w:val="20"/>
                <w:szCs w:val="20"/>
                <w:color w:val="auto"/>
              </w:rPr>
            </w:pPr>
            <w:r>
              <w:rPr>
                <w:rFonts w:ascii="Arial" w:cs="Arial" w:eastAsia="Arial" w:hAnsi="Arial"/>
                <w:sz w:val="18"/>
                <w:szCs w:val="18"/>
                <w:color w:val="auto"/>
              </w:rPr>
              <w:t>Stock-based compensation expense</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(12,964)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(10,217)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(37,752)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(31,032)</w:t>
            </w:r>
          </w:p>
        </w:tc>
      </w:tr>
      <w:tr>
        <w:trPr>
          <w:trHeight w:val="230"/>
        </w:trPr>
        <w:tc>
          <w:tcPr>
            <w:tcW w:w="5660" w:type="dxa"/>
            <w:vAlign w:val="bottom"/>
          </w:tcPr>
          <w:p>
            <w:pPr>
              <w:ind w:left="220"/>
              <w:spacing w:after="0"/>
              <w:rPr>
                <w:sz w:val="20"/>
                <w:szCs w:val="20"/>
                <w:color w:val="auto"/>
              </w:rPr>
            </w:pPr>
            <w:r>
              <w:rPr>
                <w:rFonts w:ascii="Arial" w:cs="Arial" w:eastAsia="Arial" w:hAnsi="Arial"/>
                <w:sz w:val="18"/>
                <w:szCs w:val="18"/>
                <w:color w:val="auto"/>
              </w:rPr>
              <w:t>Acquisition related expenses (1)</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(1,322)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(636)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(593)</w:t>
            </w:r>
          </w:p>
        </w:tc>
      </w:tr>
      <w:tr>
        <w:trPr>
          <w:trHeight w:val="235"/>
        </w:trPr>
        <w:tc>
          <w:tcPr>
            <w:tcW w:w="5660" w:type="dxa"/>
            <w:vAlign w:val="bottom"/>
          </w:tcPr>
          <w:p>
            <w:pPr>
              <w:ind w:left="220"/>
              <w:spacing w:after="0"/>
              <w:rPr>
                <w:sz w:val="20"/>
                <w:szCs w:val="20"/>
                <w:color w:val="auto"/>
              </w:rPr>
            </w:pPr>
            <w:r>
              <w:rPr>
                <w:rFonts w:ascii="Arial" w:cs="Arial" w:eastAsia="Arial" w:hAnsi="Arial"/>
                <w:sz w:val="18"/>
                <w:szCs w:val="18"/>
                <w:color w:val="auto"/>
              </w:rPr>
              <w:t>Other adjustments (2)</w:t>
            </w: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(2,915)</w:t>
            </w: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1,308</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(7,292)</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(27,035)</w:t>
            </w:r>
          </w:p>
        </w:tc>
      </w:tr>
      <w:tr>
        <w:trPr>
          <w:trHeight w:val="223"/>
        </w:trPr>
        <w:tc>
          <w:tcPr>
            <w:tcW w:w="5660" w:type="dxa"/>
            <w:vAlign w:val="bottom"/>
          </w:tcPr>
          <w:p>
            <w:pPr>
              <w:ind w:left="120"/>
              <w:spacing w:after="0"/>
              <w:rPr>
                <w:sz w:val="20"/>
                <w:szCs w:val="20"/>
                <w:color w:val="auto"/>
              </w:rPr>
            </w:pPr>
            <w:r>
              <w:rPr>
                <w:rFonts w:ascii="Arial" w:cs="Arial" w:eastAsia="Arial" w:hAnsi="Arial"/>
                <w:sz w:val="18"/>
                <w:szCs w:val="18"/>
                <w:color w:val="auto"/>
              </w:rPr>
              <w:t>Non-GAAP total operating expenses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72,912</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58,639</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207,515</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179,452</w:t>
            </w:r>
          </w:p>
        </w:tc>
      </w:tr>
    </w:tbl>
    <w:p>
      <w:pPr>
        <w:sectPr>
          <w:pgSz w:w="11900" w:h="16838" w:orient="portrait"/>
          <w:cols w:equalWidth="0" w:num="1">
            <w:col w:w="11220"/>
          </w:cols>
          <w:pgMar w:left="340" w:top="1174"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1.Includes transaction-related expenses as well as post-combination compensation expenses. For the three months ended September 30,</w:t>
      </w:r>
    </w:p>
    <w:p>
      <w:pPr>
        <w:ind w:left="160"/>
        <w:spacing w:after="0" w:line="219" w:lineRule="auto"/>
        <w:rPr>
          <w:sz w:val="20"/>
          <w:szCs w:val="20"/>
          <w:color w:val="auto"/>
        </w:rPr>
      </w:pPr>
      <w:r>
        <w:rPr>
          <w:rFonts w:ascii="Arial" w:cs="Arial" w:eastAsia="Arial" w:hAnsi="Arial"/>
          <w:sz w:val="18"/>
          <w:szCs w:val="18"/>
          <w:color w:val="auto"/>
        </w:rPr>
        <w:t>2026, adjustments consist primarily of transaction-related expenses associated with the acquisition of Convergent Genomics, Inc.</w:t>
      </w:r>
    </w:p>
    <w:p>
      <w:pPr>
        <w:ind w:left="160" w:right="80"/>
        <w:spacing w:after="0" w:line="208" w:lineRule="auto"/>
        <w:rPr>
          <w:sz w:val="20"/>
          <w:szCs w:val="20"/>
          <w:color w:val="auto"/>
        </w:rPr>
      </w:pPr>
      <w:r>
        <w:rPr>
          <w:rFonts w:ascii="Arial" w:cs="Arial" w:eastAsia="Arial" w:hAnsi="Arial"/>
          <w:sz w:val="18"/>
          <w:szCs w:val="18"/>
          <w:color w:val="auto"/>
        </w:rPr>
        <w:t>("Convergent") ($ 1.7 million) partially offset with contingent consideration related to the NanoString Technologies, Inc. ("NanoString") transaction ($0.4 million). For the three months ended September 30, 2025, adjustments consist primarily of transaction-related expenses associated with contingent consideration related to NanoString and contingent consideration associated with the acquisition of C2i</w:t>
      </w:r>
    </w:p>
    <w:p>
      <w:pPr>
        <w:spacing w:after="0" w:line="2" w:lineRule="exact"/>
        <w:rPr>
          <w:sz w:val="20"/>
          <w:szCs w:val="20"/>
          <w:color w:val="auto"/>
        </w:rPr>
      </w:pPr>
    </w:p>
    <w:p>
      <w:pPr>
        <w:ind w:left="160"/>
        <w:spacing w:after="0" w:line="208" w:lineRule="auto"/>
        <w:rPr>
          <w:sz w:val="20"/>
          <w:szCs w:val="20"/>
          <w:color w:val="auto"/>
        </w:rPr>
      </w:pPr>
      <w:r>
        <w:rPr>
          <w:rFonts w:ascii="Arial" w:cs="Arial" w:eastAsia="Arial" w:hAnsi="Arial"/>
          <w:sz w:val="18"/>
          <w:szCs w:val="18"/>
          <w:color w:val="auto"/>
        </w:rPr>
        <w:t>Genomics. For the nine months ended September 30, 2026, adjustments consist primarily of transaction-related expenses associated with the acquisition of Convergent ($ 1.7 million) partially offset with NanoString contingent consideration ($ 1.1 million). For the nine months ended September 30, 2025, adjustments consist primarily of transaction-related expenses associated with the acquisition of C2i Genomics</w:t>
      </w:r>
    </w:p>
    <w:p>
      <w:pPr>
        <w:spacing w:after="0" w:line="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($1.6 million) partially offset by NanoString contingent consideration ($1.0 million).</w:t>
      </w:r>
    </w:p>
    <w:p>
      <w:pPr>
        <w:spacing w:after="0" w:line="14" w:lineRule="exact"/>
        <w:rPr>
          <w:sz w:val="20"/>
          <w:szCs w:val="20"/>
          <w:color w:val="auto"/>
        </w:rPr>
      </w:pPr>
    </w:p>
    <w:p>
      <w:pPr>
        <w:ind w:left="160" w:right="180" w:hanging="161"/>
        <w:spacing w:after="0" w:line="216" w:lineRule="auto"/>
        <w:rPr>
          <w:sz w:val="20"/>
          <w:szCs w:val="20"/>
          <w:color w:val="auto"/>
        </w:rPr>
      </w:pPr>
      <w:r>
        <w:rPr>
          <w:rFonts w:ascii="Arial" w:cs="Arial" w:eastAsia="Arial" w:hAnsi="Arial"/>
          <w:sz w:val="18"/>
          <w:szCs w:val="18"/>
          <w:color w:val="auto"/>
        </w:rPr>
        <w:t>2.For the three months ended September 30, 2026, adjustments consist primarily of expenses related to legal proceedings ($3.2 million), partially offset by the impact of Non-GAAP adjustments on IT/Facilities allocations ($0.3 million). For the three months ended September</w:t>
      </w:r>
    </w:p>
    <w:p>
      <w:pPr>
        <w:spacing w:after="0" w:line="1" w:lineRule="exact"/>
        <w:rPr>
          <w:sz w:val="20"/>
          <w:szCs w:val="20"/>
          <w:color w:val="auto"/>
        </w:rPr>
      </w:pPr>
    </w:p>
    <w:p>
      <w:pPr>
        <w:ind w:left="160" w:right="40"/>
        <w:spacing w:after="0" w:line="221" w:lineRule="auto"/>
        <w:rPr>
          <w:sz w:val="20"/>
          <w:szCs w:val="20"/>
          <w:color w:val="auto"/>
        </w:rPr>
      </w:pPr>
      <w:r>
        <w:rPr>
          <w:rFonts w:ascii="Arial" w:cs="Arial" w:eastAsia="Arial" w:hAnsi="Arial"/>
          <w:sz w:val="17"/>
          <w:szCs w:val="17"/>
          <w:color w:val="auto"/>
        </w:rPr>
        <w:t>30, 2025, adjustments primarily include a vendor legal settlement ($2.8 million) partially offset by expenses related to the restructuring and liquidation proceedings of Veracyte SAS ($1.0 million) and other legal proceedings ($0.5 million). For the nine months ended September 30, 2026, adjustments consist primarily of expenses related to legal proceedings ($ 4.9 million), expenses related to the assessment of</w:t>
      </w:r>
    </w:p>
    <w:p>
      <w:pPr>
        <w:ind w:left="160" w:right="40"/>
        <w:spacing w:after="0" w:line="221" w:lineRule="auto"/>
        <w:rPr>
          <w:sz w:val="20"/>
          <w:szCs w:val="20"/>
          <w:color w:val="auto"/>
        </w:rPr>
      </w:pPr>
      <w:r>
        <w:rPr>
          <w:rFonts w:ascii="Arial" w:cs="Arial" w:eastAsia="Arial" w:hAnsi="Arial"/>
          <w:sz w:val="17"/>
          <w:szCs w:val="17"/>
          <w:color w:val="auto"/>
        </w:rPr>
        <w:t>licensing and strategic investments ($3.0 million), and expenses related to the liquidation proceedings of Veracyte SAS ($0.3 million), partially offset by the impact of Non-GAAP adjustments on IT/Facilities allocations ($0.9 million). For the nine months ended September 30, 2025, adjustments include additional expenses related to Veracyte SAS impairment loss ($20.5 million) and related to the restructuring</w:t>
      </w:r>
    </w:p>
    <w:p>
      <w:pPr>
        <w:ind w:left="160"/>
        <w:spacing w:after="0"/>
        <w:rPr>
          <w:sz w:val="20"/>
          <w:szCs w:val="20"/>
          <w:color w:val="auto"/>
        </w:rPr>
      </w:pPr>
      <w:r>
        <w:rPr>
          <w:rFonts w:ascii="Arial" w:cs="Arial" w:eastAsia="Arial" w:hAnsi="Arial"/>
          <w:sz w:val="18"/>
          <w:szCs w:val="18"/>
          <w:color w:val="auto"/>
        </w:rPr>
        <w:t>and liquidation proceedings of Veracyte SAS ($8.0 million), partially offset by adjustments related to restructuring costs ($0.1 million).</w:t>
      </w:r>
    </w:p>
    <w:p>
      <w:pPr>
        <w:sectPr>
          <w:pgSz w:w="11900" w:h="16838" w:orient="portrait"/>
          <w:cols w:equalWidth="0" w:num="1">
            <w:col w:w="11180"/>
          </w:cols>
          <w:pgMar w:left="340" w:top="917" w:right="379" w:bottom="1440" w:gutter="0" w:footer="0" w:header="0"/>
        </w:sectPr>
      </w:pPr>
    </w:p>
    <w:bookmarkStart w:id="16" w:name="page17"/>
    <w:bookmarkEnd w:id="16"/>
    <w:p>
      <w:pPr>
        <w:jc w:val="center"/>
        <w:ind w:right="20"/>
        <w:spacing w:after="0"/>
        <w:rPr>
          <w:sz w:val="20"/>
          <w:szCs w:val="20"/>
          <w:color w:val="auto"/>
        </w:rPr>
      </w:pPr>
      <w:r>
        <w:rPr>
          <w:rFonts w:ascii="Arial" w:cs="Arial" w:eastAsia="Arial" w:hAnsi="Arial"/>
          <w:sz w:val="18"/>
          <w:szCs w:val="18"/>
          <w:color w:val="auto"/>
        </w:rPr>
        <w:t>VERACYTE, INC.</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RECONCILIATION OF U.S. GAAP to NON-GAAP FINANCIAL MEASURES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thousands)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4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300" w:type="dxa"/>
            <w:vAlign w:val="bottom"/>
            <w:gridSpan w:val="5"/>
          </w:tcPr>
          <w:p>
            <w:pPr>
              <w:ind w:left="60"/>
              <w:spacing w:after="0"/>
              <w:rPr>
                <w:sz w:val="20"/>
                <w:szCs w:val="20"/>
                <w:color w:val="auto"/>
              </w:rPr>
            </w:pPr>
            <w:r>
              <w:rPr>
                <w:rFonts w:ascii="Arial" w:cs="Arial" w:eastAsia="Arial" w:hAnsi="Arial"/>
                <w:sz w:val="18"/>
                <w:szCs w:val="18"/>
                <w:color w:val="auto"/>
              </w:rPr>
              <w:t>Three Months Ended September 30,</w:t>
            </w:r>
          </w:p>
        </w:tc>
        <w:tc>
          <w:tcPr>
            <w:tcW w:w="200" w:type="dxa"/>
            <w:vAlign w:val="bottom"/>
          </w:tcPr>
          <w:p>
            <w:pPr>
              <w:spacing w:after="0"/>
              <w:rPr>
                <w:sz w:val="21"/>
                <w:szCs w:val="21"/>
                <w:color w:val="auto"/>
              </w:rPr>
            </w:pPr>
          </w:p>
        </w:tc>
        <w:tc>
          <w:tcPr>
            <w:tcW w:w="3160" w:type="dxa"/>
            <w:vAlign w:val="bottom"/>
            <w:gridSpan w:val="4"/>
          </w:tcPr>
          <w:p>
            <w:pPr>
              <w:jc w:val="right"/>
              <w:ind w:right="190"/>
              <w:spacing w:after="0"/>
              <w:rPr>
                <w:sz w:val="20"/>
                <w:szCs w:val="20"/>
                <w:color w:val="auto"/>
              </w:rPr>
            </w:pPr>
            <w:r>
              <w:rPr>
                <w:rFonts w:ascii="Arial" w:cs="Arial" w:eastAsia="Arial" w:hAnsi="Arial"/>
                <w:sz w:val="18"/>
                <w:szCs w:val="18"/>
                <w:color w:val="auto"/>
              </w:rPr>
              <w:t>Nine Months Ended September 30,</w:t>
            </w:r>
          </w:p>
        </w:tc>
      </w:tr>
      <w:tr>
        <w:trPr>
          <w:trHeight w:val="237"/>
        </w:trPr>
        <w:tc>
          <w:tcPr>
            <w:tcW w:w="438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46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color w:val="auto"/>
              </w:rPr>
              <w:t>2026</w:t>
            </w:r>
          </w:p>
        </w:tc>
        <w:tc>
          <w:tcPr>
            <w:tcW w:w="120" w:type="dxa"/>
            <w:vAlign w:val="bottom"/>
            <w:tcBorders>
              <w:top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color w:val="auto"/>
              </w:rPr>
              <w:t>2025</w:t>
            </w:r>
          </w:p>
        </w:tc>
        <w:tc>
          <w:tcPr>
            <w:tcW w:w="10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4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color w:val="auto"/>
              </w:rPr>
              <w:t>2026</w:t>
            </w:r>
          </w:p>
        </w:tc>
        <w:tc>
          <w:tcPr>
            <w:tcW w:w="80" w:type="dxa"/>
            <w:vAlign w:val="bottom"/>
            <w:tcBorders>
              <w:top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color w:val="auto"/>
              </w:rPr>
              <w:t>2025</w:t>
            </w:r>
          </w:p>
        </w:tc>
      </w:tr>
      <w:tr>
        <w:trPr>
          <w:trHeight w:val="211"/>
        </w:trPr>
        <w:tc>
          <w:tcPr>
            <w:tcW w:w="4380" w:type="dxa"/>
            <w:vAlign w:val="bottom"/>
          </w:tcPr>
          <w:p>
            <w:pPr>
              <w:spacing w:after="0"/>
              <w:rPr>
                <w:sz w:val="20"/>
                <w:szCs w:val="20"/>
                <w:color w:val="auto"/>
              </w:rPr>
            </w:pPr>
            <w:r>
              <w:rPr>
                <w:rFonts w:ascii="Arial" w:cs="Arial" w:eastAsia="Arial" w:hAnsi="Arial"/>
                <w:sz w:val="18"/>
                <w:szCs w:val="18"/>
                <w:b w:val="1"/>
                <w:bCs w:val="1"/>
                <w:color w:val="auto"/>
              </w:rPr>
              <w:t>Reconciliation of Adjusted EBITDA:</w:t>
            </w: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29"/>
        </w:trPr>
        <w:tc>
          <w:tcPr>
            <w:tcW w:w="4380" w:type="dxa"/>
            <w:vAlign w:val="bottom"/>
          </w:tcPr>
          <w:p>
            <w:pPr>
              <w:ind w:left="120"/>
              <w:spacing w:after="0"/>
              <w:rPr>
                <w:sz w:val="20"/>
                <w:szCs w:val="20"/>
                <w:color w:val="auto"/>
              </w:rPr>
            </w:pPr>
            <w:r>
              <w:rPr>
                <w:rFonts w:ascii="Arial" w:cs="Arial" w:eastAsia="Arial" w:hAnsi="Arial"/>
                <w:sz w:val="18"/>
                <w:szCs w:val="18"/>
                <w:color w:val="auto"/>
              </w:rPr>
              <w:t>GAAP Net Income (Loss)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50"/>
              <w:spacing w:after="0"/>
              <w:rPr>
                <w:sz w:val="20"/>
                <w:szCs w:val="20"/>
                <w:color w:val="auto"/>
              </w:rPr>
            </w:pPr>
            <w:r>
              <w:rPr>
                <w:rFonts w:ascii="Arial" w:cs="Arial" w:eastAsia="Arial" w:hAnsi="Arial"/>
                <w:sz w:val="18"/>
                <w:szCs w:val="18"/>
                <w:color w:val="auto"/>
              </w:rPr>
              <w:t>31,503</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19,137</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50"/>
              <w:spacing w:after="0"/>
              <w:rPr>
                <w:sz w:val="20"/>
                <w:szCs w:val="20"/>
                <w:color w:val="auto"/>
              </w:rPr>
            </w:pPr>
            <w:r>
              <w:rPr>
                <w:rFonts w:ascii="Arial" w:cs="Arial" w:eastAsia="Arial" w:hAnsi="Arial"/>
                <w:sz w:val="18"/>
                <w:szCs w:val="18"/>
                <w:color w:val="auto"/>
              </w:rPr>
              <w:t>85,700</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25,204</w:t>
            </w:r>
          </w:p>
        </w:tc>
      </w:tr>
      <w:tr>
        <w:trPr>
          <w:trHeight w:val="229"/>
        </w:trPr>
        <w:tc>
          <w:tcPr>
            <w:tcW w:w="4380" w:type="dxa"/>
            <w:vAlign w:val="bottom"/>
          </w:tcPr>
          <w:p>
            <w:pPr>
              <w:ind w:left="120"/>
              <w:spacing w:after="0"/>
              <w:rPr>
                <w:sz w:val="20"/>
                <w:szCs w:val="20"/>
                <w:color w:val="auto"/>
              </w:rPr>
            </w:pPr>
            <w:r>
              <w:rPr>
                <w:rFonts w:ascii="Arial" w:cs="Arial" w:eastAsia="Arial" w:hAnsi="Arial"/>
                <w:sz w:val="18"/>
                <w:szCs w:val="18"/>
                <w:color w:val="auto"/>
              </w:rPr>
              <w:t>GAAP Net Income (Loss) as a % of Revenue</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20.8%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19.4%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30"/>
        </w:trPr>
        <w:tc>
          <w:tcPr>
            <w:tcW w:w="4380" w:type="dxa"/>
            <w:vAlign w:val="bottom"/>
          </w:tcPr>
          <w:p>
            <w:pPr>
              <w:ind w:left="220"/>
              <w:spacing w:after="0"/>
              <w:rPr>
                <w:sz w:val="20"/>
                <w:szCs w:val="20"/>
                <w:color w:val="auto"/>
              </w:rPr>
            </w:pPr>
            <w:r>
              <w:rPr>
                <w:rFonts w:ascii="Arial" w:cs="Arial" w:eastAsia="Arial" w:hAnsi="Arial"/>
                <w:sz w:val="18"/>
                <w:szCs w:val="18"/>
                <w:color w:val="auto"/>
              </w:rPr>
              <w:t>Amortization of intangible assets</w:t>
            </w:r>
          </w:p>
        </w:tc>
        <w:tc>
          <w:tcPr>
            <w:tcW w:w="180" w:type="dxa"/>
            <w:vAlign w:val="bottom"/>
          </w:tcPr>
          <w:p>
            <w:pPr>
              <w:spacing w:after="0"/>
              <w:rPr>
                <w:sz w:val="19"/>
                <w:szCs w:val="19"/>
                <w:color w:val="auto"/>
              </w:rPr>
            </w:pPr>
          </w:p>
        </w:tc>
        <w:tc>
          <w:tcPr>
            <w:tcW w:w="1460" w:type="dxa"/>
            <w:vAlign w:val="bottom"/>
          </w:tcPr>
          <w:p>
            <w:pPr>
              <w:jc w:val="right"/>
              <w:ind w:right="150"/>
              <w:spacing w:after="0"/>
              <w:rPr>
                <w:sz w:val="20"/>
                <w:szCs w:val="20"/>
                <w:color w:val="auto"/>
              </w:rPr>
            </w:pPr>
            <w:r>
              <w:rPr>
                <w:rFonts w:ascii="Arial" w:cs="Arial" w:eastAsia="Arial" w:hAnsi="Arial"/>
                <w:sz w:val="18"/>
                <w:szCs w:val="18"/>
                <w:color w:val="auto"/>
              </w:rPr>
              <w:t>3,687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3,329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ind w:right="150"/>
              <w:spacing w:after="0"/>
              <w:rPr>
                <w:sz w:val="20"/>
                <w:szCs w:val="20"/>
                <w:color w:val="auto"/>
              </w:rPr>
            </w:pPr>
            <w:r>
              <w:rPr>
                <w:rFonts w:ascii="Arial" w:cs="Arial" w:eastAsia="Arial" w:hAnsi="Arial"/>
                <w:sz w:val="18"/>
                <w:szCs w:val="18"/>
                <w:color w:val="auto"/>
              </w:rPr>
              <w:t>10,135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9,824</w:t>
            </w:r>
          </w:p>
        </w:tc>
      </w:tr>
      <w:tr>
        <w:trPr>
          <w:trHeight w:val="229"/>
        </w:trPr>
        <w:tc>
          <w:tcPr>
            <w:tcW w:w="4380" w:type="dxa"/>
            <w:vAlign w:val="bottom"/>
          </w:tcPr>
          <w:p>
            <w:pPr>
              <w:ind w:left="220"/>
              <w:spacing w:after="0"/>
              <w:rPr>
                <w:sz w:val="20"/>
                <w:szCs w:val="20"/>
                <w:color w:val="auto"/>
              </w:rPr>
            </w:pPr>
            <w:r>
              <w:rPr>
                <w:rFonts w:ascii="Arial" w:cs="Arial" w:eastAsia="Arial" w:hAnsi="Arial"/>
                <w:sz w:val="18"/>
                <w:szCs w:val="18"/>
                <w:color w:val="auto"/>
              </w:rPr>
              <w:t>Depreciation expense</w:t>
            </w:r>
          </w:p>
        </w:tc>
        <w:tc>
          <w:tcPr>
            <w:tcW w:w="180" w:type="dxa"/>
            <w:vAlign w:val="bottom"/>
          </w:tcPr>
          <w:p>
            <w:pPr>
              <w:spacing w:after="0"/>
              <w:rPr>
                <w:sz w:val="19"/>
                <w:szCs w:val="19"/>
                <w:color w:val="auto"/>
              </w:rPr>
            </w:pPr>
          </w:p>
        </w:tc>
        <w:tc>
          <w:tcPr>
            <w:tcW w:w="1460" w:type="dxa"/>
            <w:vAlign w:val="bottom"/>
          </w:tcPr>
          <w:p>
            <w:pPr>
              <w:jc w:val="right"/>
              <w:ind w:right="150"/>
              <w:spacing w:after="0"/>
              <w:rPr>
                <w:sz w:val="20"/>
                <w:szCs w:val="20"/>
                <w:color w:val="auto"/>
              </w:rPr>
            </w:pPr>
            <w:r>
              <w:rPr>
                <w:rFonts w:ascii="Arial" w:cs="Arial" w:eastAsia="Arial" w:hAnsi="Arial"/>
                <w:sz w:val="18"/>
                <w:szCs w:val="18"/>
                <w:color w:val="auto"/>
              </w:rPr>
              <w:t>2,293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1,938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ind w:right="150"/>
              <w:spacing w:after="0"/>
              <w:rPr>
                <w:sz w:val="20"/>
                <w:szCs w:val="20"/>
                <w:color w:val="auto"/>
              </w:rPr>
            </w:pPr>
            <w:r>
              <w:rPr>
                <w:rFonts w:ascii="Arial" w:cs="Arial" w:eastAsia="Arial" w:hAnsi="Arial"/>
                <w:sz w:val="18"/>
                <w:szCs w:val="18"/>
                <w:color w:val="auto"/>
              </w:rPr>
              <w:t>6,112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6,293</w:t>
            </w:r>
          </w:p>
        </w:tc>
      </w:tr>
      <w:tr>
        <w:trPr>
          <w:trHeight w:val="229"/>
        </w:trPr>
        <w:tc>
          <w:tcPr>
            <w:tcW w:w="4380" w:type="dxa"/>
            <w:vAlign w:val="bottom"/>
          </w:tcPr>
          <w:p>
            <w:pPr>
              <w:ind w:left="220"/>
              <w:spacing w:after="0"/>
              <w:rPr>
                <w:sz w:val="20"/>
                <w:szCs w:val="20"/>
                <w:color w:val="auto"/>
              </w:rPr>
            </w:pPr>
            <w:r>
              <w:rPr>
                <w:rFonts w:ascii="Arial" w:cs="Arial" w:eastAsia="Arial" w:hAnsi="Arial"/>
                <w:sz w:val="18"/>
                <w:szCs w:val="18"/>
                <w:color w:val="auto"/>
              </w:rPr>
              <w:t>Stock-based compensation expense</w:t>
            </w:r>
          </w:p>
        </w:tc>
        <w:tc>
          <w:tcPr>
            <w:tcW w:w="180" w:type="dxa"/>
            <w:vAlign w:val="bottom"/>
          </w:tcPr>
          <w:p>
            <w:pPr>
              <w:spacing w:after="0"/>
              <w:rPr>
                <w:sz w:val="19"/>
                <w:szCs w:val="19"/>
                <w:color w:val="auto"/>
              </w:rPr>
            </w:pPr>
          </w:p>
        </w:tc>
        <w:tc>
          <w:tcPr>
            <w:tcW w:w="1460" w:type="dxa"/>
            <w:vAlign w:val="bottom"/>
          </w:tcPr>
          <w:p>
            <w:pPr>
              <w:jc w:val="right"/>
              <w:ind w:right="150"/>
              <w:spacing w:after="0"/>
              <w:rPr>
                <w:sz w:val="20"/>
                <w:szCs w:val="20"/>
                <w:color w:val="auto"/>
              </w:rPr>
            </w:pPr>
            <w:r>
              <w:rPr>
                <w:rFonts w:ascii="Arial" w:cs="Arial" w:eastAsia="Arial" w:hAnsi="Arial"/>
                <w:sz w:val="18"/>
                <w:szCs w:val="18"/>
                <w:color w:val="auto"/>
              </w:rPr>
              <w:t>13,959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10,757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ind w:right="150"/>
              <w:spacing w:after="0"/>
              <w:rPr>
                <w:sz w:val="20"/>
                <w:szCs w:val="20"/>
                <w:color w:val="auto"/>
              </w:rPr>
            </w:pPr>
            <w:r>
              <w:rPr>
                <w:rFonts w:ascii="Arial" w:cs="Arial" w:eastAsia="Arial" w:hAnsi="Arial"/>
                <w:sz w:val="18"/>
                <w:szCs w:val="18"/>
                <w:color w:val="auto"/>
              </w:rPr>
              <w:t>40,806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32,700</w:t>
            </w:r>
          </w:p>
        </w:tc>
      </w:tr>
      <w:tr>
        <w:trPr>
          <w:trHeight w:val="230"/>
        </w:trPr>
        <w:tc>
          <w:tcPr>
            <w:tcW w:w="4380" w:type="dxa"/>
            <w:vAlign w:val="bottom"/>
          </w:tcPr>
          <w:p>
            <w:pPr>
              <w:ind w:left="220"/>
              <w:spacing w:after="0"/>
              <w:rPr>
                <w:sz w:val="20"/>
                <w:szCs w:val="20"/>
                <w:color w:val="auto"/>
              </w:rPr>
            </w:pPr>
            <w:r>
              <w:rPr>
                <w:rFonts w:ascii="Arial" w:cs="Arial" w:eastAsia="Arial" w:hAnsi="Arial"/>
                <w:sz w:val="18"/>
                <w:szCs w:val="18"/>
                <w:color w:val="auto"/>
              </w:rPr>
              <w:t>Acquisition related expenses (1)</w:t>
            </w:r>
          </w:p>
        </w:tc>
        <w:tc>
          <w:tcPr>
            <w:tcW w:w="180" w:type="dxa"/>
            <w:vAlign w:val="bottom"/>
          </w:tcPr>
          <w:p>
            <w:pPr>
              <w:spacing w:after="0"/>
              <w:rPr>
                <w:sz w:val="19"/>
                <w:szCs w:val="19"/>
                <w:color w:val="auto"/>
              </w:rPr>
            </w:pPr>
          </w:p>
        </w:tc>
        <w:tc>
          <w:tcPr>
            <w:tcW w:w="1460" w:type="dxa"/>
            <w:vAlign w:val="bottom"/>
          </w:tcPr>
          <w:p>
            <w:pPr>
              <w:jc w:val="right"/>
              <w:ind w:right="150"/>
              <w:spacing w:after="0"/>
              <w:rPr>
                <w:sz w:val="20"/>
                <w:szCs w:val="20"/>
                <w:color w:val="auto"/>
              </w:rPr>
            </w:pPr>
            <w:r>
              <w:rPr>
                <w:rFonts w:ascii="Arial" w:cs="Arial" w:eastAsia="Arial" w:hAnsi="Arial"/>
                <w:sz w:val="18"/>
                <w:szCs w:val="18"/>
                <w:color w:val="auto"/>
              </w:rPr>
              <w:t>1,453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ind w:right="150"/>
              <w:spacing w:after="0"/>
              <w:rPr>
                <w:sz w:val="20"/>
                <w:szCs w:val="20"/>
                <w:color w:val="auto"/>
              </w:rPr>
            </w:pPr>
            <w:r>
              <w:rPr>
                <w:rFonts w:ascii="Arial" w:cs="Arial" w:eastAsia="Arial" w:hAnsi="Arial"/>
                <w:sz w:val="18"/>
                <w:szCs w:val="18"/>
                <w:color w:val="auto"/>
              </w:rPr>
              <w:t>767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593</w:t>
            </w:r>
          </w:p>
        </w:tc>
      </w:tr>
      <w:tr>
        <w:trPr>
          <w:trHeight w:val="229"/>
        </w:trPr>
        <w:tc>
          <w:tcPr>
            <w:tcW w:w="4380" w:type="dxa"/>
            <w:vAlign w:val="bottom"/>
          </w:tcPr>
          <w:p>
            <w:pPr>
              <w:ind w:left="220"/>
              <w:spacing w:after="0"/>
              <w:rPr>
                <w:sz w:val="20"/>
                <w:szCs w:val="20"/>
                <w:color w:val="auto"/>
              </w:rPr>
            </w:pPr>
            <w:r>
              <w:rPr>
                <w:rFonts w:ascii="Arial" w:cs="Arial" w:eastAsia="Arial" w:hAnsi="Arial"/>
                <w:sz w:val="18"/>
                <w:szCs w:val="18"/>
                <w:color w:val="auto"/>
              </w:rPr>
              <w:t>Other expense (income), net (2)</w:t>
            </w:r>
          </w:p>
        </w:tc>
        <w:tc>
          <w:tcPr>
            <w:tcW w:w="180" w:type="dxa"/>
            <w:vAlign w:val="bottom"/>
          </w:tcPr>
          <w:p>
            <w:pPr>
              <w:spacing w:after="0"/>
              <w:rPr>
                <w:sz w:val="19"/>
                <w:szCs w:val="19"/>
                <w:color w:val="auto"/>
              </w:rPr>
            </w:pP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(4,503)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(3,484)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ind w:right="110"/>
              <w:spacing w:after="0"/>
              <w:rPr>
                <w:sz w:val="20"/>
                <w:szCs w:val="20"/>
                <w:color w:val="auto"/>
              </w:rPr>
            </w:pPr>
            <w:r>
              <w:rPr>
                <w:rFonts w:ascii="Arial" w:cs="Arial" w:eastAsia="Arial" w:hAnsi="Arial"/>
                <w:sz w:val="18"/>
                <w:szCs w:val="18"/>
                <w:color w:val="auto"/>
              </w:rPr>
              <w:t>(11,865)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(9,630)</w:t>
            </w:r>
          </w:p>
        </w:tc>
      </w:tr>
      <w:tr>
        <w:trPr>
          <w:trHeight w:val="230"/>
        </w:trPr>
        <w:tc>
          <w:tcPr>
            <w:tcW w:w="4380" w:type="dxa"/>
            <w:vAlign w:val="bottom"/>
          </w:tcPr>
          <w:p>
            <w:pPr>
              <w:ind w:left="220"/>
              <w:spacing w:after="0"/>
              <w:rPr>
                <w:sz w:val="20"/>
                <w:szCs w:val="20"/>
                <w:color w:val="auto"/>
              </w:rPr>
            </w:pPr>
            <w:r>
              <w:rPr>
                <w:rFonts w:ascii="Arial" w:cs="Arial" w:eastAsia="Arial" w:hAnsi="Arial"/>
                <w:sz w:val="18"/>
                <w:szCs w:val="18"/>
                <w:color w:val="auto"/>
              </w:rPr>
              <w:t>Other adjustments (3)</w:t>
            </w:r>
          </w:p>
        </w:tc>
        <w:tc>
          <w:tcPr>
            <w:tcW w:w="180" w:type="dxa"/>
            <w:vAlign w:val="bottom"/>
          </w:tcPr>
          <w:p>
            <w:pPr>
              <w:spacing w:after="0"/>
              <w:rPr>
                <w:sz w:val="19"/>
                <w:szCs w:val="19"/>
                <w:color w:val="auto"/>
              </w:rPr>
            </w:pPr>
          </w:p>
        </w:tc>
        <w:tc>
          <w:tcPr>
            <w:tcW w:w="1460" w:type="dxa"/>
            <w:vAlign w:val="bottom"/>
          </w:tcPr>
          <w:p>
            <w:pPr>
              <w:jc w:val="right"/>
              <w:ind w:right="150"/>
              <w:spacing w:after="0"/>
              <w:rPr>
                <w:sz w:val="20"/>
                <w:szCs w:val="20"/>
                <w:color w:val="auto"/>
              </w:rPr>
            </w:pPr>
            <w:r>
              <w:rPr>
                <w:rFonts w:ascii="Arial" w:cs="Arial" w:eastAsia="Arial" w:hAnsi="Arial"/>
                <w:sz w:val="18"/>
                <w:szCs w:val="18"/>
                <w:color w:val="auto"/>
              </w:rPr>
              <w:t>3,231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8,138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ind w:right="150"/>
              <w:spacing w:after="0"/>
              <w:rPr>
                <w:sz w:val="20"/>
                <w:szCs w:val="20"/>
                <w:color w:val="auto"/>
              </w:rPr>
            </w:pPr>
            <w:r>
              <w:rPr>
                <w:rFonts w:ascii="Arial" w:cs="Arial" w:eastAsia="Arial" w:hAnsi="Arial"/>
                <w:sz w:val="18"/>
                <w:szCs w:val="18"/>
                <w:color w:val="auto"/>
              </w:rPr>
              <w:t>4,423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32,876</w:t>
            </w:r>
          </w:p>
        </w:tc>
      </w:tr>
      <w:tr>
        <w:trPr>
          <w:trHeight w:val="235"/>
        </w:trPr>
        <w:tc>
          <w:tcPr>
            <w:tcW w:w="4380" w:type="dxa"/>
            <w:vAlign w:val="bottom"/>
          </w:tcPr>
          <w:p>
            <w:pPr>
              <w:ind w:left="220"/>
              <w:spacing w:after="0"/>
              <w:rPr>
                <w:sz w:val="20"/>
                <w:szCs w:val="20"/>
                <w:color w:val="auto"/>
              </w:rPr>
            </w:pPr>
            <w:r>
              <w:rPr>
                <w:rFonts w:ascii="Arial" w:cs="Arial" w:eastAsia="Arial" w:hAnsi="Arial"/>
                <w:sz w:val="18"/>
                <w:szCs w:val="18"/>
                <w:color w:val="auto"/>
              </w:rPr>
              <w:t>Income tax expense (benefit)</w:t>
            </w:r>
          </w:p>
        </w:tc>
        <w:tc>
          <w:tcPr>
            <w:tcW w:w="1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(10,381)</w:t>
            </w: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(8,081)</w:t>
            </w: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2,363</w:t>
            </w:r>
          </w:p>
        </w:tc>
      </w:tr>
      <w:tr>
        <w:trPr>
          <w:trHeight w:val="223"/>
        </w:trPr>
        <w:tc>
          <w:tcPr>
            <w:tcW w:w="4380" w:type="dxa"/>
            <w:vAlign w:val="bottom"/>
          </w:tcPr>
          <w:p>
            <w:pPr>
              <w:ind w:left="120"/>
              <w:spacing w:after="0"/>
              <w:rPr>
                <w:sz w:val="20"/>
                <w:szCs w:val="20"/>
                <w:color w:val="auto"/>
              </w:rPr>
            </w:pPr>
            <w:r>
              <w:rPr>
                <w:rFonts w:ascii="Arial" w:cs="Arial" w:eastAsia="Arial" w:hAnsi="Arial"/>
                <w:sz w:val="18"/>
                <w:szCs w:val="18"/>
                <w:color w:val="auto"/>
              </w:rPr>
              <w:t>Adjusted EBITDA</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41,242</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39,733</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127,997</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100,223</w:t>
            </w:r>
          </w:p>
        </w:tc>
      </w:tr>
      <w:tr>
        <w:trPr>
          <w:trHeight w:val="232"/>
        </w:trPr>
        <w:tc>
          <w:tcPr>
            <w:tcW w:w="4380" w:type="dxa"/>
            <w:vAlign w:val="bottom"/>
          </w:tcPr>
          <w:p>
            <w:pPr>
              <w:ind w:left="120"/>
              <w:spacing w:after="0"/>
              <w:rPr>
                <w:sz w:val="20"/>
                <w:szCs w:val="20"/>
                <w:color w:val="auto"/>
              </w:rPr>
            </w:pPr>
            <w:r>
              <w:rPr>
                <w:rFonts w:ascii="Arial" w:cs="Arial" w:eastAsia="Arial" w:hAnsi="Arial"/>
                <w:sz w:val="18"/>
                <w:szCs w:val="18"/>
                <w:color w:val="auto"/>
              </w:rPr>
              <w:t>Adjusted EBITDA as a % of Revenue</w:t>
            </w:r>
          </w:p>
        </w:tc>
        <w:tc>
          <w:tcPr>
            <w:tcW w:w="1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27.2%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29.0%</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26.6%</w:t>
            </w:r>
          </w:p>
        </w:tc>
      </w:tr>
      <w:tr>
        <w:trPr>
          <w:trHeight w:val="471"/>
        </w:trPr>
        <w:tc>
          <w:tcPr>
            <w:tcW w:w="4380" w:type="dxa"/>
            <w:vAlign w:val="bottom"/>
          </w:tcPr>
          <w:p>
            <w:pPr>
              <w:spacing w:after="0"/>
              <w:rPr>
                <w:sz w:val="20"/>
                <w:szCs w:val="20"/>
                <w:color w:val="auto"/>
              </w:rPr>
            </w:pPr>
            <w:r>
              <w:rPr>
                <w:rFonts w:ascii="Arial" w:cs="Arial" w:eastAsia="Arial" w:hAnsi="Arial"/>
                <w:sz w:val="18"/>
                <w:szCs w:val="18"/>
                <w:b w:val="1"/>
                <w:bCs w:val="1"/>
                <w:color w:val="auto"/>
              </w:rPr>
              <w:t>Reconciliation of Non-GAAP Net Income (Loss)</w:t>
            </w: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30"/>
        </w:trPr>
        <w:tc>
          <w:tcPr>
            <w:tcW w:w="4380" w:type="dxa"/>
            <w:vAlign w:val="bottom"/>
          </w:tcPr>
          <w:p>
            <w:pPr>
              <w:ind w:left="120"/>
              <w:spacing w:after="0"/>
              <w:rPr>
                <w:sz w:val="20"/>
                <w:szCs w:val="20"/>
                <w:color w:val="auto"/>
              </w:rPr>
            </w:pPr>
            <w:r>
              <w:rPr>
                <w:rFonts w:ascii="Arial" w:cs="Arial" w:eastAsia="Arial" w:hAnsi="Arial"/>
                <w:sz w:val="18"/>
                <w:szCs w:val="18"/>
                <w:color w:val="auto"/>
              </w:rPr>
              <w:t>GAAP Net Income (Loss)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50"/>
              <w:spacing w:after="0"/>
              <w:rPr>
                <w:sz w:val="20"/>
                <w:szCs w:val="20"/>
                <w:color w:val="auto"/>
              </w:rPr>
            </w:pPr>
            <w:r>
              <w:rPr>
                <w:rFonts w:ascii="Arial" w:cs="Arial" w:eastAsia="Arial" w:hAnsi="Arial"/>
                <w:sz w:val="18"/>
                <w:szCs w:val="18"/>
                <w:color w:val="auto"/>
              </w:rPr>
              <w:t>31,503</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19,137</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50"/>
              <w:spacing w:after="0"/>
              <w:rPr>
                <w:sz w:val="20"/>
                <w:szCs w:val="20"/>
                <w:color w:val="auto"/>
              </w:rPr>
            </w:pPr>
            <w:r>
              <w:rPr>
                <w:rFonts w:ascii="Arial" w:cs="Arial" w:eastAsia="Arial" w:hAnsi="Arial"/>
                <w:sz w:val="18"/>
                <w:szCs w:val="18"/>
                <w:color w:val="auto"/>
              </w:rPr>
              <w:t>85,700</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25,204</w:t>
            </w:r>
          </w:p>
        </w:tc>
      </w:tr>
      <w:tr>
        <w:trPr>
          <w:trHeight w:val="229"/>
        </w:trPr>
        <w:tc>
          <w:tcPr>
            <w:tcW w:w="4380" w:type="dxa"/>
            <w:vAlign w:val="bottom"/>
          </w:tcPr>
          <w:p>
            <w:pPr>
              <w:ind w:left="220"/>
              <w:spacing w:after="0"/>
              <w:rPr>
                <w:sz w:val="20"/>
                <w:szCs w:val="20"/>
                <w:color w:val="auto"/>
              </w:rPr>
            </w:pPr>
            <w:r>
              <w:rPr>
                <w:rFonts w:ascii="Arial" w:cs="Arial" w:eastAsia="Arial" w:hAnsi="Arial"/>
                <w:sz w:val="18"/>
                <w:szCs w:val="18"/>
                <w:color w:val="auto"/>
              </w:rPr>
              <w:t>Amortization of intangible assets</w:t>
            </w:r>
          </w:p>
        </w:tc>
        <w:tc>
          <w:tcPr>
            <w:tcW w:w="180" w:type="dxa"/>
            <w:vAlign w:val="bottom"/>
          </w:tcPr>
          <w:p>
            <w:pPr>
              <w:spacing w:after="0"/>
              <w:rPr>
                <w:sz w:val="19"/>
                <w:szCs w:val="19"/>
                <w:color w:val="auto"/>
              </w:rPr>
            </w:pPr>
          </w:p>
        </w:tc>
        <w:tc>
          <w:tcPr>
            <w:tcW w:w="1460" w:type="dxa"/>
            <w:vAlign w:val="bottom"/>
          </w:tcPr>
          <w:p>
            <w:pPr>
              <w:jc w:val="right"/>
              <w:ind w:right="150"/>
              <w:spacing w:after="0"/>
              <w:rPr>
                <w:sz w:val="20"/>
                <w:szCs w:val="20"/>
                <w:color w:val="auto"/>
              </w:rPr>
            </w:pPr>
            <w:r>
              <w:rPr>
                <w:rFonts w:ascii="Arial" w:cs="Arial" w:eastAsia="Arial" w:hAnsi="Arial"/>
                <w:sz w:val="18"/>
                <w:szCs w:val="18"/>
                <w:color w:val="auto"/>
              </w:rPr>
              <w:t>3,687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3,329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ind w:right="150"/>
              <w:spacing w:after="0"/>
              <w:rPr>
                <w:sz w:val="20"/>
                <w:szCs w:val="20"/>
                <w:color w:val="auto"/>
              </w:rPr>
            </w:pPr>
            <w:r>
              <w:rPr>
                <w:rFonts w:ascii="Arial" w:cs="Arial" w:eastAsia="Arial" w:hAnsi="Arial"/>
                <w:sz w:val="18"/>
                <w:szCs w:val="18"/>
                <w:color w:val="auto"/>
              </w:rPr>
              <w:t>10,135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9,824</w:t>
            </w:r>
          </w:p>
        </w:tc>
      </w:tr>
      <w:tr>
        <w:trPr>
          <w:trHeight w:val="229"/>
        </w:trPr>
        <w:tc>
          <w:tcPr>
            <w:tcW w:w="4380" w:type="dxa"/>
            <w:vAlign w:val="bottom"/>
          </w:tcPr>
          <w:p>
            <w:pPr>
              <w:ind w:left="220"/>
              <w:spacing w:after="0"/>
              <w:rPr>
                <w:sz w:val="20"/>
                <w:szCs w:val="20"/>
                <w:color w:val="auto"/>
              </w:rPr>
            </w:pPr>
            <w:r>
              <w:rPr>
                <w:rFonts w:ascii="Arial" w:cs="Arial" w:eastAsia="Arial" w:hAnsi="Arial"/>
                <w:sz w:val="18"/>
                <w:szCs w:val="18"/>
                <w:color w:val="auto"/>
              </w:rPr>
              <w:t>Stock-based compensation expense</w:t>
            </w:r>
          </w:p>
        </w:tc>
        <w:tc>
          <w:tcPr>
            <w:tcW w:w="180" w:type="dxa"/>
            <w:vAlign w:val="bottom"/>
          </w:tcPr>
          <w:p>
            <w:pPr>
              <w:spacing w:after="0"/>
              <w:rPr>
                <w:sz w:val="19"/>
                <w:szCs w:val="19"/>
                <w:color w:val="auto"/>
              </w:rPr>
            </w:pPr>
          </w:p>
        </w:tc>
        <w:tc>
          <w:tcPr>
            <w:tcW w:w="1460" w:type="dxa"/>
            <w:vAlign w:val="bottom"/>
          </w:tcPr>
          <w:p>
            <w:pPr>
              <w:jc w:val="right"/>
              <w:ind w:right="150"/>
              <w:spacing w:after="0"/>
              <w:rPr>
                <w:sz w:val="20"/>
                <w:szCs w:val="20"/>
                <w:color w:val="auto"/>
              </w:rPr>
            </w:pPr>
            <w:r>
              <w:rPr>
                <w:rFonts w:ascii="Arial" w:cs="Arial" w:eastAsia="Arial" w:hAnsi="Arial"/>
                <w:sz w:val="18"/>
                <w:szCs w:val="18"/>
                <w:color w:val="auto"/>
              </w:rPr>
              <w:t>13,959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10,757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ind w:right="150"/>
              <w:spacing w:after="0"/>
              <w:rPr>
                <w:sz w:val="20"/>
                <w:szCs w:val="20"/>
                <w:color w:val="auto"/>
              </w:rPr>
            </w:pPr>
            <w:r>
              <w:rPr>
                <w:rFonts w:ascii="Arial" w:cs="Arial" w:eastAsia="Arial" w:hAnsi="Arial"/>
                <w:sz w:val="18"/>
                <w:szCs w:val="18"/>
                <w:color w:val="auto"/>
              </w:rPr>
              <w:t>40,806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32,700</w:t>
            </w:r>
          </w:p>
        </w:tc>
      </w:tr>
      <w:tr>
        <w:trPr>
          <w:trHeight w:val="230"/>
        </w:trPr>
        <w:tc>
          <w:tcPr>
            <w:tcW w:w="4380" w:type="dxa"/>
            <w:vAlign w:val="bottom"/>
          </w:tcPr>
          <w:p>
            <w:pPr>
              <w:ind w:left="220"/>
              <w:spacing w:after="0"/>
              <w:rPr>
                <w:sz w:val="20"/>
                <w:szCs w:val="20"/>
                <w:color w:val="auto"/>
              </w:rPr>
            </w:pPr>
            <w:r>
              <w:rPr>
                <w:rFonts w:ascii="Arial" w:cs="Arial" w:eastAsia="Arial" w:hAnsi="Arial"/>
                <w:sz w:val="18"/>
                <w:szCs w:val="18"/>
                <w:color w:val="auto"/>
              </w:rPr>
              <w:t>Acquisition related expenses (1)</w:t>
            </w:r>
          </w:p>
        </w:tc>
        <w:tc>
          <w:tcPr>
            <w:tcW w:w="180" w:type="dxa"/>
            <w:vAlign w:val="bottom"/>
          </w:tcPr>
          <w:p>
            <w:pPr>
              <w:spacing w:after="0"/>
              <w:rPr>
                <w:sz w:val="19"/>
                <w:szCs w:val="19"/>
                <w:color w:val="auto"/>
              </w:rPr>
            </w:pPr>
          </w:p>
        </w:tc>
        <w:tc>
          <w:tcPr>
            <w:tcW w:w="1460" w:type="dxa"/>
            <w:vAlign w:val="bottom"/>
          </w:tcPr>
          <w:p>
            <w:pPr>
              <w:jc w:val="right"/>
              <w:ind w:right="150"/>
              <w:spacing w:after="0"/>
              <w:rPr>
                <w:sz w:val="20"/>
                <w:szCs w:val="20"/>
                <w:color w:val="auto"/>
              </w:rPr>
            </w:pPr>
            <w:r>
              <w:rPr>
                <w:rFonts w:ascii="Arial" w:cs="Arial" w:eastAsia="Arial" w:hAnsi="Arial"/>
                <w:sz w:val="18"/>
                <w:szCs w:val="18"/>
                <w:color w:val="auto"/>
              </w:rPr>
              <w:t>1,453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ind w:right="150"/>
              <w:spacing w:after="0"/>
              <w:rPr>
                <w:sz w:val="20"/>
                <w:szCs w:val="20"/>
                <w:color w:val="auto"/>
              </w:rPr>
            </w:pPr>
            <w:r>
              <w:rPr>
                <w:rFonts w:ascii="Arial" w:cs="Arial" w:eastAsia="Arial" w:hAnsi="Arial"/>
                <w:sz w:val="18"/>
                <w:szCs w:val="18"/>
                <w:color w:val="auto"/>
              </w:rPr>
              <w:t>767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593</w:t>
            </w:r>
          </w:p>
        </w:tc>
      </w:tr>
      <w:tr>
        <w:trPr>
          <w:trHeight w:val="229"/>
        </w:trPr>
        <w:tc>
          <w:tcPr>
            <w:tcW w:w="4380" w:type="dxa"/>
            <w:vAlign w:val="bottom"/>
          </w:tcPr>
          <w:p>
            <w:pPr>
              <w:ind w:left="220"/>
              <w:spacing w:after="0"/>
              <w:rPr>
                <w:sz w:val="20"/>
                <w:szCs w:val="20"/>
                <w:color w:val="auto"/>
              </w:rPr>
            </w:pPr>
            <w:r>
              <w:rPr>
                <w:rFonts w:ascii="Arial" w:cs="Arial" w:eastAsia="Arial" w:hAnsi="Arial"/>
                <w:sz w:val="18"/>
                <w:szCs w:val="18"/>
                <w:color w:val="auto"/>
              </w:rPr>
              <w:t>Other adjustments (3)</w:t>
            </w:r>
          </w:p>
        </w:tc>
        <w:tc>
          <w:tcPr>
            <w:tcW w:w="180" w:type="dxa"/>
            <w:vAlign w:val="bottom"/>
          </w:tcPr>
          <w:p>
            <w:pPr>
              <w:spacing w:after="0"/>
              <w:rPr>
                <w:sz w:val="19"/>
                <w:szCs w:val="19"/>
                <w:color w:val="auto"/>
              </w:rPr>
            </w:pPr>
          </w:p>
        </w:tc>
        <w:tc>
          <w:tcPr>
            <w:tcW w:w="1460" w:type="dxa"/>
            <w:vAlign w:val="bottom"/>
          </w:tcPr>
          <w:p>
            <w:pPr>
              <w:jc w:val="right"/>
              <w:ind w:right="150"/>
              <w:spacing w:after="0"/>
              <w:rPr>
                <w:sz w:val="20"/>
                <w:szCs w:val="20"/>
                <w:color w:val="auto"/>
              </w:rPr>
            </w:pPr>
            <w:r>
              <w:rPr>
                <w:rFonts w:ascii="Arial" w:cs="Arial" w:eastAsia="Arial" w:hAnsi="Arial"/>
                <w:sz w:val="18"/>
                <w:szCs w:val="18"/>
                <w:color w:val="auto"/>
              </w:rPr>
              <w:t>3,231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8,138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ind w:right="150"/>
              <w:spacing w:after="0"/>
              <w:rPr>
                <w:sz w:val="20"/>
                <w:szCs w:val="20"/>
                <w:color w:val="auto"/>
              </w:rPr>
            </w:pPr>
            <w:r>
              <w:rPr>
                <w:rFonts w:ascii="Arial" w:cs="Arial" w:eastAsia="Arial" w:hAnsi="Arial"/>
                <w:sz w:val="18"/>
                <w:szCs w:val="18"/>
                <w:color w:val="auto"/>
              </w:rPr>
              <w:t>4,423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32,876</w:t>
            </w:r>
          </w:p>
        </w:tc>
      </w:tr>
      <w:tr>
        <w:trPr>
          <w:trHeight w:val="235"/>
        </w:trPr>
        <w:tc>
          <w:tcPr>
            <w:tcW w:w="4380" w:type="dxa"/>
            <w:vAlign w:val="bottom"/>
          </w:tcPr>
          <w:p>
            <w:pPr>
              <w:ind w:left="220"/>
              <w:spacing w:after="0"/>
              <w:rPr>
                <w:sz w:val="20"/>
                <w:szCs w:val="20"/>
                <w:color w:val="auto"/>
              </w:rPr>
            </w:pPr>
            <w:r>
              <w:rPr>
                <w:rFonts w:ascii="Arial" w:cs="Arial" w:eastAsia="Arial" w:hAnsi="Arial"/>
                <w:sz w:val="18"/>
                <w:szCs w:val="18"/>
                <w:color w:val="auto"/>
              </w:rPr>
              <w:t>Tax adjustments (4)</w:t>
            </w:r>
          </w:p>
        </w:tc>
        <w:tc>
          <w:tcPr>
            <w:tcW w:w="1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(11,971)</w:t>
            </w: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(565)</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(13,526)</w:t>
            </w: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(807)</w:t>
            </w:r>
          </w:p>
        </w:tc>
      </w:tr>
      <w:tr>
        <w:trPr>
          <w:trHeight w:val="223"/>
        </w:trPr>
        <w:tc>
          <w:tcPr>
            <w:tcW w:w="4380" w:type="dxa"/>
            <w:vAlign w:val="bottom"/>
          </w:tcPr>
          <w:p>
            <w:pPr>
              <w:ind w:left="120"/>
              <w:spacing w:after="0"/>
              <w:rPr>
                <w:sz w:val="20"/>
                <w:szCs w:val="20"/>
                <w:color w:val="auto"/>
              </w:rPr>
            </w:pPr>
            <w:r>
              <w:rPr>
                <w:rFonts w:ascii="Arial" w:cs="Arial" w:eastAsia="Arial" w:hAnsi="Arial"/>
                <w:sz w:val="18"/>
                <w:szCs w:val="18"/>
                <w:color w:val="auto"/>
              </w:rPr>
              <w:t>Non-GAAP Net Income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41,862</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40,962</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128,305</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100,390</w:t>
            </w:r>
          </w:p>
        </w:tc>
      </w:tr>
      <w:tr>
        <w:trPr>
          <w:trHeight w:val="461"/>
        </w:trPr>
        <w:tc>
          <w:tcPr>
            <w:tcW w:w="4380" w:type="dxa"/>
            <w:vAlign w:val="bottom"/>
          </w:tcPr>
          <w:p>
            <w:pPr>
              <w:spacing w:after="0"/>
              <w:rPr>
                <w:sz w:val="20"/>
                <w:szCs w:val="20"/>
                <w:color w:val="auto"/>
              </w:rPr>
            </w:pPr>
            <w:r>
              <w:rPr>
                <w:rFonts w:ascii="Arial" w:cs="Arial" w:eastAsia="Arial" w:hAnsi="Arial"/>
                <w:sz w:val="18"/>
                <w:szCs w:val="18"/>
                <w:b w:val="1"/>
                <w:bCs w:val="1"/>
                <w:color w:val="auto"/>
              </w:rPr>
              <w:t>Reconciliation of Non-GAAP Earnings per Share</w:t>
            </w: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29"/>
        </w:trPr>
        <w:tc>
          <w:tcPr>
            <w:tcW w:w="4380" w:type="dxa"/>
            <w:vAlign w:val="bottom"/>
          </w:tcPr>
          <w:p>
            <w:pPr>
              <w:ind w:left="120"/>
              <w:spacing w:after="0"/>
              <w:rPr>
                <w:sz w:val="20"/>
                <w:szCs w:val="20"/>
                <w:color w:val="auto"/>
              </w:rPr>
            </w:pPr>
            <w:r>
              <w:rPr>
                <w:rFonts w:ascii="Arial" w:cs="Arial" w:eastAsia="Arial" w:hAnsi="Arial"/>
                <w:sz w:val="18"/>
                <w:szCs w:val="18"/>
                <w:color w:val="auto"/>
              </w:rPr>
              <w:t>Diluted earnings per share, GAAP</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50"/>
              <w:spacing w:after="0"/>
              <w:rPr>
                <w:sz w:val="20"/>
                <w:szCs w:val="20"/>
                <w:color w:val="auto"/>
              </w:rPr>
            </w:pPr>
            <w:r>
              <w:rPr>
                <w:rFonts w:ascii="Arial" w:cs="Arial" w:eastAsia="Arial" w:hAnsi="Arial"/>
                <w:sz w:val="18"/>
                <w:szCs w:val="18"/>
                <w:color w:val="auto"/>
              </w:rPr>
              <w:t>0.38</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0.24</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50"/>
              <w:spacing w:after="0"/>
              <w:rPr>
                <w:sz w:val="20"/>
                <w:szCs w:val="20"/>
                <w:color w:val="auto"/>
              </w:rPr>
            </w:pPr>
            <w:r>
              <w:rPr>
                <w:rFonts w:ascii="Arial" w:cs="Arial" w:eastAsia="Arial" w:hAnsi="Arial"/>
                <w:sz w:val="18"/>
                <w:szCs w:val="18"/>
                <w:color w:val="auto"/>
              </w:rPr>
              <w:t>1.04</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0.32</w:t>
            </w:r>
          </w:p>
        </w:tc>
      </w:tr>
      <w:tr>
        <w:trPr>
          <w:trHeight w:val="230"/>
        </w:trPr>
        <w:tc>
          <w:tcPr>
            <w:tcW w:w="4380" w:type="dxa"/>
            <w:vAlign w:val="bottom"/>
          </w:tcPr>
          <w:p>
            <w:pPr>
              <w:ind w:left="220"/>
              <w:spacing w:after="0"/>
              <w:rPr>
                <w:sz w:val="20"/>
                <w:szCs w:val="20"/>
                <w:color w:val="auto"/>
              </w:rPr>
            </w:pPr>
            <w:r>
              <w:rPr>
                <w:rFonts w:ascii="Arial" w:cs="Arial" w:eastAsia="Arial" w:hAnsi="Arial"/>
                <w:sz w:val="18"/>
                <w:szCs w:val="18"/>
                <w:color w:val="auto"/>
              </w:rPr>
              <w:t>Amortization of intangible assets</w:t>
            </w:r>
          </w:p>
        </w:tc>
        <w:tc>
          <w:tcPr>
            <w:tcW w:w="180" w:type="dxa"/>
            <w:vAlign w:val="bottom"/>
          </w:tcPr>
          <w:p>
            <w:pPr>
              <w:spacing w:after="0"/>
              <w:rPr>
                <w:sz w:val="19"/>
                <w:szCs w:val="19"/>
                <w:color w:val="auto"/>
              </w:rPr>
            </w:pPr>
          </w:p>
        </w:tc>
        <w:tc>
          <w:tcPr>
            <w:tcW w:w="1460" w:type="dxa"/>
            <w:vAlign w:val="bottom"/>
          </w:tcPr>
          <w:p>
            <w:pPr>
              <w:jc w:val="right"/>
              <w:ind w:right="150"/>
              <w:spacing w:after="0"/>
              <w:rPr>
                <w:sz w:val="20"/>
                <w:szCs w:val="20"/>
                <w:color w:val="auto"/>
              </w:rPr>
            </w:pPr>
            <w:r>
              <w:rPr>
                <w:rFonts w:ascii="Arial" w:cs="Arial" w:eastAsia="Arial" w:hAnsi="Arial"/>
                <w:sz w:val="18"/>
                <w:szCs w:val="18"/>
                <w:color w:val="auto"/>
              </w:rPr>
              <w:t>0.04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ind w:right="150"/>
              <w:spacing w:after="0"/>
              <w:rPr>
                <w:sz w:val="20"/>
                <w:szCs w:val="20"/>
                <w:color w:val="auto"/>
              </w:rPr>
            </w:pPr>
            <w:r>
              <w:rPr>
                <w:rFonts w:ascii="Arial" w:cs="Arial" w:eastAsia="Arial" w:hAnsi="Arial"/>
                <w:sz w:val="18"/>
                <w:szCs w:val="18"/>
                <w:color w:val="auto"/>
              </w:rPr>
              <w:t>0.12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0.12</w:t>
            </w:r>
          </w:p>
        </w:tc>
      </w:tr>
      <w:tr>
        <w:trPr>
          <w:trHeight w:val="230"/>
        </w:trPr>
        <w:tc>
          <w:tcPr>
            <w:tcW w:w="4380" w:type="dxa"/>
            <w:vAlign w:val="bottom"/>
          </w:tcPr>
          <w:p>
            <w:pPr>
              <w:ind w:left="220"/>
              <w:spacing w:after="0"/>
              <w:rPr>
                <w:sz w:val="20"/>
                <w:szCs w:val="20"/>
                <w:color w:val="auto"/>
              </w:rPr>
            </w:pPr>
            <w:r>
              <w:rPr>
                <w:rFonts w:ascii="Arial" w:cs="Arial" w:eastAsia="Arial" w:hAnsi="Arial"/>
                <w:sz w:val="18"/>
                <w:szCs w:val="18"/>
                <w:color w:val="auto"/>
              </w:rPr>
              <w:t>Stock-based compensation expense</w:t>
            </w:r>
          </w:p>
        </w:tc>
        <w:tc>
          <w:tcPr>
            <w:tcW w:w="180" w:type="dxa"/>
            <w:vAlign w:val="bottom"/>
          </w:tcPr>
          <w:p>
            <w:pPr>
              <w:spacing w:after="0"/>
              <w:rPr>
                <w:sz w:val="19"/>
                <w:szCs w:val="19"/>
                <w:color w:val="auto"/>
              </w:rPr>
            </w:pPr>
          </w:p>
        </w:tc>
        <w:tc>
          <w:tcPr>
            <w:tcW w:w="1460" w:type="dxa"/>
            <w:vAlign w:val="bottom"/>
          </w:tcPr>
          <w:p>
            <w:pPr>
              <w:jc w:val="right"/>
              <w:ind w:right="150"/>
              <w:spacing w:after="0"/>
              <w:rPr>
                <w:sz w:val="20"/>
                <w:szCs w:val="20"/>
                <w:color w:val="auto"/>
              </w:rPr>
            </w:pPr>
            <w:r>
              <w:rPr>
                <w:rFonts w:ascii="Arial" w:cs="Arial" w:eastAsia="Arial" w:hAnsi="Arial"/>
                <w:sz w:val="18"/>
                <w:szCs w:val="18"/>
                <w:color w:val="auto"/>
              </w:rPr>
              <w:t>0.17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ind w:right="150"/>
              <w:spacing w:after="0"/>
              <w:rPr>
                <w:sz w:val="20"/>
                <w:szCs w:val="20"/>
                <w:color w:val="auto"/>
              </w:rPr>
            </w:pPr>
            <w:r>
              <w:rPr>
                <w:rFonts w:ascii="Arial" w:cs="Arial" w:eastAsia="Arial" w:hAnsi="Arial"/>
                <w:sz w:val="18"/>
                <w:szCs w:val="18"/>
                <w:color w:val="auto"/>
              </w:rPr>
              <w:t>0.50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0.41</w:t>
            </w:r>
          </w:p>
        </w:tc>
      </w:tr>
      <w:tr>
        <w:trPr>
          <w:trHeight w:val="230"/>
        </w:trPr>
        <w:tc>
          <w:tcPr>
            <w:tcW w:w="4380" w:type="dxa"/>
            <w:vAlign w:val="bottom"/>
          </w:tcPr>
          <w:p>
            <w:pPr>
              <w:ind w:left="220"/>
              <w:spacing w:after="0"/>
              <w:rPr>
                <w:sz w:val="20"/>
                <w:szCs w:val="20"/>
                <w:color w:val="auto"/>
              </w:rPr>
            </w:pPr>
            <w:r>
              <w:rPr>
                <w:rFonts w:ascii="Arial" w:cs="Arial" w:eastAsia="Arial" w:hAnsi="Arial"/>
                <w:sz w:val="18"/>
                <w:szCs w:val="18"/>
                <w:color w:val="auto"/>
              </w:rPr>
              <w:t>Acquisition related expenses (1)</w:t>
            </w:r>
          </w:p>
        </w:tc>
        <w:tc>
          <w:tcPr>
            <w:tcW w:w="180" w:type="dxa"/>
            <w:vAlign w:val="bottom"/>
          </w:tcPr>
          <w:p>
            <w:pPr>
              <w:spacing w:after="0"/>
              <w:rPr>
                <w:sz w:val="19"/>
                <w:szCs w:val="19"/>
                <w:color w:val="auto"/>
              </w:rPr>
            </w:pPr>
          </w:p>
        </w:tc>
        <w:tc>
          <w:tcPr>
            <w:tcW w:w="1460" w:type="dxa"/>
            <w:vAlign w:val="bottom"/>
          </w:tcPr>
          <w:p>
            <w:pPr>
              <w:jc w:val="right"/>
              <w:ind w:right="150"/>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40" w:type="dxa"/>
            <w:vAlign w:val="bottom"/>
          </w:tcPr>
          <w:p>
            <w:pPr>
              <w:jc w:val="right"/>
              <w:ind w:right="150"/>
              <w:spacing w:after="0"/>
              <w:rPr>
                <w:sz w:val="20"/>
                <w:szCs w:val="20"/>
                <w:color w:val="auto"/>
              </w:rPr>
            </w:pPr>
            <w:r>
              <w:rPr>
                <w:rFonts w:ascii="Arial" w:cs="Arial" w:eastAsia="Arial" w:hAnsi="Arial"/>
                <w:sz w:val="18"/>
                <w:szCs w:val="18"/>
                <w:color w:val="auto"/>
              </w:rPr>
              <w:t>0.01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0.01</w:t>
            </w:r>
          </w:p>
        </w:tc>
      </w:tr>
      <w:tr>
        <w:trPr>
          <w:trHeight w:val="229"/>
        </w:trPr>
        <w:tc>
          <w:tcPr>
            <w:tcW w:w="4380" w:type="dxa"/>
            <w:vAlign w:val="bottom"/>
          </w:tcPr>
          <w:p>
            <w:pPr>
              <w:ind w:left="220"/>
              <w:spacing w:after="0"/>
              <w:rPr>
                <w:sz w:val="20"/>
                <w:szCs w:val="20"/>
                <w:color w:val="auto"/>
              </w:rPr>
            </w:pPr>
            <w:r>
              <w:rPr>
                <w:rFonts w:ascii="Arial" w:cs="Arial" w:eastAsia="Arial" w:hAnsi="Arial"/>
                <w:sz w:val="18"/>
                <w:szCs w:val="18"/>
                <w:color w:val="auto"/>
              </w:rPr>
              <w:t>Other adjustments (3)</w:t>
            </w:r>
          </w:p>
        </w:tc>
        <w:tc>
          <w:tcPr>
            <w:tcW w:w="180" w:type="dxa"/>
            <w:vAlign w:val="bottom"/>
          </w:tcPr>
          <w:p>
            <w:pPr>
              <w:spacing w:after="0"/>
              <w:rPr>
                <w:sz w:val="19"/>
                <w:szCs w:val="19"/>
                <w:color w:val="auto"/>
              </w:rPr>
            </w:pPr>
          </w:p>
        </w:tc>
        <w:tc>
          <w:tcPr>
            <w:tcW w:w="1460" w:type="dxa"/>
            <w:vAlign w:val="bottom"/>
          </w:tcPr>
          <w:p>
            <w:pPr>
              <w:jc w:val="right"/>
              <w:ind w:right="150"/>
              <w:spacing w:after="0"/>
              <w:rPr>
                <w:sz w:val="20"/>
                <w:szCs w:val="20"/>
                <w:color w:val="auto"/>
              </w:rPr>
            </w:pPr>
            <w:r>
              <w:rPr>
                <w:rFonts w:ascii="Arial" w:cs="Arial" w:eastAsia="Arial" w:hAnsi="Arial"/>
                <w:sz w:val="18"/>
                <w:szCs w:val="18"/>
                <w:color w:val="auto"/>
              </w:rPr>
              <w:t>0.04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0.10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ind w:right="150"/>
              <w:spacing w:after="0"/>
              <w:rPr>
                <w:sz w:val="20"/>
                <w:szCs w:val="20"/>
                <w:color w:val="auto"/>
              </w:rPr>
            </w:pPr>
            <w:r>
              <w:rPr>
                <w:rFonts w:ascii="Arial" w:cs="Arial" w:eastAsia="Arial" w:hAnsi="Arial"/>
                <w:sz w:val="18"/>
                <w:szCs w:val="18"/>
                <w:color w:val="auto"/>
              </w:rPr>
              <w:t>0.05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0.41</w:t>
            </w:r>
          </w:p>
        </w:tc>
      </w:tr>
      <w:tr>
        <w:trPr>
          <w:trHeight w:val="230"/>
        </w:trPr>
        <w:tc>
          <w:tcPr>
            <w:tcW w:w="4380" w:type="dxa"/>
            <w:vAlign w:val="bottom"/>
          </w:tcPr>
          <w:p>
            <w:pPr>
              <w:ind w:left="220"/>
              <w:spacing w:after="0"/>
              <w:rPr>
                <w:sz w:val="20"/>
                <w:szCs w:val="20"/>
                <w:color w:val="auto"/>
              </w:rPr>
            </w:pPr>
            <w:r>
              <w:rPr>
                <w:rFonts w:ascii="Arial" w:cs="Arial" w:eastAsia="Arial" w:hAnsi="Arial"/>
                <w:sz w:val="18"/>
                <w:szCs w:val="18"/>
                <w:color w:val="auto"/>
              </w:rPr>
              <w:t>Tax adjustments (4)</w:t>
            </w:r>
          </w:p>
        </w:tc>
        <w:tc>
          <w:tcPr>
            <w:tcW w:w="180" w:type="dxa"/>
            <w:vAlign w:val="bottom"/>
          </w:tcPr>
          <w:p>
            <w:pPr>
              <w:spacing w:after="0"/>
              <w:rPr>
                <w:sz w:val="19"/>
                <w:szCs w:val="19"/>
                <w:color w:val="auto"/>
              </w:rPr>
            </w:pP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(0.14)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ind w:right="110"/>
              <w:spacing w:after="0"/>
              <w:rPr>
                <w:sz w:val="20"/>
                <w:szCs w:val="20"/>
                <w:color w:val="auto"/>
              </w:rPr>
            </w:pPr>
            <w:r>
              <w:rPr>
                <w:rFonts w:ascii="Arial" w:cs="Arial" w:eastAsia="Arial" w:hAnsi="Arial"/>
                <w:sz w:val="18"/>
                <w:szCs w:val="18"/>
                <w:color w:val="auto"/>
              </w:rPr>
              <w:t>(0.16)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(0.01)</w:t>
            </w:r>
          </w:p>
        </w:tc>
      </w:tr>
      <w:tr>
        <w:trPr>
          <w:trHeight w:val="235"/>
        </w:trPr>
        <w:tc>
          <w:tcPr>
            <w:tcW w:w="4380" w:type="dxa"/>
            <w:vAlign w:val="bottom"/>
          </w:tcPr>
          <w:p>
            <w:pPr>
              <w:ind w:left="220"/>
              <w:spacing w:after="0"/>
              <w:rPr>
                <w:sz w:val="20"/>
                <w:szCs w:val="20"/>
                <w:color w:val="auto"/>
              </w:rPr>
            </w:pPr>
            <w:r>
              <w:rPr>
                <w:rFonts w:ascii="Arial" w:cs="Arial" w:eastAsia="Arial" w:hAnsi="Arial"/>
                <w:sz w:val="18"/>
                <w:szCs w:val="18"/>
                <w:color w:val="auto"/>
              </w:rPr>
              <w:t>Rounding and impact of dilutive shares</w:t>
            </w:r>
          </w:p>
        </w:tc>
        <w:tc>
          <w:tcPr>
            <w:tcW w:w="180" w:type="dxa"/>
            <w:vAlign w:val="bottom"/>
          </w:tcPr>
          <w:p>
            <w:pPr>
              <w:spacing w:after="0"/>
              <w:rPr>
                <w:sz w:val="20"/>
                <w:szCs w:val="20"/>
                <w:color w:val="auto"/>
              </w:rPr>
            </w:pPr>
          </w:p>
        </w:tc>
        <w:tc>
          <w:tcPr>
            <w:tcW w:w="15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w:t>
            </w:r>
          </w:p>
        </w:tc>
      </w:tr>
      <w:tr>
        <w:trPr>
          <w:trHeight w:val="223"/>
        </w:trPr>
        <w:tc>
          <w:tcPr>
            <w:tcW w:w="4380" w:type="dxa"/>
            <w:vAlign w:val="bottom"/>
          </w:tcPr>
          <w:p>
            <w:pPr>
              <w:ind w:left="120"/>
              <w:spacing w:after="0"/>
              <w:rPr>
                <w:sz w:val="20"/>
                <w:szCs w:val="20"/>
                <w:color w:val="auto"/>
              </w:rPr>
            </w:pPr>
            <w:r>
              <w:rPr>
                <w:rFonts w:ascii="Arial" w:cs="Arial" w:eastAsia="Arial" w:hAnsi="Arial"/>
                <w:sz w:val="18"/>
                <w:szCs w:val="18"/>
                <w:color w:val="auto"/>
              </w:rPr>
              <w:t>Diluted earnings per share, non-GAAP</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0.51</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0.51</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1.56</w:t>
            </w:r>
          </w:p>
        </w:tc>
        <w:tc>
          <w:tcPr>
            <w:tcW w:w="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1.26</w:t>
            </w:r>
          </w:p>
        </w:tc>
      </w:tr>
      <w:tr>
        <w:trPr>
          <w:trHeight w:val="412"/>
        </w:trPr>
        <w:tc>
          <w:tcPr>
            <w:tcW w:w="4380" w:type="dxa"/>
            <w:vAlign w:val="bottom"/>
          </w:tcPr>
          <w:p>
            <w:pPr>
              <w:ind w:left="120"/>
              <w:spacing w:after="0"/>
              <w:rPr>
                <w:sz w:val="20"/>
                <w:szCs w:val="20"/>
                <w:color w:val="auto"/>
              </w:rPr>
            </w:pPr>
            <w:r>
              <w:rPr>
                <w:rFonts w:ascii="Arial" w:cs="Arial" w:eastAsia="Arial" w:hAnsi="Arial"/>
                <w:sz w:val="18"/>
                <w:szCs w:val="18"/>
                <w:color w:val="auto"/>
              </w:rPr>
              <w:t>Weighted average shares outstanding used in</w:t>
            </w: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38"/>
        </w:trPr>
        <w:tc>
          <w:tcPr>
            <w:tcW w:w="4380" w:type="dxa"/>
            <w:vAlign w:val="bottom"/>
          </w:tcPr>
          <w:p>
            <w:pPr>
              <w:ind w:left="120"/>
              <w:spacing w:after="0"/>
              <w:rPr>
                <w:sz w:val="20"/>
                <w:szCs w:val="20"/>
                <w:color w:val="auto"/>
              </w:rPr>
            </w:pPr>
            <w:r>
              <w:rPr>
                <w:rFonts w:ascii="Arial" w:cs="Arial" w:eastAsia="Arial" w:hAnsi="Arial"/>
                <w:sz w:val="18"/>
                <w:szCs w:val="18"/>
                <w:color w:val="auto"/>
              </w:rPr>
              <w:t>computing diluted earnings per share</w:t>
            </w:r>
          </w:p>
        </w:tc>
        <w:tc>
          <w:tcPr>
            <w:tcW w:w="1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30"/>
        </w:trPr>
        <w:tc>
          <w:tcPr>
            <w:tcW w:w="4380" w:type="dxa"/>
            <w:vAlign w:val="bottom"/>
          </w:tcPr>
          <w:p>
            <w:pPr>
              <w:ind w:left="220"/>
              <w:spacing w:after="0"/>
              <w:rPr>
                <w:sz w:val="20"/>
                <w:szCs w:val="20"/>
                <w:color w:val="auto"/>
              </w:rPr>
            </w:pPr>
            <w:r>
              <w:rPr>
                <w:rFonts w:ascii="Arial" w:cs="Arial" w:eastAsia="Arial" w:hAnsi="Arial"/>
                <w:sz w:val="18"/>
                <w:szCs w:val="18"/>
                <w:color w:val="auto"/>
              </w:rPr>
              <w:t>Diluted, GAAP</w:t>
            </w:r>
          </w:p>
        </w:tc>
        <w:tc>
          <w:tcPr>
            <w:tcW w:w="180" w:type="dxa"/>
            <w:vAlign w:val="bottom"/>
          </w:tcPr>
          <w:p>
            <w:pPr>
              <w:spacing w:after="0"/>
              <w:rPr>
                <w:sz w:val="19"/>
                <w:szCs w:val="19"/>
                <w:color w:val="auto"/>
              </w:rPr>
            </w:pPr>
          </w:p>
        </w:tc>
        <w:tc>
          <w:tcPr>
            <w:tcW w:w="1460" w:type="dxa"/>
            <w:vAlign w:val="bottom"/>
          </w:tcPr>
          <w:p>
            <w:pPr>
              <w:jc w:val="right"/>
              <w:ind w:right="150"/>
              <w:spacing w:after="0"/>
              <w:rPr>
                <w:sz w:val="20"/>
                <w:szCs w:val="20"/>
                <w:color w:val="auto"/>
              </w:rPr>
            </w:pPr>
            <w:r>
              <w:rPr>
                <w:rFonts w:ascii="Arial" w:cs="Arial" w:eastAsia="Arial" w:hAnsi="Arial"/>
                <w:sz w:val="18"/>
                <w:szCs w:val="18"/>
                <w:color w:val="auto"/>
              </w:rPr>
              <w:t>82,783,915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79,691,703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ind w:right="150"/>
              <w:spacing w:after="0"/>
              <w:rPr>
                <w:sz w:val="20"/>
                <w:szCs w:val="20"/>
                <w:color w:val="auto"/>
              </w:rPr>
            </w:pPr>
            <w:r>
              <w:rPr>
                <w:rFonts w:ascii="Arial" w:cs="Arial" w:eastAsia="Arial" w:hAnsi="Arial"/>
                <w:sz w:val="18"/>
                <w:szCs w:val="18"/>
                <w:color w:val="auto"/>
              </w:rPr>
              <w:t>82,204,307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79,946,386</w:t>
            </w:r>
          </w:p>
        </w:tc>
      </w:tr>
      <w:tr>
        <w:trPr>
          <w:trHeight w:val="235"/>
        </w:trPr>
        <w:tc>
          <w:tcPr>
            <w:tcW w:w="4380" w:type="dxa"/>
            <w:vAlign w:val="bottom"/>
          </w:tcPr>
          <w:p>
            <w:pPr>
              <w:ind w:left="220"/>
              <w:spacing w:after="0"/>
              <w:rPr>
                <w:sz w:val="20"/>
                <w:szCs w:val="20"/>
                <w:color w:val="auto"/>
              </w:rPr>
            </w:pPr>
            <w:r>
              <w:rPr>
                <w:rFonts w:ascii="Arial" w:cs="Arial" w:eastAsia="Arial" w:hAnsi="Arial"/>
                <w:sz w:val="18"/>
                <w:szCs w:val="18"/>
                <w:color w:val="auto"/>
              </w:rPr>
              <w:t>Dilutive effect of equity awards (5)</w:t>
            </w:r>
          </w:p>
        </w:tc>
        <w:tc>
          <w:tcPr>
            <w:tcW w:w="180" w:type="dxa"/>
            <w:vAlign w:val="bottom"/>
          </w:tcPr>
          <w:p>
            <w:pPr>
              <w:spacing w:after="0"/>
              <w:rPr>
                <w:sz w:val="20"/>
                <w:szCs w:val="20"/>
                <w:color w:val="auto"/>
              </w:rPr>
            </w:pPr>
          </w:p>
        </w:tc>
        <w:tc>
          <w:tcPr>
            <w:tcW w:w="15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5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w:t>
            </w:r>
          </w:p>
        </w:tc>
      </w:tr>
      <w:tr>
        <w:trPr>
          <w:trHeight w:val="223"/>
        </w:trPr>
        <w:tc>
          <w:tcPr>
            <w:tcW w:w="4380" w:type="dxa"/>
            <w:vAlign w:val="bottom"/>
          </w:tcPr>
          <w:p>
            <w:pPr>
              <w:ind w:left="220"/>
              <w:spacing w:after="0"/>
              <w:rPr>
                <w:sz w:val="20"/>
                <w:szCs w:val="20"/>
                <w:color w:val="auto"/>
              </w:rPr>
            </w:pPr>
            <w:r>
              <w:rPr>
                <w:rFonts w:ascii="Arial" w:cs="Arial" w:eastAsia="Arial" w:hAnsi="Arial"/>
                <w:sz w:val="18"/>
                <w:szCs w:val="18"/>
                <w:color w:val="auto"/>
              </w:rPr>
              <w:t>Diluted, non-GAAP</w:t>
            </w:r>
          </w:p>
        </w:tc>
        <w:tc>
          <w:tcPr>
            <w:tcW w:w="18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82,783,915</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79,691,703</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82,204,307</w:t>
            </w:r>
          </w:p>
        </w:tc>
        <w:tc>
          <w:tcPr>
            <w:tcW w:w="8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79,946,386</w:t>
            </w:r>
          </w:p>
        </w:tc>
      </w:tr>
    </w:tbl>
    <w:p>
      <w:pPr>
        <w:sectPr>
          <w:pgSz w:w="11900" w:h="16838" w:orient="portrait"/>
          <w:cols w:equalWidth="0" w:num="1">
            <w:col w:w="11220"/>
          </w:cols>
          <w:pgMar w:left="340" w:top="931" w:right="339" w:bottom="1440" w:gutter="0" w:footer="0" w:header="0"/>
        </w:sectPr>
      </w:pPr>
    </w:p>
    <w:bookmarkStart w:id="17" w:name="page18"/>
    <w:bookmarkEnd w:id="17"/>
    <w:p>
      <w:pPr>
        <w:jc w:val="right"/>
        <w:ind w:right="220"/>
        <w:spacing w:after="0"/>
        <w:rPr>
          <w:sz w:val="20"/>
          <w:szCs w:val="20"/>
          <w:color w:val="auto"/>
        </w:rPr>
      </w:pPr>
      <w:r>
        <w:rPr>
          <w:rFonts w:ascii="Arial" w:cs="Arial" w:eastAsia="Arial" w:hAnsi="Arial"/>
          <w:sz w:val="18"/>
          <w:szCs w:val="18"/>
          <w:color w:val="auto"/>
        </w:rPr>
        <w:t>1.Includes transaction-related expenses as well as post-combination compensation expenses. For the three months ended September 30,</w:t>
      </w:r>
    </w:p>
    <w:p>
      <w:pPr>
        <w:jc w:val="right"/>
        <w:ind w:right="160"/>
        <w:spacing w:after="0" w:line="219" w:lineRule="auto"/>
        <w:rPr>
          <w:sz w:val="20"/>
          <w:szCs w:val="20"/>
          <w:color w:val="auto"/>
        </w:rPr>
      </w:pPr>
      <w:r>
        <w:rPr>
          <w:rFonts w:ascii="Arial" w:cs="Arial" w:eastAsia="Arial" w:hAnsi="Arial"/>
          <w:sz w:val="18"/>
          <w:szCs w:val="18"/>
          <w:color w:val="auto"/>
        </w:rPr>
        <w:t>2026, adjustments consist primarily of transaction-related expenses associated with the acquisition activities ($1.9 million), partially offset</w:t>
      </w:r>
    </w:p>
    <w:p>
      <w:pPr>
        <w:ind w:left="180" w:right="220"/>
        <w:spacing w:after="0" w:line="208" w:lineRule="auto"/>
        <w:rPr>
          <w:sz w:val="20"/>
          <w:szCs w:val="20"/>
          <w:color w:val="auto"/>
        </w:rPr>
      </w:pPr>
      <w:r>
        <w:rPr>
          <w:rFonts w:ascii="Arial" w:cs="Arial" w:eastAsia="Arial" w:hAnsi="Arial"/>
          <w:sz w:val="18"/>
          <w:szCs w:val="18"/>
          <w:color w:val="auto"/>
        </w:rPr>
        <w:t>by contingent consideration related to the NanoString transaction ($0.4 million). For the three months ended September 30, 2025, adjustments consist primarily of transaction-related expenses associated with contingent consideration related to NanoString and contingent consideration associated with the acquisition of C2i Genomics. For the nine months ended September 30, 2026, adjustments</w:t>
      </w:r>
    </w:p>
    <w:p>
      <w:pPr>
        <w:spacing w:after="0" w:line="2" w:lineRule="exact"/>
        <w:rPr>
          <w:sz w:val="20"/>
          <w:szCs w:val="20"/>
          <w:color w:val="auto"/>
        </w:rPr>
      </w:pPr>
    </w:p>
    <w:p>
      <w:pPr>
        <w:ind w:left="180" w:right="360"/>
        <w:spacing w:after="0" w:line="221" w:lineRule="auto"/>
        <w:rPr>
          <w:sz w:val="20"/>
          <w:szCs w:val="20"/>
          <w:color w:val="auto"/>
        </w:rPr>
      </w:pPr>
      <w:r>
        <w:rPr>
          <w:rFonts w:ascii="Arial" w:cs="Arial" w:eastAsia="Arial" w:hAnsi="Arial"/>
          <w:sz w:val="17"/>
          <w:szCs w:val="17"/>
          <w:color w:val="auto"/>
        </w:rPr>
        <w:t>consist primarily of transaction-related expenses associated with the acquisition activities ($1.9 million), partially offset with NanoString contingent consideration ($1.1 million). For the nine months ended September 30, 2025, adjustments consist primarily of transaction-related expenses associated with the acquisition of C2i Genomics ($1.6 million) partially offset by NanoString contingent consideration</w:t>
      </w:r>
    </w:p>
    <w:p>
      <w:pPr>
        <w:ind w:left="180"/>
        <w:spacing w:after="0"/>
        <w:rPr>
          <w:sz w:val="20"/>
          <w:szCs w:val="20"/>
          <w:color w:val="auto"/>
        </w:rPr>
      </w:pPr>
      <w:r>
        <w:rPr>
          <w:rFonts w:ascii="Arial" w:cs="Arial" w:eastAsia="Arial" w:hAnsi="Arial"/>
          <w:sz w:val="18"/>
          <w:szCs w:val="18"/>
          <w:color w:val="auto"/>
        </w:rPr>
        <w:t>($1.0 million).</w:t>
      </w:r>
    </w:p>
    <w:p>
      <w:pPr>
        <w:spacing w:after="0" w:line="14" w:lineRule="exact"/>
        <w:rPr>
          <w:sz w:val="20"/>
          <w:szCs w:val="20"/>
          <w:color w:val="auto"/>
        </w:rPr>
      </w:pPr>
    </w:p>
    <w:p>
      <w:pPr>
        <w:ind w:left="20"/>
        <w:spacing w:after="0"/>
        <w:rPr>
          <w:sz w:val="20"/>
          <w:szCs w:val="20"/>
          <w:color w:val="auto"/>
        </w:rPr>
      </w:pPr>
      <w:r>
        <w:rPr>
          <w:rFonts w:ascii="Arial" w:cs="Arial" w:eastAsia="Arial" w:hAnsi="Arial"/>
          <w:sz w:val="18"/>
          <w:szCs w:val="18"/>
          <w:color w:val="auto"/>
        </w:rPr>
        <w:t>2.Includes interest income and income related to research tax credits.</w:t>
      </w:r>
    </w:p>
    <w:p>
      <w:pPr>
        <w:spacing w:after="0" w:line="23" w:lineRule="exact"/>
        <w:rPr>
          <w:sz w:val="20"/>
          <w:szCs w:val="20"/>
          <w:color w:val="auto"/>
        </w:rPr>
      </w:pPr>
    </w:p>
    <w:p>
      <w:pPr>
        <w:jc w:val="right"/>
        <w:ind w:left="20"/>
        <w:spacing w:after="0" w:line="216" w:lineRule="auto"/>
        <w:rPr>
          <w:sz w:val="20"/>
          <w:szCs w:val="20"/>
          <w:color w:val="auto"/>
        </w:rPr>
      </w:pPr>
      <w:r>
        <w:rPr>
          <w:rFonts w:ascii="Arial" w:cs="Arial" w:eastAsia="Arial" w:hAnsi="Arial"/>
          <w:sz w:val="18"/>
          <w:szCs w:val="18"/>
          <w:color w:val="auto"/>
        </w:rPr>
        <w:t>3.For the three months ended September 30, 2026, adjustments consist primarily of expenses related to legal proceedings ($3.2 million). For the three months ended September 30, 2025, adjustments primarily include expenses related to the exclusion of unrealized loss related to</w:t>
      </w:r>
    </w:p>
    <w:p>
      <w:pPr>
        <w:spacing w:after="0" w:line="1" w:lineRule="exact"/>
        <w:rPr>
          <w:sz w:val="20"/>
          <w:szCs w:val="20"/>
          <w:color w:val="auto"/>
        </w:rPr>
      </w:pPr>
    </w:p>
    <w:p>
      <w:pPr>
        <w:ind w:left="180" w:right="160"/>
        <w:spacing w:after="0" w:line="208" w:lineRule="auto"/>
        <w:rPr>
          <w:sz w:val="20"/>
          <w:szCs w:val="20"/>
          <w:color w:val="auto"/>
        </w:rPr>
      </w:pPr>
      <w:r>
        <w:rPr>
          <w:rFonts w:ascii="Arial" w:cs="Arial" w:eastAsia="Arial" w:hAnsi="Arial"/>
          <w:sz w:val="18"/>
          <w:szCs w:val="18"/>
          <w:color w:val="auto"/>
        </w:rPr>
        <w:t>Veracyte SAS deconsolidation ($ 6.7 million), the exclusion of unrealized loss associated with foreign exchange impact on stock-based compensation and intercompany loans ($1.3 million), the restructuring and liquidation proceedings of Veracyte SAS ($2.4 million), and other legal proceedings ($0.5 million), partially offset by vendor legal settlement ($2.8 million). For the nine months ended September 30,</w:t>
      </w:r>
    </w:p>
    <w:p>
      <w:pPr>
        <w:spacing w:after="0" w:line="2" w:lineRule="exact"/>
        <w:rPr>
          <w:sz w:val="20"/>
          <w:szCs w:val="20"/>
          <w:color w:val="auto"/>
        </w:rPr>
      </w:pPr>
    </w:p>
    <w:p>
      <w:pPr>
        <w:jc w:val="both"/>
        <w:ind w:left="180" w:right="60"/>
        <w:spacing w:after="0" w:line="221" w:lineRule="auto"/>
        <w:rPr>
          <w:sz w:val="20"/>
          <w:szCs w:val="20"/>
          <w:color w:val="auto"/>
        </w:rPr>
      </w:pPr>
      <w:r>
        <w:rPr>
          <w:rFonts w:ascii="Arial" w:cs="Arial" w:eastAsia="Arial" w:hAnsi="Arial"/>
          <w:sz w:val="17"/>
          <w:szCs w:val="17"/>
          <w:color w:val="auto"/>
        </w:rPr>
        <w:t>2026, adjustments primarily include expenses related to legal proceedings ($4.9 million), expenses related to the assessment of licensing and strategic investments ($3.0 million), expenses related to the liquidation proceedings of Veracyte SAS ($0.3 million), and losses related to asset disposition ($0.4 million), partially offset by adjustments related to the restructuring and liquidation proceedings of Veracyte SAS</w:t>
      </w:r>
    </w:p>
    <w:p>
      <w:pPr>
        <w:ind w:left="180" w:right="180"/>
        <w:spacing w:after="0" w:line="208" w:lineRule="auto"/>
        <w:rPr>
          <w:sz w:val="20"/>
          <w:szCs w:val="20"/>
          <w:color w:val="auto"/>
        </w:rPr>
      </w:pPr>
      <w:r>
        <w:rPr>
          <w:rFonts w:ascii="Arial" w:cs="Arial" w:eastAsia="Arial" w:hAnsi="Arial"/>
          <w:sz w:val="18"/>
          <w:szCs w:val="18"/>
          <w:color w:val="auto"/>
        </w:rPr>
        <w:t>($4.2 million). For the nine months ended September 30, 2025, adjustments include additional expenses related to Veracyte SAS impairment loss ($20.5 million) and Veracyte SAS investment review ($8.0 million), partially offset by adjustments related to restructuring costs ($0.1 million) and additional exclusion of unrealized gains associated with foreign exchange impacts on stock-based compensation</w:t>
      </w:r>
    </w:p>
    <w:p>
      <w:pPr>
        <w:spacing w:after="0" w:line="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and intercompany loans ($3.6 million).</w:t>
      </w:r>
    </w:p>
    <w:p>
      <w:pPr>
        <w:spacing w:after="0" w:line="14" w:lineRule="exact"/>
        <w:rPr>
          <w:sz w:val="20"/>
          <w:szCs w:val="20"/>
          <w:color w:val="auto"/>
        </w:rPr>
      </w:pPr>
    </w:p>
    <w:p>
      <w:pPr>
        <w:ind w:left="20"/>
        <w:spacing w:after="0"/>
        <w:rPr>
          <w:sz w:val="20"/>
          <w:szCs w:val="20"/>
          <w:color w:val="auto"/>
        </w:rPr>
      </w:pPr>
      <w:r>
        <w:rPr>
          <w:rFonts w:ascii="Arial" w:cs="Arial" w:eastAsia="Arial" w:hAnsi="Arial"/>
          <w:sz w:val="18"/>
          <w:szCs w:val="18"/>
          <w:color w:val="auto"/>
        </w:rPr>
        <w:t>4.Incremental non-GAAP tax expense reflects the tax impact of the non-GAAP adjustments listed.</w:t>
      </w:r>
    </w:p>
    <w:p>
      <w:pPr>
        <w:spacing w:after="0" w:line="23" w:lineRule="exact"/>
        <w:rPr>
          <w:sz w:val="20"/>
          <w:szCs w:val="20"/>
          <w:color w:val="auto"/>
        </w:rPr>
      </w:pPr>
    </w:p>
    <w:p>
      <w:pPr>
        <w:ind w:left="180" w:right="360" w:hanging="161"/>
        <w:spacing w:after="0" w:line="229" w:lineRule="auto"/>
        <w:rPr>
          <w:sz w:val="20"/>
          <w:szCs w:val="20"/>
          <w:color w:val="auto"/>
        </w:rPr>
      </w:pPr>
      <w:r>
        <w:rPr>
          <w:rFonts w:ascii="Arial" w:cs="Arial" w:eastAsia="Arial" w:hAnsi="Arial"/>
          <w:sz w:val="17"/>
          <w:szCs w:val="17"/>
          <w:color w:val="auto"/>
        </w:rPr>
        <w:t>5.In those periods in which GAAP net (loss) income is negative and non-GAAP net (loss) income is positive, non-GAAP diluted weighted average shares outstanding includes potentially dilutive common shares from equity awards as determined using the treasury stock</w:t>
      </w:r>
    </w:p>
    <w:p>
      <w:pPr>
        <w:ind w:left="180"/>
        <w:spacing w:after="0"/>
        <w:rPr>
          <w:sz w:val="20"/>
          <w:szCs w:val="20"/>
          <w:color w:val="auto"/>
        </w:rPr>
      </w:pPr>
      <w:r>
        <w:rPr>
          <w:rFonts w:ascii="Arial" w:cs="Arial" w:eastAsia="Arial" w:hAnsi="Arial"/>
          <w:sz w:val="18"/>
          <w:szCs w:val="18"/>
          <w:color w:val="auto"/>
        </w:rPr>
        <w:t>method.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 #</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Kelly Gura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investors@veracyte.com</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Molly Cornbleet</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media@veracyte.com</w:t>
      </w:r>
    </w:p>
    <w:p>
      <w:pPr>
        <w:spacing w:after="0"/>
        <w:rPr>
          <w:sz w:val="20"/>
          <w:szCs w:val="20"/>
          <w:color w:val="auto"/>
        </w:rPr>
      </w:pPr>
      <w:r>
        <w:rPr>
          <w:rFonts w:ascii="Arial" w:cs="Arial" w:eastAsia="Arial" w:hAnsi="Arial"/>
          <w:sz w:val="18"/>
          <w:szCs w:val="18"/>
          <w:color w:val="auto"/>
        </w:rPr>
        <w:t>+1-650-351-8780</w:t>
      </w:r>
    </w:p>
    <w:sectPr>
      <w:pgSz w:w="11900" w:h="16838" w:orient="portrait"/>
      <w:cols w:equalWidth="0" w:num="1">
        <w:col w:w="11220"/>
      </w:cols>
      <w:pgMar w:left="320" w:top="917"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2026-11-04T15:22:19Z</dcterms:created>
  <dcterms:modified xsi:type="dcterms:W3CDTF">2026-11-04T15:22:19Z</dcterms:modified>
</cp:coreProperties>
</file>