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60" w:right="1740" w:hanging="3880"/>
        <w:spacing w:after="0" w:line="438" w:lineRule="auto"/>
        <w:tabs>
          <w:tab w:leader="none" w:pos="39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200" w:lineRule="exact"/>
        <w:rPr>
          <w:sz w:val="24"/>
          <w:szCs w:val="24"/>
          <w:color w:val="auto"/>
        </w:rPr>
      </w:pPr>
    </w:p>
    <w:p>
      <w:pPr>
        <w:spacing w:after="0" w:line="206" w:lineRule="exact"/>
        <w:rPr>
          <w:sz w:val="24"/>
          <w:szCs w:val="24"/>
          <w:color w:val="auto"/>
        </w:rPr>
      </w:pPr>
    </w:p>
    <w:p>
      <w:pPr>
        <w:ind w:left="14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color w:val="auto"/>
              </w:rPr>
              <w:t>________________________________</w:t>
            </w:r>
          </w:p>
        </w:tc>
      </w:tr>
      <w:tr>
        <w:trPr>
          <w:trHeight w:val="481"/>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Arial" w:cs="Arial" w:eastAsia="Arial" w:hAnsi="Arial"/>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176"/>
              <w:spacing w:after="0"/>
              <w:rPr>
                <w:sz w:val="20"/>
                <w:szCs w:val="20"/>
                <w:color w:val="auto"/>
              </w:rPr>
            </w:pPr>
            <w:r>
              <w:rPr>
                <w:rFonts w:ascii="Arial" w:cs="Arial" w:eastAsia="Arial" w:hAnsi="Arial"/>
                <w:sz w:val="18"/>
                <w:szCs w:val="18"/>
                <w:b w:val="1"/>
                <w:bCs w:val="1"/>
                <w:color w:val="auto"/>
                <w:w w:val="89"/>
              </w:rPr>
              <w:t>20-5455398</w:t>
            </w:r>
          </w:p>
        </w:tc>
      </w:tr>
      <w:tr>
        <w:trPr>
          <w:trHeight w:val="218"/>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4176"/>
              <w:spacing w:after="0"/>
              <w:rPr>
                <w:sz w:val="20"/>
                <w:szCs w:val="20"/>
                <w:color w:val="auto"/>
              </w:rPr>
            </w:pPr>
            <w:r>
              <w:rPr>
                <w:rFonts w:ascii="Arial" w:cs="Arial" w:eastAsia="Arial" w:hAnsi="Arial"/>
                <w:sz w:val="14"/>
                <w:szCs w:val="14"/>
                <w:color w:val="auto"/>
                <w:w w:val="95"/>
              </w:rPr>
              <w:t>(I.R.S. Employer</w:t>
            </w:r>
          </w:p>
        </w:tc>
      </w:tr>
      <w:tr>
        <w:trPr>
          <w:trHeight w:val="203"/>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4156"/>
              <w:spacing w:after="0"/>
              <w:rPr>
                <w:sz w:val="20"/>
                <w:szCs w:val="20"/>
                <w:color w:val="auto"/>
              </w:rPr>
            </w:pPr>
            <w:r>
              <w:rPr>
                <w:rFonts w:ascii="Arial" w:cs="Arial" w:eastAsia="Arial" w:hAnsi="Arial"/>
                <w:sz w:val="14"/>
                <w:szCs w:val="14"/>
                <w:color w:val="auto"/>
                <w:w w:val="99"/>
              </w:rPr>
              <w:t>Identification No.)</w:t>
            </w:r>
          </w:p>
        </w:tc>
      </w:tr>
      <w:tr>
        <w:trPr>
          <w:trHeight w:val="367"/>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2020" w:type="dxa"/>
            <w:vAlign w:val="bottom"/>
          </w:tcPr>
          <w:p>
            <w:pPr>
              <w:spacing w:after="0"/>
              <w:rPr>
                <w:sz w:val="15"/>
                <w:szCs w:val="15"/>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Arial" w:cs="Arial" w:eastAsia="Arial" w:hAnsi="Arial"/>
                <w:sz w:val="18"/>
                <w:szCs w:val="18"/>
                <w:color w:val="auto"/>
                <w:w w:val="89"/>
              </w:rPr>
              <w:t>________________________________</w:t>
            </w:r>
          </w:p>
        </w:tc>
      </w:tr>
    </w:tbl>
    <w:p>
      <w:pPr>
        <w:spacing w:after="0" w:line="197" w:lineRule="exact"/>
        <w:rPr>
          <w:sz w:val="24"/>
          <w:szCs w:val="24"/>
          <w:color w:val="auto"/>
        </w:rPr>
      </w:pPr>
    </w:p>
    <w:p>
      <w:pPr>
        <w:ind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firstLine="243"/>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26" w:lineRule="exact"/>
        <w:rPr>
          <w:sz w:val="24"/>
          <w:szCs w:val="24"/>
          <w:color w:val="auto"/>
        </w:rPr>
      </w:pPr>
    </w:p>
    <w:p>
      <w:pPr>
        <w:ind w:right="220" w:firstLine="243"/>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5" w:lineRule="exact"/>
        <w:rPr>
          <w:sz w:val="24"/>
          <w:szCs w:val="24"/>
          <w:color w:val="auto"/>
        </w:rPr>
      </w:pPr>
    </w:p>
    <w:tbl>
      <w:tblPr>
        <w:tblLayout w:type="fixed"/>
        <w:tblInd w:w="1420" w:type="dxa"/>
        <w:tblCellMar>
          <w:top w:w="0" w:type="dxa"/>
          <w:left w:w="0" w:type="dxa"/>
          <w:bottom w:w="0" w:type="dxa"/>
          <w:right w:w="0" w:type="dxa"/>
        </w:tblCellMar>
      </w:tblPr>
      <w:tr>
        <w:trPr>
          <w:trHeight w:val="182"/>
        </w:trPr>
        <w:tc>
          <w:tcPr>
            <w:tcW w:w="4540" w:type="dxa"/>
            <w:vAlign w:val="bottom"/>
          </w:tcPr>
          <w:p>
            <w:pPr>
              <w:jc w:val="center"/>
              <w:ind w:right="1828"/>
              <w:spacing w:after="0"/>
              <w:rPr>
                <w:sz w:val="20"/>
                <w:szCs w:val="20"/>
                <w:color w:val="auto"/>
              </w:rPr>
            </w:pPr>
            <w:r>
              <w:rPr>
                <w:rFonts w:ascii="Arial" w:cs="Arial" w:eastAsia="Arial" w:hAnsi="Arial"/>
                <w:sz w:val="14"/>
                <w:szCs w:val="14"/>
                <w:color w:val="auto"/>
                <w:w w:val="93"/>
              </w:rPr>
              <w:t>Large 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7"/>
              </w:rPr>
              <w:t>Accelerated filer x</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5"/>
              </w:rPr>
              <w:t>Non-accelerated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3"/>
              </w:rPr>
              <w:t>Smaller reporting company o</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4"/>
              </w:rPr>
              <w:t>(Do not check if a smaller reporting company)</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4"/>
              </w:rPr>
              <w:t>Emerging growth company x</w:t>
            </w:r>
          </w:p>
        </w:tc>
      </w:tr>
    </w:tbl>
    <w:p>
      <w:pPr>
        <w:spacing w:after="0" w:line="34" w:lineRule="exact"/>
        <w:rPr>
          <w:sz w:val="24"/>
          <w:szCs w:val="24"/>
          <w:color w:val="auto"/>
        </w:rPr>
      </w:pPr>
    </w:p>
    <w:p>
      <w:pPr>
        <w:ind w:right="360"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93"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9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July 17, 2018, there were 34,533,302 shares of common stock, par value $0.001 per share, outstanding.</w:t>
      </w:r>
    </w:p>
    <w:p>
      <w:pPr>
        <w:sectPr>
          <w:pgSz w:w="11900" w:h="16838" w:orient="portrait"/>
          <w:cols w:equalWidth="0" w:num="1">
            <w:col w:w="11280"/>
          </w:cols>
          <w:pgMar w:left="240" w:top="229" w:right="3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No.</w:t>
            </w:r>
          </w:p>
        </w:tc>
        <w:tc>
          <w:tcPr>
            <w:tcW w:w="0" w:type="dxa"/>
            <w:vAlign w:val="bottom"/>
          </w:tcPr>
          <w:p>
            <w:pPr>
              <w:spacing w:after="0"/>
              <w:rPr>
                <w:sz w:val="1"/>
                <w:szCs w:val="1"/>
                <w:color w:val="auto"/>
              </w:rPr>
            </w:pPr>
          </w:p>
        </w:tc>
      </w:tr>
      <w:tr>
        <w:trPr>
          <w:trHeight w:val="189"/>
        </w:trPr>
        <w:tc>
          <w:tcPr>
            <w:tcW w:w="10020" w:type="dxa"/>
            <w:vAlign w:val="bottom"/>
            <w:gridSpan w:val="17"/>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8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Financial Statements (Unaudited)</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June 30, 2018 and December 31, 2017</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and Six-Month Periods Ended June 30, 2018 and 2017</w:t>
              </w:r>
            </w:hyperlink>
          </w:p>
        </w:tc>
        <w:tc>
          <w:tcPr>
            <w:tcW w:w="180" w:type="dxa"/>
            <w:vAlign w:val="bottom"/>
            <w:vMerge w:val="restart"/>
          </w:tcPr>
          <w:p>
            <w:pPr>
              <w:spacing w:after="0"/>
              <w:rPr>
                <w:sz w:val="21"/>
                <w:szCs w:val="21"/>
                <w:color w:val="auto"/>
              </w:rPr>
            </w:pPr>
          </w:p>
        </w:tc>
        <w:tc>
          <w:tcPr>
            <w:tcW w:w="1240" w:type="dxa"/>
            <w:vAlign w:val="bottom"/>
            <w:gridSpan w:val="2"/>
            <w:vMerge w:val="restart"/>
          </w:tcPr>
          <w:p>
            <w:pPr>
              <w:spacing w:after="0"/>
              <w:rPr>
                <w:sz w:val="21"/>
                <w:szCs w:val="21"/>
                <w:color w:val="auto"/>
              </w:rPr>
            </w:pPr>
          </w:p>
        </w:tc>
        <w:tc>
          <w:tcPr>
            <w:tcW w:w="100" w:type="dxa"/>
            <w:vAlign w:val="bottom"/>
            <w:vMerge w:val="restart"/>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2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Six-Month Periods Ended June 30, 2018 and 2017</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276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9360" w:type="dxa"/>
            <w:vAlign w:val="bottom"/>
            <w:gridSpan w:val="14"/>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80" w:type="dxa"/>
            <w:vAlign w:val="bottom"/>
            <w:gridSpan w:val="11"/>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880" w:type="dxa"/>
            <w:vAlign w:val="bottom"/>
            <w:gridSpan w:val="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0" w:type="dxa"/>
            <w:vAlign w:val="bottom"/>
            <w:gridSpan w:val="4"/>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8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20" w:type="dxa"/>
            <w:vAlign w:val="bottom"/>
            <w:gridSpan w:val="1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04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1060" w:type="dxa"/>
            <w:vAlign w:val="bottom"/>
            <w:gridSpan w:val="3"/>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830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SIGNATURES</w:t>
              </w:r>
            </w:hyperlink>
          </w:p>
        </w:tc>
        <w:tc>
          <w:tcPr>
            <w:tcW w:w="892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33,891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 inventory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65,461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 liability, net of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Preferred stock, $0.001 par value; 5,000,000 shares authorized, no shares issued and outstanding as of June 30,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2018 and December 31, 2017</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2"/>
              </w:rPr>
              <w:t>Common stock, $0.001 par value; 125,000,000 shares authorized, 34,441,714 and 34,210,388 shares issued</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and outstanding as of June 30, 2018 and December 31, 2017, respectively</w:t>
            </w:r>
          </w:p>
        </w:tc>
        <w:tc>
          <w:tcPr>
            <w:tcW w:w="24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248,278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(211,087)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65,461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34,838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7,633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12,211</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57,664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48,964</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(1,608)</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(15,515)</w:t>
            </w: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34,314,234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33,873,128</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34,320,793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33,848,645</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on end-of-term debt obligation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Supplies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current 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and deferred rent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legal settlement regarding short-swing profits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capital lease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47,186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paid on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r>
        <w:rPr>
          <w:rFonts w:ascii="Arial" w:cs="Arial" w:eastAsia="Arial" w:hAnsi="Arial"/>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33,891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603</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24,361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34,494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Inc. (“Veracyte” or the “Company”)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Veracyte is a genomic diagnostics company that resolves diagnostic uncertainty by combining genomic technology, clinical science and machine learning to provide diagnostic answers to physicians and patients.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Company's founding in 2008, it has commercialized three products:</w:t>
      </w:r>
    </w:p>
    <w:p>
      <w:pPr>
        <w:spacing w:after="0" w:line="225" w:lineRule="exact"/>
        <w:rPr>
          <w:sz w:val="20"/>
          <w:szCs w:val="20"/>
          <w:color w:val="auto"/>
        </w:rPr>
      </w:pPr>
    </w:p>
    <w:p>
      <w:pPr>
        <w:jc w:val="both"/>
        <w:ind w:left="1060"/>
        <w:spacing w:after="0" w:line="257" w:lineRule="auto"/>
        <w:rPr>
          <w:sz w:val="20"/>
          <w:szCs w:val="20"/>
          <w:color w:val="auto"/>
        </w:rPr>
      </w:pPr>
      <w:r>
        <w:rPr>
          <w:rFonts w:ascii="Arial" w:cs="Arial" w:eastAsia="Arial" w:hAnsi="Arial"/>
          <w:sz w:val="18"/>
          <w:szCs w:val="18"/>
          <w:i w:val="1"/>
          <w:iCs w:val="1"/>
          <w:color w:val="auto"/>
        </w:rPr>
        <w:t xml:space="preserve">Afirma Thyroid FNA Analysis </w:t>
      </w:r>
      <w:r>
        <w:rPr>
          <w:rFonts w:ascii="Arial" w:cs="Arial" w:eastAsia="Arial" w:hAnsi="Arial"/>
          <w:sz w:val="18"/>
          <w:szCs w:val="18"/>
          <w:color w:val="auto"/>
        </w:rPr>
        <w:t>- Includes the next-generation Afirma Genomic Sequencing Classifier, or GSC, and its predecessor, the Afirma</w:t>
      </w:r>
      <w:r>
        <w:rPr>
          <w:rFonts w:ascii="Arial" w:cs="Arial" w:eastAsia="Arial" w:hAnsi="Arial"/>
          <w:sz w:val="18"/>
          <w:szCs w:val="18"/>
          <w:i w:val="1"/>
          <w:iCs w:val="1"/>
          <w:color w:val="auto"/>
        </w:rPr>
        <w:t xml:space="preserve"> </w:t>
      </w:r>
      <w:r>
        <w:rPr>
          <w:rFonts w:ascii="Arial" w:cs="Arial" w:eastAsia="Arial" w:hAnsi="Arial"/>
          <w:sz w:val="18"/>
          <w:szCs w:val="18"/>
          <w:color w:val="auto"/>
        </w:rPr>
        <w:t>Gene Expression Classifier, or GEC that is used to identify patients with benign thyroid nodules among those with indeterminate cytopathology results in order to preserve the thyroid. The Afirma classifier was developed using machine learning that is based on ensemble methods in which multiple algorithms - each playing its own role - are used to interpret large amounts of ribonucleic acid, or RNA, sequencing genomic data and obtain a better predictive performance than any single algorithm.</w:t>
      </w:r>
    </w:p>
    <w:p>
      <w:pPr>
        <w:spacing w:after="0" w:line="188" w:lineRule="exact"/>
        <w:rPr>
          <w:sz w:val="20"/>
          <w:szCs w:val="20"/>
          <w:color w:val="auto"/>
        </w:rPr>
      </w:pPr>
    </w:p>
    <w:p>
      <w:pPr>
        <w:jc w:val="both"/>
        <w:ind w:left="1060"/>
        <w:spacing w:after="0" w:line="257" w:lineRule="auto"/>
        <w:rPr>
          <w:sz w:val="20"/>
          <w:szCs w:val="20"/>
          <w:color w:val="auto"/>
        </w:rPr>
      </w:pPr>
      <w:r>
        <w:rPr>
          <w:rFonts w:ascii="Arial" w:cs="Arial" w:eastAsia="Arial" w:hAnsi="Arial"/>
          <w:sz w:val="18"/>
          <w:szCs w:val="18"/>
          <w:i w:val="1"/>
          <w:iCs w:val="1"/>
          <w:color w:val="auto"/>
        </w:rPr>
        <w:t xml:space="preserve">Percepta Bronchial Genomic Classifier - </w:t>
      </w:r>
      <w:r>
        <w:rPr>
          <w:rFonts w:ascii="Arial" w:cs="Arial" w:eastAsia="Arial" w:hAnsi="Arial"/>
          <w:sz w:val="18"/>
          <w:szCs w:val="18"/>
          <w:color w:val="auto"/>
        </w:rPr>
        <w:t>The 23-gene Percepta classifier improves lung cancer screening and diagnosis by increasing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performance of bronchoscopies and identifying patients with lung nodules who are at low risk of cancer, without the need for more invasive procedures. The test leverages the field of injury concept and analyzes genomic changes that occur in the epithelial cells lining the airways of current or former smokers to assess a patient’s risk of having lung cancer, without the need to test the often-hard-to-reach nodule directly.</w:t>
      </w:r>
    </w:p>
    <w:p>
      <w:pPr>
        <w:spacing w:after="0" w:line="188"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i w:val="1"/>
          <w:iCs w:val="1"/>
          <w:color w:val="auto"/>
        </w:rPr>
        <w:t xml:space="preserve">Envisia Genomic Classifier </w:t>
      </w:r>
      <w:r>
        <w:rPr>
          <w:rFonts w:ascii="Arial" w:cs="Arial" w:eastAsia="Arial" w:hAnsi="Arial"/>
          <w:sz w:val="18"/>
          <w:szCs w:val="18"/>
          <w:color w:val="auto"/>
        </w:rPr>
        <w:t>- The Envisia classifier is designed to improve physicians’ ability to differentiate idiopathic pulmonary fibrosis, or</w:t>
      </w:r>
      <w:r>
        <w:rPr>
          <w:rFonts w:ascii="Arial" w:cs="Arial" w:eastAsia="Arial" w:hAnsi="Arial"/>
          <w:sz w:val="18"/>
          <w:szCs w:val="18"/>
          <w:i w:val="1"/>
          <w:iCs w:val="1"/>
          <w:color w:val="auto"/>
        </w:rPr>
        <w:t xml:space="preserve"> </w:t>
      </w:r>
      <w:r>
        <w:rPr>
          <w:rFonts w:ascii="Arial" w:cs="Arial" w:eastAsia="Arial" w:hAnsi="Arial"/>
          <w:sz w:val="18"/>
          <w:szCs w:val="18"/>
          <w:color w:val="auto"/>
        </w:rPr>
        <w:t>IPF, from other interstitial lung diseases, or ILD, without the need for invasive and potentially risky surgery. The Envisia classifier uses machine learning coupled with powerful, deep RNA sequencing to detect the presence or absence of usual interstitial pneumonia, or UIP, a classic diagnostic pattern whose presence is essential for the diagnosis of IPF.</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South San Francisco, California and Austin, Texas, which are each certified under the Clinical Laboratory Improvement Amendments of 1988.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balance sheet as of June 30, 2018, the condensed statements of operations and comprehensive loss for the three and six months ended June 30, 2018 and 2017, and the condensed statements of cash flows for the six months ended June 30, 2018 and 2017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2017 has been derived from audited financial statements. The results for the three and six months ended June 30, 2018 are not necessarily indicative of the results expected for the full year or any other period.</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June 30, 2018, substantially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72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60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significant third-party payers and their related accounts receivable balance as a percentage of total accounts receivable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10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UnitedHealthcare</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had deposits of $603,000 included in long-term assets as of June 30, 2018 and December 31, 2017, restricted from withdrawal and held by a bank in the form of collateral for an irrevocable standby letter of credit held as security for the lease of the Company’s South San Francisco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starting January 1, 2018. Prior to January 1, 2018, the Company recognized revenue in accordance with the provisions of ASC 954-605, </w:t>
      </w:r>
      <w:r>
        <w:rPr>
          <w:rFonts w:ascii="Arial" w:cs="Arial" w:eastAsia="Arial" w:hAnsi="Arial"/>
          <w:sz w:val="18"/>
          <w:szCs w:val="18"/>
          <w:i w:val="1"/>
          <w:iCs w:val="1"/>
          <w:color w:val="auto"/>
        </w:rPr>
        <w:t>Health Care</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 - Revenue Recognition</w:t>
      </w:r>
      <w:r>
        <w:rPr>
          <w:rFonts w:ascii="Arial" w:cs="Arial" w:eastAsia="Arial" w:hAnsi="Arial"/>
          <w:sz w:val="18"/>
          <w:szCs w:val="18"/>
          <w:color w:val="auto"/>
        </w:rPr>
        <w:t>, or ASC 954.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Diagnostic Services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the Company’s revenue is generated from the provision of diagnostic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adopted ASC 606 on January 1, 2018 using the modified retrospective method, which requires a cumulative catch-up adjustment as if the Company had recognized revenue under ASC 606 from January 1, 2016 to December 31, 2017, or the Catch-Up Period. Prior to January 1, 2018, the Company recognized revenue in accordance with ASC 954 and recognized revenue for tests delivered on an accrual basis when amounts that will ultimately be realized could be reasonably estimated, and on the cash basis when there was insufficient information to estimate revenue accruals. There was sufficient payment history for the Company to substantially accrue all revenue upon delivery of test results starting July 1, 2016 and the Company continued to recognize revenue upon cash receipt for unaccrued tests that were delivered prior to July 1, 2016. There was no revenue recognized on the cash basis for the three and six months ended June 30, 2018 and revenue on the cash basis for the three and six months ended June 30, 2017 was $795,000 and $2.1 million, respectively.</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noted above, on July 1, 2016 the Company began recognizing revenue from substantially all its tests on the accrual basis of accounting at an amount equal to management’s best estimate of the cash to ultimately be collected. For tests delivered prior to July 1, 2016, substantially all the related cash had been collected by December 31, 2017. Thus, at January 1, 2018, the cumulative impact of adopting ASC 606 was not material and no adjustment was recorded.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first half of 2018, cash collections for certain tests delivered in 2017 came in at rates higher than originally accrued. As a result, the Company changed its estimate of the amounts to be recognized for these tests and recognized an additional $0.5 million and $1.2 million of revenue for the three and six months ended June 30, 2018, respectively. These changes in estimates resulted in decreases in loss from operations of $0.5 million and $1.2 million and decreases in loss per share of approximately $0.02 and $0.04 for the three and six months ended June 30, 2018,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Services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9, 2018, the Company entered into an agreement with a biopharmaceutical company whereby the Company agreed to provide certain tissue samples and other services in exchange for agreed-upon fees. During the quarter ended June 30, 2018, the Company recognized $450,000 of revenue upon delivery of tissue samples and the Company received $500,000 for other services, which will be recognized ratably during the quarters ended September 30 and December 31, 2018 as the services are performed. Thereafter, the Company expects to receive approximately $250,000 per quarter as services are performed and may also recognize revenue related to the delivery of additional tissue samples as long the agreement is not terminated. The agreement has a term of one year with an automatic renewal of one year and the biopharmaceutical company may terminate the agreement at any time with at least 90 days' notice. The Company evaluated the accounting for this agreement under ASC 606 and concluded the performance obligations thereunder are the delivery of tissue samples and performance of services, both of which are distinct.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2018, the Company received $0.4 million as a settlement with an institutional investor that was a beneficial owner of the Company's common stock related to the disgorgement of short-swing profits pursuant to Section 16(b) of the Securities Exchange Act of 1934, as amended. The settlement of $0.4 million was recognized as additional paid-in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February 2016, the FASB issued ASU No. 2016-2,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will be effective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The Company expects to adopt this standard beginning in 2019. The Company does not expect that this standard will have a material impact on its results of operations or cash flows, but that it will have a material impact on the Company’s assets and liabilities. The Company is currently in the process of quantifying the impact of adopting this ASU.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8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520" w:type="dxa"/>
            <w:vAlign w:val="bottom"/>
            <w:gridSpan w:val="7"/>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6,209,143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6,436,953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6,100,753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6,039,791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42,531</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41,044</w:t>
            </w:r>
          </w:p>
        </w:tc>
        <w:tc>
          <w:tcPr>
            <w:tcW w:w="1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35,229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450,505</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70,000</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322,367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54,834</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6,702,179</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6,547,997</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6,457,257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6,129,854</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3. Accrued Liabilities</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gridSpan w:val="3"/>
          </w:tcPr>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3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expenses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5,052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5,293</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3,377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2,882</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8,429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8,175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the Company’s financial assets include money market funds and a deposit for the lease of the Company's South San Francisco facility. Money market funds, included in cash and cash equivalents in the accompanying condensed balance sheets, were $23.2 million and $33.1 million as of June 30, 2018 and December 31, 2017, respectively, and are Level I assets as described above. The deposit for the lease, included in restricted cash in the accompanying condensed balance sheets, was $603,000 as of June 30, 2018 and December 31, 2017, and is a Level I asset as described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In February 2017, the Company relinquished certain expansion rights for a nominal fee. The Company had deposits of $603,000 included in long-term assets as of June 30, 2018 and December 31, 2017, restricted from withdrawal and held by a bank in the form of collateral for an irrevocable standby letter of credit held as security for the lease of the South San Francisco facility.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related cash security deposit of $139,000 as of June 30, 2018 and December 31, 2017 is included in other assets in the Company’s condensed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June 30, 2018 are as follows (in thousands of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2,227</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2,401</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9,384</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19,846</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recognizes rent expense on a straight-line basis over the non-cancelable lease period. Rent expense was $476,000 and $455,000 for the three months ended June 30, 2018 and 2017, respectively, and $953,000 and $912,000 for the six months ended June 30, 2018 and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entered into a capital lease in December 2016 for $1.2 million of laboratory equipment. The Company paid an upfront amount of $330,000 and the present value of the total future minimum lease payments was $874,000. As of June 30, 2018, the annual future minimum lease payments are $159,000 and $317,000 for the remainder of 2018 and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assesses contingencies to determine the degree of probability and range of possible loss for potential accrual in its financial statements. An estimated loss contingency is accrued in the financial statements if it is probable that a liability has been incurred and the amount of the loss can be reasonably estimated. The Company believes there is no litigation pending that could have, either individually or in the aggregate, a material adverse effect on the Company’s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November 3, 2017, the Company entered into a loan and security agreement, or the Loan and Security Agreement, 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Silicon Valley Bank. The Loan and Security Agreement allows the Company to borrow up to $35.0 million, with a $25.0 million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June 30, 2018.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Term Loan Advance bears interest at a variable rate equal to (i) the thirty-day U.S. London Interbank Offer Rate, or LIBOR plus (ii) 4.20%, with a minimum rate of 5.34% per annum. Principal amounts outstanding under the Revolving Line of Credit bear interest at a variable rate equal to (i) LIBOR plus (ii) 3.50%, with a minimum rate of 4.70% per annum. The effective interest rate was 7.9% for the six months ended June 30, 2018.</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w:t>
      </w:r>
    </w:p>
    <w:p>
      <w:pPr>
        <w:spacing w:after="0" w:line="18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our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June 30, 2018, the Company was in compliance with the loan covenants.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2018, the net debt obligation for borrowings made under the Loan and Security Agreement was as follows (in thousands of dollars):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9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End-of-term debt obligation</w:t>
            </w: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Net debt obligation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25,103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principal and end-of-term debt obligation payments due under the Loan and Security Agreement are as follows (in thousands of dollars):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8,333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8,132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26,187</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2016, the Company entered into a credit agreement, or the Credit Agreement, with Visium Healthcare Partners, LP. Under the Credit Agreement, two term loans were available to the Company with an aggregate principal amount of up to $40.0 million. The Company drew down the initial $25.0 million term loan, or the Term Loan, on March 30, 2016.</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noted above, upon entering into the Loan and Security Agreement, the Credit Agreement was paid in full and terminated on November 3, 2017, wherein all commitments were terminated, all liens were released and all outstanding principal, interest and fees accrued thereunder were repaid in the aggregate amount of $27.3 million, including a prepayment premium of $1.5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1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6,761,730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6,061,081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1,643,164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1,133,907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382,929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456,002</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8,787,823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7,650,990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Thyroid Cytopathology Partners</w:t>
      </w:r>
    </w:p>
    <w:p>
      <w:pPr>
        <w:spacing w:after="0" w:line="22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2010, the Company entered into an arrangement with Pathology Resource Consultants, P.A., or PRC, to set up and manage a specialized pathology practice to provide testing services to the Company. There was no direct monetary compensation from the Company to PRC as a result of this arrangement. The Company's service agreement was with the specialized pathology practice, Thyroid Cytopathology Partners, or TCP, which was managed by PRC and was effective through December 31, 2015, and thereafter automatically renewed every year unless either party provided notice of intent not to renew at least 12 months prior to the end of the then-current term. Under the service agreement, the Company paid TCP based on a fixed price per test schedule, which was reviewed periodically for changes in market pricing. Subsequent to December 2012, an amendment to the service agreement allowed TCP to sublease a portion of the Company's facility in Austin, Texas. The Company does not have an ownership interest in or provide any form of financial or other support to TCP.</w:t>
      </w:r>
    </w:p>
    <w:p>
      <w:pPr>
        <w:spacing w:after="0" w:line="19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October 16, 2017, the Company amended and restated its service agreement with TCP. The agreement is effective through October 31, 2022, and thereafter automatically renews every year unless either party provides notice of intent not to renew at least 12 months prior to the end of the then-current term. In connection with amending and restating the TCP agreement, the Company’s arrangement with PRC was simultaneously assigned by PRC to TCP and immediately terminated, and the Company agreed to pay PRC a total of $1.8 million over eight quarterly installments in exchange for TCP reducing the price per test it charges the Company during the term of the amended TCP agreement. Payments are amortized over the term of the agreement.</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accompanying statements of operations and comprehensive loss.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incurred $1.0 million and $1.2 million for the three months ended June 30, 2018 and 2017, respectively, and $1.9 million and $2.4 million for the six months ended June 30, 2018 and 2017, respectively, in cytopathology testing and evaluation services expenses with TCP, which are included in cost of revenues in the Company’s condensed statements of operations and comprehensive loss. The Company’s outstanding obligations to TCP for cytopathology testing services were $297,000 and $308,000 as of June 30, 2018 and December 31, 2017, respectively, and are included in accounts payable on the accompanying condensed balance sheets.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TCP reimburses the Company for its proportionate share of the Company’s rent and related operating expenses for the leased facility. TCP’s portion of rent and related operating expenses for the shared space at the Austin, Texas facility was $32,000 and $27,000 for the three months ended June 30, 2018 and 2017, respectively, and $64,000 and $52,000 for the six months ended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June 30, 2018 and 2017, respectively, and is included in other income, net in the Company’s condensed statements of operations and comprehensive loss.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and six months ended June 30, 2018 and 2017. The Company continues to maintain a full valuation allowance against its net deferred tax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2018, the Company had unrecognized tax benefits of $2.5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June 30, 2018 will significantly increase or decrease within the next 12 months. There was no interest expense or penalties related to unrecognized tax benefits recorded through June 30, 2018.</w:t>
      </w:r>
    </w:p>
    <w:p>
      <w:pPr>
        <w:spacing w:after="0" w:line="187" w:lineRule="exact"/>
        <w:rPr>
          <w:sz w:val="20"/>
          <w:szCs w:val="20"/>
          <w:color w:val="auto"/>
        </w:rPr>
      </w:pPr>
    </w:p>
    <w:p>
      <w:pPr>
        <w:jc w:val="both"/>
        <w:ind w:firstLine="686"/>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referred to as the Tax Cuts and Jobs Act (the “Tax Act”). The Tax Act significantly revises the future ongoing U.S. corporate income tax by, among other things, lowering the U.S. corporate income tax rates and implementing a territorial tax system. The corporate tax rate was reduced from 35% to 21% for tax years beginning after December 31, 2017 and certain provisions exist on which to allow accelerated expensing of equipment for a portion of 2017 and for future years. These changes primarily impacted the value of the Company’s deferred tax assets with a corresponding offset to valuation allowance, both of which were recognized in the year ended December 31, 2017.</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Tax Act also limits the amount of net operating losses that can be used to reduce taxable income to 80% for net operating losses generated for periods beginning after December 31, 2017. Existing net operating losses, arising in years on or before December 31, 2017 are not affected by the Tax Act. The Company has completed a preliminary assessment of the accounting for the income tax effects of the Tax Act, as it relates to its current structure, including provisions that are effective for tax years beginning in 2018. The Company's preliminary assessment is subject to revisions to any additional guidance issued by the U.S. Treasury Department, Internal Revenue Service, FASB, and other standard-setting and regulatory bodies. Adjustments may materially impact the Company's provision for income taxes and the assessment of the accounting for the tax effects of the Tax Act will not extend beyond one year from the enactment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2017.</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belief in the importance of maintaining libraries of clinical evidence;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our dependence on and the terms of our agreement with TCP,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19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We also refer to trademarks of other corporations or organizations in this report.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leading genomic diagnostics company that provides trustworthy and actionable answers that fundamentally improve patient care when current diagnostic test results are uncertain. Our products combine genomic technology, clinical science and machine learning to provide answers that give physicians and patients a clear path forward potentially avoiding risky, costly surgery that is often unnecessary.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tissue samples have emerged as an important complement to evaluations performed by pathologists. Information at the molecular level enables one to understand and identify more fully the makeup and specific subtype of disease to improve diagnosis. In many cases, the genomic information derived from these samples can help guide treatment decisions as part of the standard of care.</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deploy machine learning algorithms, which leverage comprehensive ribonucleic acid, or RNA, expression data, to develop tests for the improvement of diagnostic clarity for cancer and other diseases. In our thyroid and lung indications, diagnosis can be ambiguous in 15-70% of patients undergoing diagnostic evaluation depending on the indication. Our tests provide clarity of diagnosis that can in turn guide treatment decisions in 40-70% of those cases, eliminating costly, risky surgeries and other unnecessary medical procedures, improving the lives of patients and saving the healthcare system money.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or GSC, and its predecessor, the Afirma Gene Expression Classifier, or GEC,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Patients and physicians can access our full list of publications on our website. Over 30 clinical studies covering our products have been published, including two landmark clinical validation papers published in The New England Journal of Medicine for the Afirma and Percepta classifiers, respectively. We continue to build upon our extensive library of clinical evidence. We also expect to continue expanding our offerings in thyroid cancer, lung cancer and interstitial lung diseases such as IPF, as well as other indications that we believe will benefit from our technology and approach.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210 million people nationwide through their insurers. Our second commercial product, the Percepta classifier, is the first genomic test to gain Medicare coverage for improved lung cancer screening and diagnosis, making it a covered benefit for nearly 60 million Medicare enrollees.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three-month period ended June 30, 2018, as compared to the second quarter of 2017:</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was $22.8 million, an increase of 24%;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Genomic Test Volume was 7,686, an increase of 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was 64%, an increase of 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Excluding Cost of Revenue were $20.4 million, an increase of 13%;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and Comprehensive Loss was ($6.2) million, an improvement of 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Basic and Diluted Net Loss Per Common Share was ($0.18), an improvement of 18%;</w:t>
      </w:r>
    </w:p>
    <w:p>
      <w:pPr>
        <w:spacing w:after="0" w:line="9" w:lineRule="exact"/>
        <w:rPr>
          <w:rFonts w:ascii="Arial" w:cs="Arial" w:eastAsia="Arial" w:hAnsi="Arial"/>
          <w:sz w:val="18"/>
          <w:szCs w:val="18"/>
          <w:color w:val="auto"/>
        </w:rPr>
      </w:pPr>
    </w:p>
    <w:p>
      <w:pPr>
        <w:ind w:left="660" w:hanging="328"/>
        <w:spacing w:after="0" w:line="1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Burn</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was $3.6 million, an improvement of 28%;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was $23.8 million at June 30,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the six-month period ended June 30, 2018, as compared to the prior year period of 2017:</w:t>
      </w:r>
    </w:p>
    <w:p>
      <w:pPr>
        <w:spacing w:after="0" w:line="225"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Revenue was $42.8 million, an increase of 23%;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Genomic Test Volume was 14,550, an increase of 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Gross Margin was unchanged at 62%;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Operating Expenses, Excluding Cost of Revenue were $41.6 million, an increase of 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Loss and Comprehensive Loss was ($15.4) million, an improvement of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Basic and Diluted Net Loss Per Common Share was ($0.45), an improvement of 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Cash Burn</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was $11.3 million, an improvement of 15%.</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reconciliation of net cash used in operating activities to cash burn has been provided below.</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supplement our financial statements prepared in accordance with U. S. GAAP, we monitor and consider cash burn, which is a non-U.S. GAAP financial measure. This non-U.S. GAAP financial measure is not based on any standardized methodology prescribed by U.S.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non-U.S. GAAP measure is that cash burn does not represent the total change in cash, cash equivalents and restricted cash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1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Because of these limitations, cash burn should not be considered in isolation from, or as a substitute for, financial information prepared in accordance with U.S. GAAP. The reconciliation of cash burn to net cash used in operating activities is provided in the tables below (in thousands of dollars):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r>
      <w:tr>
        <w:trPr>
          <w:trHeight w:val="33"/>
        </w:trPr>
        <w:tc>
          <w:tcPr>
            <w:tcW w:w="73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BFE4FF"/>
            </w:tcBorders>
            <w:shd w:val="clear" w:color="auto" w:fill="BFE4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8"/>
              </w:rPr>
              <w:t>(3,099)</w:t>
            </w:r>
          </w:p>
        </w:tc>
        <w:tc>
          <w:tcPr>
            <w:tcW w:w="30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4"/>
              </w:rPr>
              <w:t>(4,910)</w:t>
            </w:r>
          </w:p>
        </w:tc>
      </w:tr>
      <w:tr>
        <w:trPr>
          <w:trHeight w:val="237"/>
        </w:trPr>
        <w:tc>
          <w:tcPr>
            <w:tcW w:w="7320" w:type="dxa"/>
            <w:vAlign w:val="bottom"/>
          </w:tcPr>
          <w:p>
            <w:pPr>
              <w:ind w:left="20"/>
              <w:spacing w:after="0"/>
              <w:rPr>
                <w:sz w:val="20"/>
                <w:szCs w:val="20"/>
                <w:color w:val="auto"/>
              </w:rPr>
            </w:pPr>
            <w:r>
              <w:rPr>
                <w:rFonts w:ascii="Arial" w:cs="Arial" w:eastAsia="Arial" w:hAnsi="Arial"/>
                <w:sz w:val="16"/>
                <w:szCs w:val="16"/>
                <w:color w:val="auto"/>
              </w:rPr>
              <w:t>Plus purchases of property and equipment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(534)</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73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Cash burn</w:t>
            </w:r>
          </w:p>
        </w:tc>
        <w:tc>
          <w:tcPr>
            <w:tcW w:w="940" w:type="dxa"/>
            <w:vAlign w:val="bottom"/>
            <w:tcBorders>
              <w:bottom w:val="single" w:sz="8" w:color="auto"/>
            </w:tcBorders>
            <w:shd w:val="clear" w:color="auto" w:fill="BFE4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98"/>
              </w:rPr>
              <w:t>(3,633)</w:t>
            </w:r>
          </w:p>
        </w:tc>
        <w:tc>
          <w:tcPr>
            <w:tcW w:w="3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auto"/>
            </w:tcBorders>
            <w:shd w:val="clear" w:color="auto" w:fill="BFE4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w w:val="94"/>
              </w:rPr>
              <w:t>(5,023)</w:t>
            </w:r>
          </w:p>
        </w:tc>
      </w:tr>
      <w:tr>
        <w:trPr>
          <w:trHeight w:val="20"/>
        </w:trPr>
        <w:tc>
          <w:tcPr>
            <w:tcW w:w="7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77"/>
        </w:trPr>
        <w:tc>
          <w:tcPr>
            <w:tcW w:w="73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300" w:type="dxa"/>
            <w:vAlign w:val="bottom"/>
            <w:tcBorders>
              <w:bottom w:val="single" w:sz="8" w:color="BFE4FF"/>
            </w:tcBorders>
          </w:tcPr>
          <w:p>
            <w:pPr>
              <w:spacing w:after="0"/>
              <w:rPr>
                <w:sz w:val="24"/>
                <w:szCs w:val="24"/>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shd w:val="clear" w:color="auto" w:fill="BFE4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239</w:t>
            </w:r>
          </w:p>
        </w:tc>
        <w:tc>
          <w:tcPr>
            <w:tcW w:w="30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auto"/>
            </w:tcBorders>
            <w:shd w:val="clear" w:color="auto" w:fill="BFE4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7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7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33"/>
        </w:trPr>
        <w:tc>
          <w:tcPr>
            <w:tcW w:w="73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(10,512)</w:t>
            </w:r>
          </w:p>
        </w:tc>
        <w:tc>
          <w:tcPr>
            <w:tcW w:w="3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(12,996)</w:t>
            </w:r>
          </w:p>
        </w:tc>
      </w:tr>
      <w:tr>
        <w:trPr>
          <w:trHeight w:val="237"/>
        </w:trPr>
        <w:tc>
          <w:tcPr>
            <w:tcW w:w="7320" w:type="dxa"/>
            <w:vAlign w:val="bottom"/>
          </w:tcPr>
          <w:p>
            <w:pPr>
              <w:ind w:left="20"/>
              <w:spacing w:after="0"/>
              <w:rPr>
                <w:sz w:val="20"/>
                <w:szCs w:val="20"/>
                <w:color w:val="auto"/>
              </w:rPr>
            </w:pPr>
            <w:r>
              <w:rPr>
                <w:rFonts w:ascii="Arial" w:cs="Arial" w:eastAsia="Arial" w:hAnsi="Arial"/>
                <w:sz w:val="16"/>
                <w:szCs w:val="16"/>
                <w:color w:val="auto"/>
              </w:rPr>
              <w:t>Plus purchases of property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33"/>
        </w:trPr>
        <w:tc>
          <w:tcPr>
            <w:tcW w:w="7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Less proceeds from the sale of property and equipment</w:t>
            </w:r>
          </w:p>
        </w:tc>
        <w:tc>
          <w:tcPr>
            <w:tcW w:w="34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BFE4FF"/>
            </w:tcBorders>
            <w:gridSpan w:val="2"/>
            <w:shd w:val="clear" w:color="auto" w:fill="BFE4FF"/>
          </w:tcPr>
          <w:p>
            <w:pPr>
              <w:jc w:val="right"/>
              <w:ind w:right="4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440</w:t>
            </w:r>
          </w:p>
        </w:tc>
      </w:tr>
      <w:tr>
        <w:trPr>
          <w:trHeight w:val="284"/>
        </w:trPr>
        <w:tc>
          <w:tcPr>
            <w:tcW w:w="73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Cash burn</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(11,273)</w:t>
            </w:r>
          </w:p>
        </w:tc>
        <w:tc>
          <w:tcPr>
            <w:tcW w:w="300" w:type="dxa"/>
            <w:vAlign w:val="bottom"/>
            <w:tcBorders>
              <w:bottom w:val="single" w:sz="8" w:color="BFE4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(13,284)</w:t>
            </w:r>
          </w:p>
        </w:tc>
      </w:tr>
      <w:tr>
        <w:trPr>
          <w:trHeight w:val="237"/>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(761)</w:t>
            </w:r>
          </w:p>
        </w:tc>
        <w:tc>
          <w:tcPr>
            <w:tcW w:w="3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(288)</w:t>
            </w: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1,140</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w:t>
            </w: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and Recent Business Highlights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Commercial Growth:</w:t>
      </w:r>
    </w:p>
    <w:p>
      <w:pPr>
        <w:spacing w:after="0" w:line="23" w:lineRule="exact"/>
        <w:rPr>
          <w:sz w:val="20"/>
          <w:szCs w:val="20"/>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Tripled Percepta revenue for the second quarter of 2018, compared to the first quarter, with the number of physicians ordering the Percepta classifier increasing by over 50 percent during this period.</w:t>
      </w:r>
    </w:p>
    <w:p>
      <w:pPr>
        <w:ind w:left="660" w:right="3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Received regulatory approval from the New York State Department of Health, enabling us to now move 100% of Afirma classifier testing to the Genomic Sequencing Classifier (GSC).</w:t>
      </w: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Commercially launched the Afirma Xpression Atlas, providing RNA sequencing-based insights to inform surgery and treatment decisions in patients with suspected thyroid cancer.</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Booked our first biopharmaceutical service revenue of $0.5 million based on the Afirma Xpression Atlas platform.</w:t>
      </w:r>
    </w:p>
    <w:p>
      <w:pPr>
        <w:spacing w:after="0" w:line="9" w:lineRule="exact"/>
        <w:rPr>
          <w:rFonts w:ascii="Arial" w:cs="Arial" w:eastAsia="Arial" w:hAnsi="Arial"/>
          <w:sz w:val="18"/>
          <w:szCs w:val="18"/>
          <w:color w:val="auto"/>
        </w:rPr>
      </w:pPr>
    </w:p>
    <w:p>
      <w:pPr>
        <w:ind w:left="660" w:right="8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the Envisia Early Access Program to select sites across the United States in response to physician demand, further preparing for commercial expansion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Evidence Development:</w:t>
      </w:r>
    </w:p>
    <w:p>
      <w:pPr>
        <w:spacing w:after="0" w:line="23" w:lineRule="exact"/>
        <w:rPr>
          <w:sz w:val="20"/>
          <w:szCs w:val="20"/>
          <w:color w:val="auto"/>
        </w:rPr>
      </w:pPr>
    </w:p>
    <w:p>
      <w:pPr>
        <w:ind w:left="660" w:right="1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Published clinical validation data for the Afirma GSC in JAMA Surgery, demonstrating the next-generation test’s ability to help approximately 70% of patients with indeterminate thyroid nodules avoid unnecessary surgery.</w:t>
      </w:r>
    </w:p>
    <w:p>
      <w:pPr>
        <w:ind w:left="660" w:right="8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performance and clinical utility data for our two flagship products, the Afirma GSC and the Percepta classifier, were shared in five presentations at major endocrinology and pulmonology conferences.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Scientific Innovation:</w:t>
      </w:r>
    </w:p>
    <w:p>
      <w:pPr>
        <w:spacing w:after="0" w:line="23" w:lineRule="exact"/>
        <w:rPr>
          <w:sz w:val="20"/>
          <w:szCs w:val="20"/>
          <w:color w:val="auto"/>
        </w:rPr>
      </w:pPr>
    </w:p>
    <w:p>
      <w:pPr>
        <w:ind w:left="660" w:right="3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Assembled over 2,000 patient samples to advance our field-of-injury research to fuel development of a nasal swab test for early detection of lung cancer.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1300" w:hanging="40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23" w:lineRule="exact"/>
        <w:rPr>
          <w:rFonts w:ascii="Arial" w:cs="Arial" w:eastAsia="Arial" w:hAnsi="Arial"/>
          <w:sz w:val="18"/>
          <w:szCs w:val="18"/>
          <w:color w:val="auto"/>
        </w:rPr>
      </w:pPr>
    </w:p>
    <w:p>
      <w:pPr>
        <w:ind w:left="1300" w:hanging="40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1300" w:hanging="40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401"/>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spacing w:after="0" w:line="1" w:lineRule="exact"/>
        <w:rPr>
          <w:rFonts w:ascii="Arial" w:cs="Arial" w:eastAsia="Arial" w:hAnsi="Arial"/>
          <w:sz w:val="18"/>
          <w:szCs w:val="18"/>
          <w:color w:val="auto"/>
        </w:rPr>
      </w:pPr>
    </w:p>
    <w:p>
      <w:pPr>
        <w:ind w:left="1300" w:hanging="401"/>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generate substantially all our revenue from genomic testing services, including the rendering of a cytopathology diagnosis as part of the Afirma solution. For the Afirma classifier, we do not accrue revenue for approximately 5%-10% of the tests that we perform and report as complete due principally to insufficient RNA from which to render a result and tests performed for which we do not reasonably expect to be paid. Revenue from Percepta has not been significant through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264"/>
        <w:spacing w:after="0" w:line="289" w:lineRule="auto"/>
        <w:rPr>
          <w:sz w:val="20"/>
          <w:szCs w:val="20"/>
          <w:color w:val="auto"/>
        </w:rPr>
      </w:pPr>
      <w:r>
        <w:rPr>
          <w:rFonts w:ascii="Arial" w:cs="Arial" w:eastAsia="Arial" w:hAnsi="Arial"/>
          <w:sz w:val="16"/>
          <w:szCs w:val="16"/>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or as payers enter into contracts with us, which should enhance our revenue and cash collections. To drive increased adoption of our products, we increased our sales force over the last several years, along with increasing our marketing efforts.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and employing laboratory benefit managers to reduce utilization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We commenced recognizing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starting January 1, 2018. Prior to January 1, 2018, we recognized revenue in accordance with the provisions of ASC 954-605, </w:t>
      </w:r>
      <w:r>
        <w:rPr>
          <w:rFonts w:ascii="Arial" w:cs="Arial" w:eastAsia="Arial" w:hAnsi="Arial"/>
          <w:sz w:val="16"/>
          <w:szCs w:val="16"/>
          <w:i w:val="1"/>
          <w:iCs w:val="1"/>
          <w:color w:val="auto"/>
        </w:rPr>
        <w:t>Health Care Entities - Revenue Recognition</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our revenue is generated from the provision of diagnostic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of June 30, 2018 and December 31, 2017,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material amounts in the six months ended June 30, 2018.</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as we did in July 2015, it will increase the cumulative amounts billed. In addition, payer contracts generally include the right of offset and payers may offset payments prior to resolving disputes over tests performed.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Generally, we calculate the average Afirma genomic classifier reimbursement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Afirma genomic classifier represents the total cash collected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date against Afirma genomic classifier tests, including variants, performed during the relevant period divided by the number of these tests performed during that same period.</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June 30, 2018, on average we accrued between $2,700 and $2,800 for the Afirma genomic classifier tests, including variants, that met our revenue recognition standard, which was between 90% - 95% of the reported Afirma classifier test volume.</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second quarter of 2017 to the second quarter of 2018, we accrued between $1.7 million and $2.5 million in revenue per quarter from providing cytopathology services associated with our Afirma solution.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continue to advance our product portfolio with diagnostic tests that leverage innovations in genomic science, sequencing technology and machine learning methodologies to further improve patient care. In May 2017, we introduced Afirma GSC, supported by rigorous clinical validation data showing that the RNA sequencing-based test can help significantly more patients avoid unnecessary surgery in thyroid cancer diagnosis, compared to the original Afirma test. In March 2018, we unveiled our Afirma Xpression Atlas, which uses the same RNA sequencing platform as the Afirma GSC and enables us to extract rich genomic content - including gene expression, DNA variants and RNA fusions in over 500 genes that are associated with thyroid cancer - from thyroid FNA samples. We believe that this offering will provide clinicians with valuable genomic information that may inform surgery strategy and treatment options for patients with suspected thyroid cancer.</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Together with our Afirma GSC and our tests for the BRAF v600E mutation and medullary thyroid cancer (Malignancy Classifiers), the Afirma Xpression Atlas rounds out a comprehensive solution for physicians evaluating thyroid nodules. This innovation also enables us to enter into research collaboration with biopharmaceutical companies, which is intended to support their development of targeted therapies for genetically defined cancers, including thyroid cancer.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diagnostic performance of bronchoscopy. Additionally, our Envisia Genomic Classifier launched in October 2016 and is the first commercial test to improve the diagnosis of idiopathic pulmonary fibrosis among patients with a suspected interstitial lung disease.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exploring opportunities to utilize the same “field of injury” technology that powers our Percepta classifier to develop a nasal swab test that can enable earlier lung cancer detection - and ultimately help reduce lung cancer deaths. Additionally, we believe our Xpression Atlas platform can be transferred to our pulmonology indications, to further improve patient care and advance precision medicine in lung cancer and idiopathic pulmonary fibrosis.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June 30, 2018, we derived substantially all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82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270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84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8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payment history, payer coverage, whether there is a reimbursement contract between the payer and us, payment as a percentage of agreed upon rate (if applicable), amount paid per test and any current developments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quarters.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2017 and the first half of 2018, and expect to continue doing so in the remainder of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six months ended June 30, 2018, approximately 66% of the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is attributable to our borrowings under debt agreements and capital leases as well as costs associated with the pre-payment of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net consists primarily of sublease rental income and interest income received from payers and from our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Comparison of the Three and Six Months Ended June 30, 2018 and 2017 (In Thousands of Dollars, Except Percentages and Genomic Classifiers Reported)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4,345</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7,954</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2,856</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22%</w:t>
            </w: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643</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5,836</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38%</w:t>
            </w: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5,932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3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28,668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57,664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48,964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8,700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18%</w:t>
            </w:r>
          </w:p>
        </w:tc>
      </w:tr>
      <w:tr>
        <w:trPr>
          <w:trHeight w:val="27"/>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72%</w:t>
            </w:r>
          </w:p>
        </w:tc>
      </w:tr>
      <w:tr>
        <w:trPr>
          <w:trHeight w:val="297"/>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1,050</w:t>
            </w:r>
          </w:p>
        </w:tc>
        <w:tc>
          <w:tcPr>
            <w:tcW w:w="10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c>
          <w:tcPr>
            <w:tcW w:w="100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10"/>
        </w:trPr>
        <w:tc>
          <w:tcPr>
            <w:tcW w:w="3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Operating Data:</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Genomic classifiers reported</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7,686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1,180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2,210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Revenue increased $4.3 million, or 24%, for the three months ended June 30, 2018 compared to the same period in 2017 primarily due to an 18% volume increase in genomic classifiers and an increase in the accrual rate for our Afirma genomic classifiers. In the three months ended June 30, 2018, we also recognized $0.5 million of biopharmaceutical service revenue and $0.4 million of revenue for Percepta, the volume for which is included in the number of genomic classifiers reported. We also make adjustments, as necessary, for tests accrued in prior quarters as collections are made if the amount we expect to ultimately collect changes.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 for tests accrued in prior quarters increased revenue by $0.5 million and $1.0 million for the three months ended June 30, 2018 and 2017, respectively, a net decrease of $0.5 million between the periods.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increased $8.0 million, or 23%, for the six months ended June 30, 2018 compared to the same period in 2017 primarily due to an 18% volume increase in genomic classifiers and an increase in the accrual rate for our Afirma genomic classifiers. In the six months ended June 30, 2018, we also recognized $0.6 million of revenue for Percepta, the volume for which is included in the number of genomic classifiers reported, and $0.5 million of biopharmaceutical service revenue. We also make adjustments, as necessary, for tests accrued in prior quarters as collections are made if the amount we expect to ultimately collect changes. The adjustment for tests accrued in prior quarters increased revenue by $1.2 million and $1.0 million for the six months ended June 30, 2018 and 2017, respectively, a net increase of $0.2 million between the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2018 and 2017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Laboratory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6,608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2,376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Sample collection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4"/>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368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5"/>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4"/>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1,286</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4"/>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2,856</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22 %</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 increased $1.3 million or 18%, for the three months ended June 30, 2018 compared to the same period in 2017. Reported genomic classifiers volume increased 18% and cytopathology volume declined 3%. Commencing in the second half of 2017, we began transitioning customers to our next-generation Afirma GSC, while running dual platforms to support the transition from its predecessor, the Afirma GEC. As a result, we have experienced higher costs per test to support running dual platforms in our laboratory. We recently received final state regulatory approvals for the transition and expect to be substantially complete with the transition to the Afirma GSC by September 30, 2018. The increase in laboratory costs is due principally to the transition to the Afirma GSC. The increase in sample collection costs is primarily related to the increase in the overall volume of samples received, including the recent launch of our Percepta Bronchial Genomic Classifier. Compensation expense increased due to an average laboratory headcount increase of 10%. The decrease in license fees and royalties is due to the continued transition to the Afirma GSC, for which we do not pay license fees like we do for the Afirma GEC. In total, we expect any savings from license fees to be used to pay laboratory costs for our GSC test. The increase in other expenses is primarily due to equipment maintenance costs and laboratory supplies.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 increased $2.9 million or 22%, for the six months ended June 30, 2018 compared to the same period in 2017. Reported genomic classifiers volume increased 18% and cytopathology volume declined 3%. Commencing in the second half of 2017, we began transitioning customers to our next-generation Afirma GSC, while running dual platforms to support the transition from its predecessor, the Afirma GEC. As a result, we have experienced higher costs per test to support running dual platforms in our laboratory. We recently received final state regulatory approvals for the transition and expect to be to substantially complete with the transition to the Afirma GSC by September 30, 2018. The increase in laboratory costs is due principally to the transition to the Afirma GSC. The increase in sample collection costs is primarily related to the increase in the overall volume of samples received, including the recent launch of our Percepta Bronchial Genomic Classifier. Compensation expense increased due to an average laboratory headcount increase of 11%. The decrease in license fees and royalties is due to the continued transition to the Afirma GSC, for which we do not pay license fees like we do for the Afirma GEC. In total, we expect any savings from license fees to be used to pay laboratory costs for our GSC test. The increase in other expenses is primarily due to equipment maintenance costs and laboratory supplies.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2018 and 2017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102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4,349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Direct research and development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1"/>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5"/>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57"/>
        </w:trPr>
        <w:tc>
          <w:tcPr>
            <w:tcW w:w="328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 increased $1.0 million, or 28%, for the three months ended June 30, 2018 compared to the same period in 2017, primarily attributable to one-time sequencing costs associated with research and development projects. The decrease in compensation expense was primarily due to a 10% decrease in the average headcount. The increase in direct research and development expense was due materials and supplies purchased for research and development experiments.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 increased $643,000 or 8%, for the six months ended June 30, 2018 compared to the same period in 2017, primarily attributable to one-time sequencing costs associated with research and development projects. Compensation expense decreased slightly, primarily due to an 8% decrease in average headcount, partially offset by severance costs. The increase in direct research and development expense was due to materials and supplies purchased for research and development experiments.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2018 and 2017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5,517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1,037</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8,735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4,643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1,242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4"/>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29 %</w:t>
            </w:r>
          </w:p>
        </w:tc>
      </w:tr>
      <w:tr>
        <w:trPr>
          <w:trHeight w:val="257"/>
        </w:trPr>
        <w:tc>
          <w:tcPr>
            <w:tcW w:w="328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1,629</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21,166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5,836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38 %</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Selling and marketing expense increased $1.6 million, or 20%, for the three months ended June 30, 2018 compared to the same period in 2017, principally due to a 35% increase in average headcount, increased incentive compensation and to a lesser extent, increased travel and entertainment expense classified under other expenses. The decrease in direct marketing expense was primarily due to lower trade show costs, partially offset by higher speaker fees.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Selling and marketing expense increased $5.8 million, or 38%, for the six months ended June 30, 2018 compared to the same period in 2017, principally due to a 33% increase in average headcount, increased incentive compensation and to a lesser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extent, increased travel and entertainment expense classified under other expenses. The decrease in direct marketing expense was primarily due to a corporate rebranding initiative in the three months ended March 31, 2017 and lower trade show costs, partially offset by higher speaker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2018 and 2017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1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r>
      <w:tr>
        <w:trPr>
          <w:trHeight w:val="236"/>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7,988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Occupancy costs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020" w:type="dxa"/>
            <w:vAlign w:val="bottom"/>
            <w:gridSpan w:val="2"/>
          </w:tcPr>
          <w:p>
            <w:pPr>
              <w:jc w:val="center"/>
              <w:ind w:left="33"/>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2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328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2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12,211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decreased $260,000, or 4%, for the three months ended June 30, 2018 compared to the same period in 2017. The decrease in compensation expense was due to a 4% decrease in average headcount for the three months ended June 30, 2018 as compared to the same period in 2017. The increase in occupancy costs was due to higher maintenance charges.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decreased $635,000, or 5%, for the six months ended June 30, 2018 compared to the same period in 2017. The decrease in compensation expense was due to a 2% decrease in average headcount for the six months ended June 30, 2018 as compared to the same period in 2017. The increase in occupancy costs was due to higher maintenance charges.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decreased $327,000 or 40% for the three months ended June 30, 2018 compared to the same period in 2017 due to a decrease in the effective interest rate to 7.9%, under the Loan and Security Agreement as of June 30, 2018, as compared to 12.3% as of June 30, 2017, under the credit agreement that was in place at that time.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decreased $679,000 or 42% for the six months ended June 30, 2018 compared to the same period in 2017 due to a decrease in the effective interest rate to 7.9%, under the Loan and Security Agreement as of June 30, 2018, as compared to 12.3% as of June 30, 2017, under the credit agreement that was in place at that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$31,000 for the three months ended June 30, 2018 compared to the same period in 2017 primarily due to higher interest income from our money market investments.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$157,000 for the six months ended June 30, 2018 compared to the same period in 2017 primarily due to the tax benefit from the legal settlement regarding short-swing profits and higher interest income from our money market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incurred net losses since our inception. For the six months ended June 30, 2018, we had a net loss of $15.4 million, and as of June 30, 2018, we had an accumulated deficit of $226.5 million. We expect to incur additional losses in the future and may never achieve revenue sufficient to offset our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believe our existing cash and cash equivalents of $23.8 million as of June 30, 2018,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3, 2017, we entered into the Loan and Security Agreement with Silicon Valley Bank. The Loan and Security Agreement allows us to borrow up to $35.0 million, with a $25.0 million term,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effective interest rate was 7.9% for the six months ended June 30, 2018.</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prepay the outstanding principal amount under the Term Loan plus accrued and unpaid interest and, if the Term Loan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in the amount of $1.2 million is due upon the earlier of the maturity date of the Term Loan or its payment in full.</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June 30, 2018, the principal balance outstanding was $25.0 million and we were in compliance with debt covenants.</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property), subject to certain customary exceptions.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six months ended June 30, 2018 and 2017 (in thousands of dollars):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Cash used in operating activities for the six months ended June 30, 2018 was $10.5 million. The net loss of $15.4 million includes non-cash charges of $2.9 million of stock-based compensation expense and $2.0 million of depreciation and amortization, which includes $0.5 million of intangible asset amortization. Cash used as a result of changes in operating assets and liabilities was flat, comprised of a decrease in supplies inventory of $2.3 million, a decrease in prepaid expenses and other assets of $0.1 million and an increase in accrued liabilities and deferred rent of $0.1 million, offset by a decrease in accounts payable of $1.9 million, an increase in accounts receivable of $0.3 million and an increase in other assets of $0.3 million.</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Cash used in operating activities for the six months ended June 30, 2017 was $13.0 million. The net loss of $15.5 million includes non-cash charges of $3.2 million of stock-based compensation expense and $1.8 million of depreciation and amortization, which includes $0.5 million of intangible asset amortization. Cash used as a result of changes in operating assets and liabilities of $2.6 million was primarily due to an increase in accounts receivable of $2.3 million, and a net decrease in accounts payable, accrued liabilities and deferred rent of $0.5 million, primarily from the payment of annual bonuses.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 for the six months ended June 30, 2018 was $0.8 million for the acquisition of property and equipment.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six months ended June 30, 2017 was $0.7 million for the acquisition of property and equipment, partially offset by $0.4 million of proceeds from the sale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provided by financing activities for the six months ended June 30, 2018 was $1.1 million, consisting of $0.9 million in proceeds from the purchase of stock under our Employee Stock Purchase Plan, or ESPP, and exercise of options to purchase our common stock and $0.4 million in proceeds from a legal settlement, partially offset by capital lease payments of $0.1 million during the period.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Cash provided by financing activities for the six months ended June 30, 2017 was $0.5 million, consisting of $0.5 million in proceeds from the purchase of stock under our ESPP and exercise of options to purchase our common stock and $0.2 million in cost reimbursements received related to our issuance of common stock in a public offering in the fourth quarter of 2016 offset by capital lease payments of $0.1 million during the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during the interim period in the contractual obligations presented in our Form 10-K for the year ended December 31, 2017 filed with the Securities and Exchange Commission on February 27,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We expect to adopt this standard beginning in 2019. We do not expect that this standard will have a material impact on our results of operations or cash flows, but that it will have a material impact on our assets and liabilities. We are currently in the process of quantifying the impact of adopting this ASU.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$23.8 million as of June 30, 2018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three months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incurred net losses since our inception. For the six months ended June 30, 2018, we had a net loss of $15.4 million and as of June 30, 2018, we had an accumulated deficit of $226.5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However, revenue from Percepta has not been significant to date. We also launched our Envisia test to help improve the diagnosis of interstitial lung disease, specifically IPF, in October 2016, but have not recognized revenue from Envisia to-date.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Percepta tests, or successfully obtain coverage and reimbursement for our Envisia test or develop and commercialize other solutions, our revenue and our ability to achieve and sustain profitability would be impaired, and the market price of our common stock could decline.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we are not able to successfully transition to our next-generation Afirma GSC, our business, operating results and competitive position could be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harmed.</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 the process of transitioning our customers to our next-generation Afirma Genomic Sequencing Classifier, or GSC, that uses a new technology platform for the Afirma genomic classifier testing. There are risks associated with this transition that include, but are not limited to, operational implementation, reimbursement, and customer adoption risks. If we are unable to effectively transition to the new platform, our business, financial condition and results of operations could be adversely effected and our reputation and competitive position could be harmed.</w:t>
      </w:r>
    </w:p>
    <w:p>
      <w:pPr>
        <w:spacing w:after="0" w:line="17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for tests performed on patients covered by Medicare and UnitedHealthcare was 28% and 12%, respectively, of our revenue for the six months ended June 30, 2018, compared with 26% and 14%, respectively, for the six months ended June 30, 2017.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the Afirma Gene Expression Classifier, or GEC. Afirma GSC is now covered by Noridian Healthcare Solutions, the current MAC for our jurisdiction, through the Molecular Diagnostics Services Program, or MolDX program, administered by Palmetto GBA, under a Local Coverage Determination, or LCD.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submitted the dossier of clinical evidence needed to obtain Medicare coverage for the Envisia Genomic Classifier through the MolDX technical assessment process, but there can be no assurances that Envisia will obtain Medicare coverage in 2018 or in subsequent years.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 five-year rotational basis, Medicare requests bids for its regional MAC services. Any future changes in the MAC processing or coding for Medicare claims for the Afirma classifier or Percepta could result in a change in the coverage or reimbursement rates for such products, or the loss of coverage, and could also result in increased difficulties in obtaining and maintaining coverage for the Envisia classifier.</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CMS in 2017 as required under the Protecting Access to Medicare Act of 2014, or PAMA. This payment rate will be effective through December 31, 2020. There can be no assurance that the rate will not decrease in the future following the next reporting period under PAMA.</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submit claims to Medicare for Percepta using an unlisted code and were paid at the rate of $3,220 in 2017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Percepta. There can also be no assurance that the Medicare payment rate for Percepta will not be reduced when it is set based on volume-weighted median of private payer rates after the next reporting period under PAMA.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 These changes could have an adverse effect on our business, financial condition and results of operations.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Any such actions could have a negative effect on our revenue.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8" w:lineRule="exact"/>
        <w:rPr>
          <w:sz w:val="20"/>
          <w:szCs w:val="20"/>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have a contracted rate of reimbursement with many payers for the Afirma or Percepta tests, and we do not have any contracted reimbursement with any payers with respect to the Envisia test.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classifiers, the Percepta classifier and the Envisia classifier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 for our tests, the payment rates for some of our commercial payers may also decrease if they tie their allowable rates to the Medicare rate.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3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Thyroid Cytopathology Partners, or TCP, to provide cytopathology professional diagnoses on thyroid fine needle aspiration, or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adversely affect our operations. If we are unable to manage our growth effectively, it may be difficult for us to execute our business strategy and our business could be harmed.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through 2019, the excise tax is scheduled to be restored in 2020.</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There can be no assurance that the payment rate for Afirma will not decrease in the future or that the payment rates for Percepta or Envisia will not be adversely affected by the PAMA law and regulations.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Starting on June 11, 2017, a MAC is required to, among other things, publish a summary of the evidence that it considered when developing an LCD, including a list of sources, and an explanation of the rationale that supports the MAC’s determinations. We cannot predict whether these revisions will delay future LCDs and result in impeded coverage for our test products, which could have a material negative impact on revenue.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should be covered by this policy. Accordingly, we are required to bill hospitals for these tests when we perform them on specimens collected from hospital outpatients and meet the conditions set forth in CMS's revised billing rules.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 While we believe the impact of these revisions are favorable to us, we cannot predict with certainty the impact on our business. CMS may change this regulatory policy in the future, which could negatively impact our business.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2017, a draft bill titled "The Diagnostics Accuracy and Innovation Act" was released for discussion. The bill proposes a risk-based approach to regulate LDTs and creates a new in vitro clinical test category, which includes LDTs, and a regulatory structure under the FDA. As proposed, the bill grandfathers existing tests and gives companies five years to augment test development pipelines to ensure new tests have the data necessary for FDA approval. We cannot predict whether this draft bill will become legislation and cannot quantify the effect of this draft bill on our business.</w:t>
      </w:r>
    </w:p>
    <w:p>
      <w:pPr>
        <w:spacing w:after="0" w:line="1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the materials we use for our tests and that we may use for future tests are labeled for research use-only,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Rosetta Genomics Ltd., and others who are developing new products or technologies that may compete with our tests. In the future, we may also face competition from companies developing new products or technologies.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Oncocyte Corporation and Oncimmune.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Billing for our diagnostic tests is complex, and we must dedicate substantial time and resources to the billing process to be paid.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52" w:lineRule="exact"/>
        <w:rPr>
          <w:sz w:val="20"/>
          <w:szCs w:val="20"/>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65" w:lineRule="exact"/>
        <w:rPr>
          <w:rFonts w:ascii="Arial" w:cs="Arial" w:eastAsia="Arial" w:hAnsi="Arial"/>
          <w:sz w:val="18"/>
          <w:szCs w:val="18"/>
          <w:color w:val="auto"/>
        </w:rPr>
      </w:pPr>
    </w:p>
    <w:p>
      <w:pPr>
        <w:ind w:left="2040" w:hanging="411"/>
        <w:spacing w:after="0"/>
        <w:tabs>
          <w:tab w:leader="none" w:pos="2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306"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which can lead to delays in payors adjudicating our claims or denying payment altogether. Moreover,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determination, there is a risk that we may be required to return some portion of prior payments we have received. Additionally, the ACA established a requirement for providers and suppliers to report and return any overpayments received from government payors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rely on a third-party provider to transmit claims to payers, and any delay in transmitting claims could have an adverse effect on our revenue.</w:t>
      </w:r>
    </w:p>
    <w:p>
      <w:pPr>
        <w:spacing w:after="0" w:line="2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sell Afirma in the United States through our internal sales team and, until recently, also through a co-promotion agreement with Genzyme Corporation, which we terminated effective September 9, 2016. In connection with the transition, we have hired additional sales personnel to sell our Afirma tests. If we are unsuccessful in transitioning the sales and marketing of the Afirma test from Genzyme solely to our internal sales and marketing personnel, we may experience declining test volumes and associated declines in revenue. We may not be able to market or sell the Afirma test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52" w:lineRule="exact"/>
        <w:rPr>
          <w:sz w:val="20"/>
          <w:szCs w:val="20"/>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2020" w:hanging="391"/>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97" w:lineRule="exact"/>
        <w:rPr>
          <w:sz w:val="20"/>
          <w:szCs w:val="20"/>
          <w:color w:val="auto"/>
        </w:rPr>
      </w:pPr>
    </w:p>
    <w:p>
      <w:pPr>
        <w:ind w:left="2020" w:hanging="391"/>
        <w:spacing w:after="0"/>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enter into new clinical study collaborations, our product development and subsequent commercialization could be delayed.</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liens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loan and security agreement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first-priority liens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personal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7" w:lineRule="exact"/>
        <w:rPr>
          <w:sz w:val="20"/>
          <w:szCs w:val="20"/>
          <w:color w:val="auto"/>
        </w:rPr>
      </w:pPr>
    </w:p>
    <w:p>
      <w:pPr>
        <w:jc w:val="both"/>
        <w:ind w:left="980" w:firstLine="649"/>
        <w:spacing w:after="0" w:line="325" w:lineRule="auto"/>
        <w:tabs>
          <w:tab w:leader="none" w:pos="20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5" w:lineRule="exact"/>
        <w:rPr>
          <w:rFonts w:ascii="Arial" w:cs="Arial" w:eastAsia="Arial" w:hAnsi="Arial"/>
          <w:sz w:val="17"/>
          <w:szCs w:val="17"/>
          <w:color w:val="auto"/>
        </w:rPr>
      </w:pPr>
    </w:p>
    <w:p>
      <w:pPr>
        <w:ind w:left="2020" w:hanging="391"/>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65" w:lineRule="exact"/>
        <w:rPr>
          <w:rFonts w:ascii="Arial" w:cs="Arial" w:eastAsia="Arial" w:hAnsi="Arial"/>
          <w:sz w:val="18"/>
          <w:szCs w:val="18"/>
          <w:color w:val="auto"/>
        </w:rPr>
      </w:pPr>
    </w:p>
    <w:p>
      <w:pPr>
        <w:jc w:val="both"/>
        <w:ind w:left="980" w:firstLine="649"/>
        <w:spacing w:after="0" w:line="336" w:lineRule="auto"/>
        <w:tabs>
          <w:tab w:leader="none" w:pos="20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64" w:lineRule="exact"/>
        <w:rPr>
          <w:rFonts w:ascii="Arial" w:cs="Arial" w:eastAsia="Arial" w:hAnsi="Arial"/>
          <w:sz w:val="17"/>
          <w:szCs w:val="17"/>
          <w:color w:val="auto"/>
        </w:rPr>
      </w:pPr>
    </w:p>
    <w:p>
      <w:pPr>
        <w:jc w:val="both"/>
        <w:ind w:left="980" w:firstLine="649"/>
        <w:spacing w:after="0" w:line="306"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firstLine="649"/>
        <w:spacing w:after="0" w:line="364" w:lineRule="auto"/>
        <w:tabs>
          <w:tab w:leader="none" w:pos="20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48" w:lineRule="exact"/>
        <w:rPr>
          <w:rFonts w:ascii="Arial" w:cs="Arial" w:eastAsia="Arial" w:hAnsi="Arial"/>
          <w:sz w:val="16"/>
          <w:szCs w:val="16"/>
          <w:color w:val="auto"/>
        </w:rPr>
      </w:pPr>
    </w:p>
    <w:p>
      <w:pPr>
        <w:ind w:left="980" w:firstLine="649"/>
        <w:spacing w:after="0" w:line="324"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70" w:lineRule="exact"/>
        <w:rPr>
          <w:rFonts w:ascii="Arial" w:cs="Arial" w:eastAsia="Arial" w:hAnsi="Arial"/>
          <w:sz w:val="18"/>
          <w:szCs w:val="18"/>
          <w:color w:val="auto"/>
        </w:rPr>
      </w:pPr>
    </w:p>
    <w:p>
      <w:pPr>
        <w:jc w:val="both"/>
        <w:ind w:left="980" w:right="20" w:firstLine="649"/>
        <w:spacing w:after="0" w:line="311"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ind w:left="980" w:right="20" w:firstLine="649"/>
        <w:spacing w:after="0" w:line="324"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70" w:lineRule="exact"/>
        <w:rPr>
          <w:rFonts w:ascii="Arial" w:cs="Arial" w:eastAsia="Arial" w:hAnsi="Arial"/>
          <w:sz w:val="18"/>
          <w:szCs w:val="18"/>
          <w:color w:val="auto"/>
        </w:rPr>
      </w:pPr>
    </w:p>
    <w:p>
      <w:pPr>
        <w:jc w:val="both"/>
        <w:ind w:left="980" w:firstLine="649"/>
        <w:spacing w:after="0" w:line="336" w:lineRule="auto"/>
        <w:tabs>
          <w:tab w:leader="none" w:pos="20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64" w:lineRule="exact"/>
        <w:rPr>
          <w:rFonts w:ascii="Arial" w:cs="Arial" w:eastAsia="Arial" w:hAnsi="Arial"/>
          <w:sz w:val="17"/>
          <w:szCs w:val="17"/>
          <w:color w:val="auto"/>
        </w:rPr>
      </w:pPr>
    </w:p>
    <w:p>
      <w:pPr>
        <w:jc w:val="both"/>
        <w:ind w:left="980" w:firstLine="649"/>
        <w:spacing w:after="0" w:line="311"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1" w:lineRule="exact"/>
        <w:rPr>
          <w:rFonts w:ascii="Arial" w:cs="Arial" w:eastAsia="Arial" w:hAnsi="Arial"/>
          <w:sz w:val="18"/>
          <w:szCs w:val="18"/>
          <w:color w:val="auto"/>
        </w:rPr>
      </w:pPr>
    </w:p>
    <w:p>
      <w:pPr>
        <w:ind w:left="2020" w:hanging="391"/>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980" w:firstLine="649"/>
        <w:spacing w:after="0" w:line="324" w:lineRule="auto"/>
        <w:tabs>
          <w:tab w:leader="none" w:pos="20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enforcing our intellectual property rights.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8" w:lineRule="exact"/>
        <w:rPr>
          <w:sz w:val="20"/>
          <w:szCs w:val="20"/>
          <w:color w:val="auto"/>
        </w:rPr>
      </w:pPr>
    </w:p>
    <w:p>
      <w:pPr>
        <w:ind w:left="980" w:right="20" w:firstLine="649"/>
        <w:spacing w:after="0" w:line="324" w:lineRule="auto"/>
        <w:tabs>
          <w:tab w:leader="none" w:pos="20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payer reimbursement regimes, government payers or patient self-pay systems;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2020" w:hanging="391"/>
        <w:spacing w:after="0"/>
        <w:tabs>
          <w:tab w:leader="none" w:pos="2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logistics and regulations associated with shipping tissue samples, including infrastructure conditions and transportation delays;</w:t>
      </w:r>
    </w:p>
    <w:p>
      <w:pPr>
        <w:spacing w:after="0" w:line="288" w:lineRule="exact"/>
        <w:rPr>
          <w:rFonts w:ascii="Arial" w:cs="Arial" w:eastAsia="Arial" w:hAnsi="Arial"/>
          <w:sz w:val="16"/>
          <w:szCs w:val="16"/>
          <w:color w:val="auto"/>
        </w:rPr>
      </w:pPr>
    </w:p>
    <w:p>
      <w:pPr>
        <w:ind w:left="980" w:firstLine="649"/>
        <w:spacing w:after="0" w:line="324" w:lineRule="auto"/>
        <w:tabs>
          <w:tab w:leader="none" w:pos="20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65" w:lineRule="exact"/>
        <w:rPr>
          <w:rFonts w:ascii="Arial" w:cs="Arial" w:eastAsia="Arial" w:hAnsi="Arial"/>
          <w:sz w:val="18"/>
          <w:szCs w:val="18"/>
          <w:color w:val="auto"/>
        </w:rPr>
      </w:pPr>
    </w:p>
    <w:p>
      <w:pPr>
        <w:ind w:left="980" w:right="20" w:firstLine="649"/>
        <w:spacing w:after="0" w:line="324" w:lineRule="auto"/>
        <w:tabs>
          <w:tab w:leader="none" w:pos="20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firstLine="649"/>
        <w:spacing w:after="0" w:line="357" w:lineRule="auto"/>
        <w:tabs>
          <w:tab w:leader="none" w:pos="20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substantially all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 offerings,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85" w:lineRule="exact"/>
        <w:rPr>
          <w:sz w:val="20"/>
          <w:szCs w:val="20"/>
          <w:color w:val="auto"/>
        </w:rPr>
      </w:pPr>
    </w:p>
    <w:p>
      <w:pPr>
        <w:ind w:right="80" w:firstLine="648"/>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Recent developments in Europe have created compliance uncertainty regarding the processing of personal data from Europe. For example, the General Data Protection Regulation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As a result, we may need to modify the way we treat such information.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4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22 issued patents that expire between 2029 and 2032 related to methods used in the Afirma diagnostic platform, in addition to 15 pending U.S. utility patent applications, and two U.S. provisional patent applications. Some of these U.S. utility patent applications have pending foreign counterparts. We also exclusively licensed intellectual property, including rights to four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have exclusively licensed intellectual property rights to nine pending patent applications and eight issued patents. Patents issuing from the licensed portfolio will expire between 2024 and 2028. In addition, we own a pending Patent Cooperation Treaty, or PCT, patent application, a pending U.S. utility patent application and pending foreign counterpart patent applications in Australia, Canada, China, Europe, Japan, and South Korea related to our Percepta test. We also own one U.S. patent application and one counterpart European patent application related to another lung disease, and two pending U.S. patent applications, five patent applications abroad, and one PCT patent application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net losses since our inception and may never achieve profitability. As of the fiscal year ended December 31, 2017, we had U.S. federal and state net operating losses, or NOLs, of approximately $196.1 million and $91.8 million, respectively. The federal and state NOL carryforwards will begin to expire, if not utilized, beginning in 2028. These NOL carryforwards could expire unused and be unavailable to offset future income tax liabilities. Under the newly enacted federal income tax law,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government has recently enacted comprehensive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reduction in the corporate income tax rate, the overall impact of this tax reform is uncertain, and our business and financial condition could be adversely affected. In addition, it is uncertain if and to what extent various states will conform to the newly enacted federal tax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Our independent registered public accounting firm will be required to issue an attestation report on the effectiveness of our internal control over financial reporting when we cease being an emerging growth company on December 31, 2018.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an emerging growth company, as defined under the Securities Act of 1933, or the Securities Act. We will remain an emerging growth company until December 31, 2018.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However, we previously irrevocably elected not to avail ourselves of this exemption from new or revised accounting standards and, therefore, will be subject to the same new or revised accounting standards as other public companies that are not emerging growth companies. 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July 17, 2018, directors and executive officers and their affiliates beneficially owned, in the aggregate, 14%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280" w:type="dxa"/>
            <w:vAlign w:val="bottom"/>
            <w:gridSpan w:val="6"/>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180" w:type="dxa"/>
            <w:vAlign w:val="bottom"/>
            <w:gridSpan w:val="3"/>
            <w:vMerge w:val="restart"/>
          </w:tcPr>
          <w:p>
            <w:pPr>
              <w:ind w:left="4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60" w:type="dxa"/>
            <w:vAlign w:val="bottom"/>
            <w:gridSpan w:val="2"/>
          </w:tcPr>
          <w:p>
            <w:pPr>
              <w:spacing w:after="0"/>
              <w:rPr>
                <w:sz w:val="17"/>
                <w:szCs w:val="17"/>
                <w:color w:val="auto"/>
              </w:rPr>
            </w:pPr>
          </w:p>
        </w:tc>
        <w:tc>
          <w:tcPr>
            <w:tcW w:w="380" w:type="dxa"/>
            <w:vAlign w:val="bottom"/>
            <w:gridSpan w:val="2"/>
          </w:tcPr>
          <w:p>
            <w:pPr>
              <w:jc w:val="right"/>
              <w:spacing w:after="0" w:line="202" w:lineRule="exact"/>
              <w:rPr>
                <w:rFonts w:ascii="Arial" w:cs="Arial" w:eastAsia="Arial" w:hAnsi="Arial"/>
                <w:sz w:val="18"/>
                <w:szCs w:val="18"/>
                <w:color w:val="0000FF"/>
                <w:w w:val="85"/>
              </w:rPr>
            </w:pPr>
            <w:hyperlink w:anchor="page5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gridSpan w:val="4"/>
          </w:tcPr>
          <w:p>
            <w:pPr>
              <w:ind w:left="4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Principal Executive Officer’s 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1"/>
                <w:szCs w:val="21"/>
                <w:color w:val="auto"/>
              </w:rPr>
            </w:pPr>
          </w:p>
        </w:tc>
        <w:tc>
          <w:tcPr>
            <w:tcW w:w="380" w:type="dxa"/>
            <w:vAlign w:val="bottom"/>
            <w:gridSpan w:val="2"/>
          </w:tcPr>
          <w:p>
            <w:pPr>
              <w:jc w:val="right"/>
              <w:spacing w:after="0"/>
              <w:rPr>
                <w:rFonts w:ascii="Arial" w:cs="Arial" w:eastAsia="Arial" w:hAnsi="Arial"/>
                <w:sz w:val="18"/>
                <w:szCs w:val="18"/>
                <w:color w:val="0000FF"/>
                <w:w w:val="85"/>
              </w:rPr>
            </w:pPr>
            <w:hyperlink w:anchor="page5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r>
              <w:rPr>
                <w:rFonts w:ascii="Arial" w:cs="Arial" w:eastAsia="Arial" w:hAnsi="Arial"/>
                <w:sz w:val="18"/>
                <w:szCs w:val="18"/>
                <w:color w:val="000000"/>
                <w:w w:val="85"/>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4"/>
          </w:tcPr>
          <w:p>
            <w:pPr>
              <w:ind w:left="40"/>
              <w:spacing w:after="0"/>
              <w:rPr>
                <w:rFonts w:ascii="Arial" w:cs="Arial" w:eastAsia="Arial" w:hAnsi="Arial"/>
                <w:sz w:val="18"/>
                <w:szCs w:val="18"/>
                <w:color w:val="0000FF"/>
              </w:rPr>
            </w:pPr>
            <w:hyperlink w:anchor="page54">
              <w:r>
                <w:rPr>
                  <w:rFonts w:ascii="Arial" w:cs="Arial" w:eastAsia="Arial" w:hAnsi="Arial"/>
                  <w:sz w:val="18"/>
                  <w:szCs w:val="18"/>
                  <w:color w:val="0000FF"/>
                </w:rPr>
                <w:t>Principal Financial Officer’s 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5"/>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4"/>
          </w:tcPr>
          <w:p>
            <w:pPr>
              <w:ind w:left="40"/>
              <w:spacing w:after="0"/>
              <w:rPr>
                <w:rFonts w:ascii="Arial" w:cs="Arial" w:eastAsia="Arial" w:hAnsi="Arial"/>
                <w:sz w:val="18"/>
                <w:szCs w:val="18"/>
                <w:color w:val="0000FF"/>
              </w:rPr>
            </w:pPr>
            <w:hyperlink w:anchor="page55">
              <w:r>
                <w:rPr>
                  <w:rFonts w:ascii="Arial" w:cs="Arial" w:eastAsia="Arial" w:hAnsi="Arial"/>
                  <w:sz w:val="18"/>
                  <w:szCs w:val="18"/>
                  <w:color w:val="0000FF"/>
                </w:rPr>
                <w:t>Certification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5"/>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4"/>
          </w:tcPr>
          <w:p>
            <w:pPr>
              <w:ind w:left="40"/>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9220" w:type="dxa"/>
            <w:vAlign w:val="bottom"/>
            <w:gridSpan w:val="4"/>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3"/>
                <w:szCs w:val="23"/>
                <w:color w:val="auto"/>
              </w:rPr>
            </w:pPr>
          </w:p>
        </w:tc>
        <w:tc>
          <w:tcPr>
            <w:tcW w:w="9220" w:type="dxa"/>
            <w:vAlign w:val="bottom"/>
            <w:gridSpan w:val="4"/>
          </w:tcPr>
          <w:p>
            <w:pPr>
              <w:ind w:left="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3"/>
                <w:szCs w:val="23"/>
                <w:color w:val="auto"/>
              </w:rPr>
            </w:pPr>
          </w:p>
        </w:tc>
        <w:tc>
          <w:tcPr>
            <w:tcW w:w="9220" w:type="dxa"/>
            <w:vAlign w:val="bottom"/>
            <w:gridSpan w:val="4"/>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3"/>
                <w:szCs w:val="23"/>
                <w:color w:val="auto"/>
              </w:rPr>
            </w:pPr>
          </w:p>
        </w:tc>
        <w:tc>
          <w:tcPr>
            <w:tcW w:w="9220" w:type="dxa"/>
            <w:vAlign w:val="bottom"/>
            <w:gridSpan w:val="4"/>
          </w:tcPr>
          <w:p>
            <w:pPr>
              <w:ind w:left="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3"/>
                <w:szCs w:val="23"/>
                <w:color w:val="auto"/>
              </w:rPr>
            </w:pPr>
          </w:p>
        </w:tc>
        <w:tc>
          <w:tcPr>
            <w:tcW w:w="9220" w:type="dxa"/>
            <w:vAlign w:val="bottom"/>
            <w:gridSpan w:val="4"/>
          </w:tcPr>
          <w:p>
            <w:pPr>
              <w:ind w:left="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280" w:type="dxa"/>
            <w:vAlign w:val="bottom"/>
            <w:gridSpan w:val="6"/>
          </w:tcPr>
          <w:p>
            <w:pPr>
              <w:jc w:val="right"/>
              <w:ind w:right="4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3"/>
                <w:szCs w:val="23"/>
                <w:color w:val="auto"/>
              </w:rPr>
            </w:pPr>
          </w:p>
        </w:tc>
        <w:tc>
          <w:tcPr>
            <w:tcW w:w="9220" w:type="dxa"/>
            <w:vAlign w:val="bottom"/>
            <w:gridSpan w:val="4"/>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4"/>
            <w:vMerge w:val="restart"/>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40" w:right="500" w:hanging="1400"/>
        <w:spacing w:after="0" w:line="279"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240" w:top="122" w:right="6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Keith Kennedy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June 30, 2018;</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23, 2018</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Kennedy, certify that:</w:t>
      </w:r>
    </w:p>
    <w:p>
      <w:pPr>
        <w:spacing w:after="0" w:line="225" w:lineRule="exact"/>
        <w:rPr>
          <w:sz w:val="20"/>
          <w:szCs w:val="20"/>
          <w:color w:val="auto"/>
        </w:rPr>
      </w:pPr>
    </w:p>
    <w:p>
      <w:pPr>
        <w:ind w:left="1340" w:hanging="684"/>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June 30, 2018;</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23, 2018</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2018,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23,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2018,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July 23,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lvl>
    <w:lvl w:ilvl="1">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3"/>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2"/>
    </w:lvl>
  </w:abstractNum>
  <w:abstractNum w:abstractNumId="25">
    <w:nsid w:val="1E7FF521"/>
    <w:multiLevelType w:val="hybridMultilevel"/>
    <w:lvl w:ilvl="0">
      <w:lvlJc w:val="left"/>
      <w:lvlText w:val="%1)"/>
      <w:numFmt w:val="lowerLetter"/>
      <w:start w:val="3"/>
    </w:lvl>
  </w:abstractNum>
  <w:abstractNum w:abstractNumId="26">
    <w:nsid w:val="7C3DBD3D"/>
    <w:multiLevelType w:val="hybridMultilevel"/>
    <w:lvl w:ilvl="0">
      <w:lvlJc w:val="left"/>
      <w:lvlText w:val="%1."/>
      <w:numFmt w:val="decimal"/>
      <w:start w:val="5"/>
    </w:lvl>
    <w:lvl w:ilvl="1">
      <w:lvlJc w:val="left"/>
      <w:lvlText w:val="%2)"/>
      <w:numFmt w:val="lowerLetter"/>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3"/>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lowerLetter"/>
      <w:start w:val="3"/>
    </w:lvl>
  </w:abstractNum>
  <w:abstractNum w:abstractNumId="32">
    <w:nsid w:val="614FD4A1"/>
    <w:multiLevelType w:val="hybridMultilevel"/>
    <w:lvl w:ilvl="0">
      <w:lvlJc w:val="left"/>
      <w:lvlText w:val="%1."/>
      <w:numFmt w:val="decimal"/>
      <w:start w:val="5"/>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2019-12-28T20:42:25Z</dcterms:created>
  <dcterms:modified xsi:type="dcterms:W3CDTF">2019-12-28T20:42:25Z</dcterms:modified>
</cp:coreProperties>
</file>