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1060" w:type="dxa"/>
        <w:tblCellMar>
          <w:top w:w="0" w:type="dxa"/>
          <w:left w:w="0" w:type="dxa"/>
          <w:bottom w:w="0" w:type="dxa"/>
          <w:right w:w="0" w:type="dxa"/>
        </w:tblCellMar>
      </w:tblPr>
      <w:tr>
        <w:trPr>
          <w:trHeight w:val="357"/>
        </w:trPr>
        <w:tc>
          <w:tcPr>
            <w:tcW w:w="2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60" w:type="dxa"/>
            <w:vAlign w:val="bottom"/>
            <w:gridSpan w:val="2"/>
          </w:tcPr>
          <w:p>
            <w:pPr>
              <w:jc w:val="center"/>
              <w:ind w:right="2670"/>
              <w:spacing w:after="0"/>
              <w:rPr>
                <w:sz w:val="20"/>
                <w:szCs w:val="20"/>
                <w:color w:val="auto"/>
              </w:rPr>
            </w:pPr>
            <w:r>
              <w:rPr>
                <w:rFonts w:ascii="Times New Roman" w:cs="Times New Roman" w:eastAsia="Times New Roman" w:hAnsi="Times New Roman"/>
                <w:sz w:val="29"/>
                <w:szCs w:val="29"/>
                <w:b w:val="1"/>
                <w:bCs w:val="1"/>
                <w:color w:val="auto"/>
                <w:w w:val="99"/>
              </w:rPr>
              <w:t>VERACYTE, INC.</w:t>
            </w:r>
          </w:p>
        </w:tc>
      </w:tr>
      <w:tr>
        <w:trPr>
          <w:trHeight w:val="234"/>
        </w:trPr>
        <w:tc>
          <w:tcPr>
            <w:tcW w:w="2440" w:type="dxa"/>
            <w:vAlign w:val="bottom"/>
          </w:tcPr>
          <w:p>
            <w:pPr>
              <w:spacing w:after="0"/>
              <w:rPr>
                <w:sz w:val="20"/>
                <w:szCs w:val="20"/>
                <w:color w:val="auto"/>
              </w:rPr>
            </w:pPr>
          </w:p>
        </w:tc>
        <w:tc>
          <w:tcPr>
            <w:tcW w:w="6280" w:type="dxa"/>
            <w:vAlign w:val="bottom"/>
            <w:gridSpan w:val="3"/>
          </w:tcPr>
          <w:p>
            <w:pPr>
              <w:jc w:val="center"/>
              <w:ind w:right="19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175"/>
        </w:trPr>
        <w:tc>
          <w:tcPr>
            <w:tcW w:w="2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2760" w:type="dxa"/>
            <w:vAlign w:val="bottom"/>
          </w:tcPr>
          <w:p>
            <w:pPr>
              <w:spacing w:after="0"/>
              <w:rPr>
                <w:sz w:val="15"/>
                <w:szCs w:val="15"/>
                <w:color w:val="auto"/>
              </w:rPr>
            </w:pPr>
          </w:p>
        </w:tc>
      </w:tr>
      <w:tr>
        <w:trPr>
          <w:trHeight w:val="461"/>
        </w:trPr>
        <w:tc>
          <w:tcPr>
            <w:tcW w:w="2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280" w:type="dxa"/>
            <w:vAlign w:val="bottom"/>
            <w:gridSpan w:val="3"/>
          </w:tcPr>
          <w:p>
            <w:pPr>
              <w:jc w:val="center"/>
              <w:ind w:left="4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16"/>
        </w:trPr>
        <w:tc>
          <w:tcPr>
            <w:tcW w:w="2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7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60" w:type="dxa"/>
            <w:vAlign w:val="bottom"/>
            <w:gridSpan w:val="2"/>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rPr>
              <w:t>6000 Shoreline Court, Suite 300</w:t>
            </w:r>
          </w:p>
        </w:tc>
      </w:tr>
      <w:tr>
        <w:trPr>
          <w:trHeight w:val="220"/>
        </w:trPr>
        <w:tc>
          <w:tcPr>
            <w:tcW w:w="2440" w:type="dxa"/>
            <w:vAlign w:val="bottom"/>
          </w:tcPr>
          <w:p>
            <w:pPr>
              <w:spacing w:after="0"/>
              <w:rPr>
                <w:sz w:val="19"/>
                <w:szCs w:val="19"/>
                <w:color w:val="auto"/>
              </w:rPr>
            </w:pPr>
          </w:p>
        </w:tc>
        <w:tc>
          <w:tcPr>
            <w:tcW w:w="6280" w:type="dxa"/>
            <w:vAlign w:val="bottom"/>
            <w:gridSpan w:val="3"/>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r>
      <w:tr>
        <w:trPr>
          <w:trHeight w:val="234"/>
        </w:trPr>
        <w:tc>
          <w:tcPr>
            <w:tcW w:w="2440" w:type="dxa"/>
            <w:vAlign w:val="bottom"/>
          </w:tcPr>
          <w:p>
            <w:pPr>
              <w:spacing w:after="0"/>
              <w:rPr>
                <w:sz w:val="20"/>
                <w:szCs w:val="20"/>
                <w:color w:val="auto"/>
              </w:rPr>
            </w:pPr>
          </w:p>
        </w:tc>
        <w:tc>
          <w:tcPr>
            <w:tcW w:w="6280" w:type="dxa"/>
            <w:vAlign w:val="bottom"/>
            <w:gridSpan w:val="3"/>
          </w:tcPr>
          <w:p>
            <w:pPr>
              <w:jc w:val="center"/>
              <w:ind w:right="19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6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4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VCYT</w:t>
            </w:r>
          </w:p>
        </w:tc>
        <w:tc>
          <w:tcPr>
            <w:tcW w:w="44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right="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1109" w:gutter="0" w:footer="0" w:header="0"/>
        </w:sectPr>
      </w:pPr>
    </w:p>
    <w:p>
      <w:pPr>
        <w:spacing w:after="0" w:line="1" w:lineRule="exact"/>
        <w:rPr>
          <w:sz w:val="24"/>
          <w:szCs w:val="24"/>
          <w:color w:val="auto"/>
        </w:rPr>
      </w:pPr>
    </w:p>
    <w:p>
      <w:pPr>
        <w:ind w:left="18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7"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95" w:lineRule="exact"/>
        <w:rPr>
          <w:sz w:val="24"/>
          <w:szCs w:val="24"/>
          <w:color w:val="auto"/>
        </w:rPr>
      </w:pPr>
    </w:p>
    <w:p>
      <w:pPr>
        <w:sectPr>
          <w:pgSz w:w="11900" w:h="16838" w:orient="portrait"/>
          <w:cols w:equalWidth="0" w:num="2">
            <w:col w:w="7100" w:space="720"/>
            <w:col w:w="3420"/>
          </w:cols>
          <w:pgMar w:left="320" w:top="688" w:right="339" w:bottom="1109" w:gutter="0" w:footer="0" w:header="0"/>
          <w:type w:val="continuous"/>
        </w:sectPr>
      </w:pPr>
    </w:p>
    <w:p>
      <w:pPr>
        <w:ind w:left="18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2" w:lineRule="exact"/>
        <w:rPr>
          <w:sz w:val="24"/>
          <w:szCs w:val="24"/>
          <w:color w:val="auto"/>
        </w:rPr>
      </w:pPr>
    </w:p>
    <w:p>
      <w:pPr>
        <w:sectPr>
          <w:pgSz w:w="11900" w:h="16838" w:orient="portrait"/>
          <w:cols w:equalWidth="0" w:num="2">
            <w:col w:w="6720" w:space="720"/>
            <w:col w:w="3800"/>
          </w:cols>
          <w:pgMar w:left="320" w:top="688" w:right="339" w:bottom="1109" w:gutter="0" w:footer="0" w:header="0"/>
          <w:type w:val="continuous"/>
        </w:sectPr>
      </w:pPr>
    </w:p>
    <w:p>
      <w:pPr>
        <w:ind w:left="74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688" w:right="339" w:bottom="1109" w:gutter="0" w:footer="0" w:header="0"/>
          <w:type w:val="continuous"/>
        </w:sectPr>
      </w:pPr>
    </w:p>
    <w:p>
      <w:pPr>
        <w:spacing w:after="0" w:line="306" w:lineRule="exact"/>
        <w:rPr>
          <w:sz w:val="24"/>
          <w:szCs w:val="24"/>
          <w:color w:val="auto"/>
        </w:rPr>
      </w:pPr>
    </w:p>
    <w:p>
      <w:pPr>
        <w:ind w:right="260" w:firstLine="243"/>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October 28, 2020, there were 57,897,321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109" w:gutter="0" w:footer="0" w:header="0"/>
          <w:type w:val="continuous"/>
        </w:sectPr>
      </w:pPr>
    </w:p>
    <w:bookmarkStart w:id="1" w:name="page2"/>
    <w:bookmarkEnd w:id="1"/>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8"/>
        </w:trPr>
        <w:tc>
          <w:tcPr>
            <w:tcW w:w="8000" w:type="dxa"/>
            <w:vAlign w:val="bottom"/>
            <w:gridSpan w:val="3"/>
            <w:vMerge w:val="restart"/>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PART I. — FINANCIAL INFORMATION</w:t>
              </w:r>
            </w:hyperlink>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91"/>
        </w:trPr>
        <w:tc>
          <w:tcPr>
            <w:tcW w:w="8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Item 1. Condensed Consolidated Financial Statements (Unaudited)</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5"/>
          </w:tcPr>
          <w:p>
            <w:pPr>
              <w:jc w:val="right"/>
              <w:ind w:righ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660" w:type="dxa"/>
            <w:vAlign w:val="bottom"/>
            <w:gridSpan w:val="2"/>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Condensed Consolidated Balance Sheets as of September 30, 2020 and December 31, 2019</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5"/>
          </w:tcPr>
          <w:p>
            <w:pPr>
              <w:jc w:val="right"/>
              <w:ind w:righ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1</w:t>
              </w:r>
            </w:hyperlink>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990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Operations and Comprehensive Loss for the Three and Nine Month Periods Ended September 30,</w:t>
              </w:r>
            </w:hyperlink>
          </w:p>
        </w:tc>
        <w:tc>
          <w:tcPr>
            <w:tcW w:w="10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660" w:type="dxa"/>
            <w:vAlign w:val="bottom"/>
            <w:gridSpan w:val="2"/>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2020 and 2019</w:t>
              </w:r>
            </w:hyperlink>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5"/>
          </w:tcPr>
          <w:p>
            <w:pPr>
              <w:jc w:val="right"/>
              <w:ind w:right="20"/>
              <w:spacing w:after="0" w:line="196" w:lineRule="exact"/>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820" w:type="dxa"/>
            <w:vAlign w:val="bottom"/>
            <w:gridSpan w:val="6"/>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0" w:type="dxa"/>
            <w:vAlign w:val="bottom"/>
          </w:tcPr>
          <w:p>
            <w:pPr>
              <w:spacing w:after="0"/>
              <w:rPr>
                <w:sz w:val="18"/>
                <w:szCs w:val="18"/>
                <w:color w:val="auto"/>
              </w:rPr>
            </w:pPr>
          </w:p>
        </w:tc>
        <w:tc>
          <w:tcPr>
            <w:tcW w:w="9880" w:type="dxa"/>
            <w:vAlign w:val="bottom"/>
            <w:gridSpan w:val="7"/>
          </w:tcPr>
          <w:p>
            <w:pPr>
              <w:spacing w:after="0"/>
              <w:rPr>
                <w:rFonts w:ascii="Times New Roman" w:cs="Times New Roman" w:eastAsia="Times New Roman" w:hAnsi="Times New Roman"/>
                <w:sz w:val="18"/>
                <w:szCs w:val="18"/>
                <w:u w:val="single" w:color="auto"/>
                <w:color w:val="0000EE"/>
                <w:w w:val="99"/>
              </w:rPr>
            </w:pPr>
            <w:hyperlink w:anchor="page3">
              <w:r>
                <w:rPr>
                  <w:rFonts w:ascii="Times New Roman" w:cs="Times New Roman" w:eastAsia="Times New Roman" w:hAnsi="Times New Roman"/>
                  <w:sz w:val="18"/>
                  <w:szCs w:val="18"/>
                  <w:u w:val="single" w:color="auto"/>
                  <w:color w:val="0000EE"/>
                  <w:w w:val="99"/>
                </w:rPr>
                <w:t>Condensed Consolidated Statements of Stockholders' Equity for the Three and Nine Month Periods Ended September 30, 2020 and 2019</w:t>
              </w:r>
            </w:hyperlink>
          </w:p>
        </w:tc>
        <w:tc>
          <w:tcPr>
            <w:tcW w:w="1020" w:type="dxa"/>
            <w:vAlign w:val="bottom"/>
            <w:gridSpan w:val="5"/>
          </w:tcPr>
          <w:p>
            <w:pPr>
              <w:jc w:val="right"/>
              <w:ind w:righ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3</w:t>
              </w:r>
            </w:hyperlink>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240" w:type="dxa"/>
            <w:vAlign w:val="bottom"/>
            <w:gridSpan w:val="5"/>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Statements of Cash Flows for the Nine Month Periods Ended September 30, 2020 and 2019</w:t>
              </w:r>
            </w:hyperlink>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5"/>
          </w:tcPr>
          <w:p>
            <w:pPr>
              <w:jc w:val="right"/>
              <w:ind w:right="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660" w:type="dxa"/>
            <w:vAlign w:val="bottom"/>
            <w:gridSpan w:val="2"/>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Notes to Condensed Consolidated Financial Statements</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5"/>
          </w:tcPr>
          <w:p>
            <w:pPr>
              <w:jc w:val="right"/>
              <w:ind w:righ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5"/>
          </w:tcPr>
          <w:p>
            <w:pPr>
              <w:jc w:val="right"/>
              <w:ind w:right="2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19</w:t>
              </w:r>
            </w:hyperlink>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5"/>
          </w:tcPr>
          <w:p>
            <w:pPr>
              <w:jc w:val="right"/>
              <w:ind w:right="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35</w:t>
              </w:r>
            </w:hyperlink>
          </w:p>
        </w:tc>
        <w:tc>
          <w:tcPr>
            <w:tcW w:w="0" w:type="dxa"/>
            <w:vAlign w:val="bottom"/>
          </w:tcPr>
          <w:p>
            <w:pPr>
              <w:spacing w:after="0"/>
              <w:rPr>
                <w:sz w:val="1"/>
                <w:szCs w:val="1"/>
                <w:color w:val="auto"/>
              </w:rPr>
            </w:pPr>
          </w:p>
        </w:tc>
      </w:tr>
      <w:tr>
        <w:trPr>
          <w:trHeight w:val="212"/>
        </w:trPr>
        <w:tc>
          <w:tcPr>
            <w:tcW w:w="800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Item 4. Controls and Procedures</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5"/>
          </w:tcPr>
          <w:p>
            <w:pPr>
              <w:jc w:val="right"/>
              <w:ind w:right="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35</w:t>
              </w:r>
            </w:hyperlink>
          </w:p>
        </w:tc>
        <w:tc>
          <w:tcPr>
            <w:tcW w:w="0" w:type="dxa"/>
            <w:vAlign w:val="bottom"/>
          </w:tcPr>
          <w:p>
            <w:pPr>
              <w:spacing w:after="0"/>
              <w:rPr>
                <w:sz w:val="1"/>
                <w:szCs w:val="1"/>
                <w:color w:val="auto"/>
              </w:rPr>
            </w:pPr>
          </w:p>
        </w:tc>
      </w:tr>
      <w:tr>
        <w:trPr>
          <w:trHeight w:val="220"/>
        </w:trPr>
        <w:tc>
          <w:tcPr>
            <w:tcW w:w="8000" w:type="dxa"/>
            <w:vAlign w:val="bottom"/>
            <w:gridSpan w:val="3"/>
          </w:tcPr>
          <w:p>
            <w:pPr>
              <w:spacing w:after="0"/>
              <w:rPr>
                <w:rFonts w:ascii="Times New Roman" w:cs="Times New Roman" w:eastAsia="Times New Roman" w:hAnsi="Times New Roman"/>
                <w:sz w:val="18"/>
                <w:szCs w:val="18"/>
                <w:b w:val="1"/>
                <w:bCs w:val="1"/>
                <w:u w:val="single" w:color="auto"/>
                <w:color w:val="0000EE"/>
              </w:rPr>
            </w:pPr>
            <w:hyperlink w:anchor="page35">
              <w:r>
                <w:rPr>
                  <w:rFonts w:ascii="Times New Roman" w:cs="Times New Roman" w:eastAsia="Times New Roman" w:hAnsi="Times New Roman"/>
                  <w:sz w:val="18"/>
                  <w:szCs w:val="18"/>
                  <w:b w:val="1"/>
                  <w:bCs w:val="1"/>
                  <w:u w:val="single" w:color="auto"/>
                  <w:color w:val="0000EE"/>
                </w:rPr>
                <w:t>PART II. — OTHER INFORMATION</w:t>
              </w:r>
            </w:hyperlink>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Item 1A. Risk Factors</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5"/>
          </w:tcPr>
          <w:p>
            <w:pPr>
              <w:jc w:val="right"/>
              <w:ind w:right="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36</w:t>
              </w:r>
            </w:hyperlink>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Item 6. Exhibits</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5"/>
          </w:tcPr>
          <w:p>
            <w:pPr>
              <w:jc w:val="right"/>
              <w:ind w:right="2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63</w:t>
              </w:r>
            </w:hyperlink>
          </w:p>
        </w:tc>
        <w:tc>
          <w:tcPr>
            <w:tcW w:w="0" w:type="dxa"/>
            <w:vAlign w:val="bottom"/>
          </w:tcPr>
          <w:p>
            <w:pPr>
              <w:spacing w:after="0"/>
              <w:rPr>
                <w:sz w:val="1"/>
                <w:szCs w:val="1"/>
                <w:color w:val="auto"/>
              </w:rPr>
            </w:pPr>
          </w:p>
        </w:tc>
      </w:tr>
      <w:tr>
        <w:trPr>
          <w:trHeight w:val="234"/>
        </w:trPr>
        <w:tc>
          <w:tcPr>
            <w:tcW w:w="8000" w:type="dxa"/>
            <w:vAlign w:val="bottom"/>
            <w:gridSpan w:val="3"/>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SIGNATURES</w:t>
              </w:r>
            </w:hyperlink>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5"/>
          </w:tcPr>
          <w:p>
            <w:pPr>
              <w:jc w:val="right"/>
              <w:ind w:right="2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64</w:t>
              </w:r>
            </w:hyperlink>
          </w:p>
        </w:tc>
        <w:tc>
          <w:tcPr>
            <w:tcW w:w="0" w:type="dxa"/>
            <w:vAlign w:val="bottom"/>
          </w:tcPr>
          <w:p>
            <w:pPr>
              <w:spacing w:after="0"/>
              <w:rPr>
                <w:sz w:val="1"/>
                <w:szCs w:val="1"/>
                <w:color w:val="auto"/>
              </w:rPr>
            </w:pPr>
          </w:p>
        </w:tc>
      </w:tr>
      <w:tr>
        <w:trPr>
          <w:trHeight w:val="471"/>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0" w:type="dxa"/>
            <w:vAlign w:val="bottom"/>
          </w:tcPr>
          <w:p>
            <w:pPr>
              <w:jc w:val="center"/>
              <w:ind w:left="1767"/>
              <w:spacing w:after="0"/>
              <w:rPr>
                <w:sz w:val="20"/>
                <w:szCs w:val="20"/>
                <w:color w:val="auto"/>
              </w:rPr>
            </w:pPr>
            <w:r>
              <w:rPr>
                <w:rFonts w:ascii="Times New Roman" w:cs="Times New Roman" w:eastAsia="Times New Roman" w:hAnsi="Times New Roman"/>
                <w:sz w:val="22"/>
                <w:szCs w:val="22"/>
                <w:color w:val="auto"/>
                <w:w w:val="97"/>
              </w:rPr>
              <w:t>i</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8000" w:type="dxa"/>
            <w:vAlign w:val="bottom"/>
            <w:gridSpan w:val="3"/>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0" w:type="dxa"/>
            <w:vAlign w:val="bottom"/>
          </w:tcPr>
          <w:p>
            <w:pPr>
              <w:jc w:val="center"/>
              <w:ind w:left="1747"/>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0" w:type="dxa"/>
            <w:vAlign w:val="bottom"/>
          </w:tcPr>
          <w:p>
            <w:pPr>
              <w:jc w:val="center"/>
              <w:ind w:left="1707"/>
              <w:spacing w:after="0"/>
              <w:rPr>
                <w:sz w:val="20"/>
                <w:szCs w:val="20"/>
                <w:color w:val="auto"/>
              </w:rPr>
            </w:pPr>
            <w:r>
              <w:rPr>
                <w:rFonts w:ascii="Times New Roman" w:cs="Times New Roman" w:eastAsia="Times New Roman" w:hAnsi="Times New Roman"/>
                <w:sz w:val="18"/>
                <w:szCs w:val="18"/>
                <w:b w:val="1"/>
                <w:bCs w:val="1"/>
                <w:color w:val="auto"/>
              </w:rPr>
              <w:t>VERACYTE,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0" w:type="dxa"/>
            <w:vAlign w:val="bottom"/>
          </w:tcPr>
          <w:p>
            <w:pPr>
              <w:jc w:val="center"/>
              <w:ind w:left="1707"/>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0" w:type="dxa"/>
            <w:vAlign w:val="bottom"/>
          </w:tcPr>
          <w:p>
            <w:pPr>
              <w:jc w:val="center"/>
              <w:ind w:left="1767"/>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0" w:type="dxa"/>
            <w:vAlign w:val="bottom"/>
          </w:tcPr>
          <w:p>
            <w:pPr>
              <w:jc w:val="center"/>
              <w:ind w:left="1747"/>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5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(See Note 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345,080</w:t>
            </w:r>
          </w:p>
        </w:tc>
        <w:tc>
          <w:tcPr>
            <w:tcW w:w="6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159,317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19,329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370,315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187,687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61,197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65,019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454,151</w:t>
            </w: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275,212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1,932</w:t>
            </w:r>
          </w:p>
        </w:tc>
        <w:tc>
          <w:tcPr>
            <w:tcW w:w="6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31,426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35,757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and outstanding as of</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2020 and December 31, 2019</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125,000,000 shares authorized, 57,813,833 and 49,625,341 shares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September 30, 2020 and December 31, 2019, respectively</w:t>
            </w: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3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66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-6948805</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-6957060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900" w:orient="portrait"/>
          <w:cols w:equalWidth="0" w:num="1">
            <w:col w:w="11240"/>
          </w:cols>
          <w:pgMar w:left="320" w:top="819"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486,090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(273,550)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(246,685)</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422,725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454,151</w:t>
            </w:r>
          </w:p>
        </w:tc>
        <w:tc>
          <w:tcPr>
            <w:tcW w:w="1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275,212</w:t>
            </w:r>
          </w:p>
        </w:tc>
      </w:tr>
      <w:tr>
        <w:trPr>
          <w:trHeight w:val="20"/>
        </w:trPr>
        <w:tc>
          <w:tcPr>
            <w:tcW w:w="8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7360" w:type="dxa"/>
            <w:vAlign w:val="bottom"/>
            <w:gridSpan w:val="5"/>
          </w:tcPr>
          <w:p>
            <w:pPr>
              <w:jc w:val="center"/>
              <w:ind w:left="3790"/>
              <w:spacing w:after="0"/>
              <w:rPr>
                <w:sz w:val="20"/>
                <w:szCs w:val="20"/>
                <w:color w:val="auto"/>
              </w:rPr>
            </w:pPr>
            <w:r>
              <w:rPr>
                <w:rFonts w:ascii="Times New Roman" w:cs="Times New Roman" w:eastAsia="Times New Roman" w:hAnsi="Times New Roman"/>
                <w:sz w:val="18"/>
                <w:szCs w:val="18"/>
                <w:b w:val="1"/>
                <w:bCs w:val="1"/>
                <w:color w:val="auto"/>
              </w:rPr>
              <w:t>VERACYTE, INC.</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gridSpan w:val="8"/>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8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40" w:type="dxa"/>
            <w:vAlign w:val="bottom"/>
            <w:gridSpan w:val="6"/>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Testing revenue</w:t>
            </w:r>
          </w:p>
        </w:tc>
        <w:tc>
          <w:tcPr>
            <w:tcW w:w="1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28,270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26,723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70,473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78,798</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Biopharmaceutical revenue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5,325</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r>
      <w:tr>
        <w:trPr>
          <w:trHeight w:val="20"/>
        </w:trPr>
        <w:tc>
          <w:tcPr>
            <w:tcW w:w="50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31,121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30,973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90,638</w:t>
            </w: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testing revenue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9,118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26,157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26,404</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biopharmaceutical revenue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4,042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10,408</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10,955</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13,088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39,240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39,508</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8,546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20,448</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0"/>
        </w:trPr>
        <w:tc>
          <w:tcPr>
            <w:tcW w:w="5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35,187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32,736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110,264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97,568</w:t>
            </w:r>
          </w:p>
        </w:tc>
      </w:tr>
      <w:tr>
        <w:trPr>
          <w:trHeight w:val="20"/>
        </w:trPr>
        <w:tc>
          <w:tcPr>
            <w:tcW w:w="50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(4,066)</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(27,317)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r>
      <w:tr>
        <w:trPr>
          <w:trHeight w:val="20"/>
        </w:trPr>
        <w:tc>
          <w:tcPr>
            <w:tcW w:w="5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1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(26,865)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(5,141)</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120" w:type="dxa"/>
            <w:vAlign w:val="bottom"/>
            <w:gridSpan w:val="2"/>
          </w:tcPr>
          <w:p>
            <w:pPr>
              <w:ind w:left="9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(0.11)</w:t>
            </w:r>
          </w:p>
        </w:tc>
      </w:tr>
      <w:tr>
        <w:trPr>
          <w:trHeight w:val="20"/>
        </w:trPr>
        <w:tc>
          <w:tcPr>
            <w:tcW w:w="5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54,858,052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48,588,296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51,632,750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45,141,502</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820" w:type="dxa"/>
            <w:vAlign w:val="bottom"/>
          </w:tcPr>
          <w:p>
            <w:pPr>
              <w:spacing w:after="0"/>
              <w:rPr>
                <w:sz w:val="24"/>
                <w:szCs w:val="24"/>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10"/>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4"/>
                <w:szCs w:val="24"/>
                <w:color w:val="auto"/>
              </w:rPr>
            </w:pPr>
          </w:p>
        </w:tc>
        <w:tc>
          <w:tcPr>
            <w:tcW w:w="14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2020</w:t>
            </w: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50,446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495,523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(269,426)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226,147</w:t>
            </w:r>
          </w:p>
        </w:tc>
        <w:tc>
          <w:tcPr>
            <w:tcW w:w="0" w:type="dxa"/>
            <w:vAlign w:val="bottom"/>
          </w:tcPr>
          <w:p>
            <w:pPr>
              <w:spacing w:after="0"/>
              <w:rPr>
                <w:sz w:val="1"/>
                <w:szCs w:val="1"/>
                <w:color w:val="auto"/>
              </w:rPr>
            </w:pPr>
          </w:p>
        </w:tc>
      </w:tr>
      <w:tr>
        <w:trPr>
          <w:trHeight w:val="198"/>
        </w:trPr>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in a public offering, net of offering costs of</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$13,169</w:t>
            </w: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6,900</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193,824</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193,831</w:t>
            </w:r>
          </w:p>
        </w:tc>
        <w:tc>
          <w:tcPr>
            <w:tcW w:w="0" w:type="dxa"/>
            <w:vAlign w:val="bottom"/>
          </w:tcPr>
          <w:p>
            <w:pPr>
              <w:spacing w:after="0"/>
              <w:rPr>
                <w:sz w:val="1"/>
                <w:szCs w:val="1"/>
                <w:color w:val="auto"/>
              </w:rPr>
            </w:pPr>
          </w:p>
        </w:tc>
      </w:tr>
      <w:tr>
        <w:trPr>
          <w:trHeight w:val="198"/>
        </w:trPr>
        <w:tc>
          <w:tcPr>
            <w:tcW w:w="4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 options and</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198"/>
        </w:trPr>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portion of vested restricted stock units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(employee)</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(non-employee)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(ESPP)</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44"/>
        </w:trPr>
        <w:tc>
          <w:tcPr>
            <w:tcW w:w="4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3" w:name="page4"/>
    <w:bookmarkEnd w:id="3"/>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696,217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(273,550)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422,725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486,090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(246,685)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239,455</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in a public offering, net of offering costs of</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$13,169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193,824</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193,831</w:t>
            </w:r>
          </w:p>
        </w:tc>
        <w:tc>
          <w:tcPr>
            <w:tcW w:w="0" w:type="dxa"/>
            <w:vAlign w:val="bottom"/>
          </w:tcPr>
          <w:p>
            <w:pPr>
              <w:spacing w:after="0"/>
              <w:rPr>
                <w:sz w:val="1"/>
                <w:szCs w:val="1"/>
                <w:color w:val="auto"/>
              </w:rPr>
            </w:pP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 options and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Tax portion of vested restricted stock units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(employee)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(non-employee)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(ESPP)</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(26,865)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(26,865)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696,217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(273,550)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422,725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80" w:type="dxa"/>
            <w:vAlign w:val="bottom"/>
          </w:tcPr>
          <w:p>
            <w:pPr>
              <w:spacing w:after="0"/>
              <w:rPr>
                <w:sz w:val="24"/>
                <w:szCs w:val="24"/>
                <w:color w:val="auto"/>
              </w:rPr>
            </w:pPr>
          </w:p>
        </w:tc>
        <w:tc>
          <w:tcPr>
            <w:tcW w:w="230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5080" w:type="dxa"/>
            <w:vAlign w:val="bottom"/>
          </w:tcPr>
          <w:p>
            <w:pPr>
              <w:spacing w:after="0"/>
              <w:rPr>
                <w:sz w:val="19"/>
                <w:szCs w:val="19"/>
                <w:color w:val="auto"/>
              </w:rPr>
            </w:pPr>
          </w:p>
        </w:tc>
        <w:tc>
          <w:tcPr>
            <w:tcW w:w="23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462,689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(238,497)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224,240</w:t>
            </w:r>
          </w:p>
        </w:tc>
        <w:tc>
          <w:tcPr>
            <w:tcW w:w="0" w:type="dxa"/>
            <w:vAlign w:val="bottom"/>
          </w:tcPr>
          <w:p>
            <w:pPr>
              <w:spacing w:after="0"/>
              <w:rPr>
                <w:sz w:val="1"/>
                <w:szCs w:val="1"/>
                <w:color w:val="auto"/>
              </w:rPr>
            </w:pP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 options and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4,231</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Tax portion of vested restricted stock units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(employee)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(non-employee)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(ESPP)</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48,822</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470,202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(239,227)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231,024</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313,800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(234,086)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79,755</w:t>
            </w:r>
          </w:p>
        </w:tc>
        <w:tc>
          <w:tcPr>
            <w:tcW w:w="0" w:type="dxa"/>
            <w:vAlign w:val="bottom"/>
          </w:tcPr>
          <w:p>
            <w:pPr>
              <w:spacing w:after="0"/>
              <w:rPr>
                <w:sz w:val="1"/>
                <w:szCs w:val="1"/>
                <w:color w:val="auto"/>
              </w:rPr>
            </w:pP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in a public offering, net of offering costs of</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$9,208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137,842</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137,848</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 options and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11,139</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11,141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portion of vested restricted stock units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(employee)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(non-employee)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(ESPP)</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(5,141)</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470,202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(239,227)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231,024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8000" w:type="dxa"/>
            <w:vAlign w:val="bottom"/>
          </w:tcPr>
          <w:p>
            <w:pPr>
              <w:ind w:left="4840"/>
              <w:spacing w:after="0"/>
              <w:rPr>
                <w:sz w:val="20"/>
                <w:szCs w:val="20"/>
                <w:color w:val="auto"/>
              </w:rPr>
            </w:pPr>
            <w:r>
              <w:rPr>
                <w:rFonts w:ascii="Times New Roman" w:cs="Times New Roman" w:eastAsia="Times New Roman" w:hAnsi="Times New Roman"/>
                <w:sz w:val="18"/>
                <w:szCs w:val="18"/>
                <w:b w:val="1"/>
                <w:bCs w:val="1"/>
                <w:color w:val="auto"/>
              </w:rPr>
              <w:t>VERACYTE,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324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(26,865)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end-of-term debt obligation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Write-down of excess supplies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Revaluation of acquisition-related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foreign currency on operations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(10,445)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Supplies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(3,206)</w:t>
            </w:r>
          </w:p>
        </w:tc>
      </w:tr>
    </w:tbl>
    <w:p>
      <w:pPr>
        <w:sectPr>
          <w:pgSz w:w="11900" w:h="16864" w:orient="portrait"/>
          <w:cols w:equalWidth="0" w:num="1">
            <w:col w:w="11240"/>
          </w:cols>
          <w:pgMar w:left="320" w:top="140" w:right="339" w:bottom="0" w:gutter="0" w:footer="0" w:header="0"/>
        </w:sectPr>
      </w:pPr>
    </w:p>
    <w:bookmarkStart w:id="4" w:name="page5"/>
    <w:bookmarkEnd w:id="4"/>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(5,022)</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in a public offering,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137,848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long-term debt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 of finance lease liability</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taxes on vested restricted stock units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common stock options and employee stock purchases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185,763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117,667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345,683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196,265</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on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432"/>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r>
        <w:trPr>
          <w:trHeight w:val="324"/>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345,080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159,317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-1353820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-1362075</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Description of Business and Summary of Significant Accounting Policies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Veracyte, Inc., or Veracyte, or the Company, is a global genomic diagnostics company that improves patient care by providing answers to clinical questions to inform diagnosis and treatment decisions throughout the patient journey in cancer and other diseases. The Company’s growing menu of genomic tests leverage advances in genomic science and technology to change care for patients, enabling them to avoid risky, costly procedures and quicken time to appropriate treatment. With Veracyte’s exclusive global access to a best-in-class diagnostics instrument platform, the Company is positioned to deliver its tests to patients worldwide through laboratories and hospitals that can perform the tests locally.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Veracyte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offers genomic tests in four disease areas: thyroid cancer; lung cancer; idiopathic pulmonary fibrosis, or IPF, and breast cancer.</w:t>
      </w:r>
    </w:p>
    <w:p>
      <w:pPr>
        <w:spacing w:after="0" w:line="221" w:lineRule="exact"/>
        <w:rPr>
          <w:sz w:val="20"/>
          <w:szCs w:val="20"/>
          <w:color w:val="auto"/>
        </w:rPr>
      </w:pPr>
    </w:p>
    <w:p>
      <w:pPr>
        <w:jc w:val="both"/>
        <w:ind w:left="9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Thyroid Cancer - Afirma Genomic Sequencing Classifier and Xpression Atlas. </w:t>
      </w:r>
      <w:r>
        <w:rPr>
          <w:rFonts w:ascii="Times New Roman" w:cs="Times New Roman" w:eastAsia="Times New Roman" w:hAnsi="Times New Roman"/>
          <w:sz w:val="18"/>
          <w:szCs w:val="18"/>
          <w:color w:val="auto"/>
        </w:rPr>
        <w:t>The Company's Afirma offerings comprise the Afirma GSC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Xpression Atlas, which help guide next steps for patients with potentially cancerous thyroid nodules. The offerings are intended to provide physicians with clinically actionable results from a single fine needle aspiration, or FNA biopsy. The Afirma GSC was developed with RNA whole-transcriptome sequencing and machine learning, and is used to identify patients with benign thyroid nodules among those with indeterminate cytopathology results in order to rule out unnecessary thyroid surgery.</w:t>
      </w:r>
    </w:p>
    <w:p>
      <w:pPr>
        <w:spacing w:after="0" w:line="183"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Afirma Xpression Atlas complements the Afirma GSC by providing genomic alteration content from the same FNA samples used in Afirma GSC testing to help physicians decide with greater confidence on the surgical or therapeutic pathway for their patients. The Company commercially launched the Afirma Xpression Atlas in 2018 and in April 2020 introduced an expanded version of the test, which includes significantly more genomic content.</w:t>
      </w:r>
    </w:p>
    <w:p>
      <w:pPr>
        <w:spacing w:after="0" w:line="176" w:lineRule="exact"/>
        <w:rPr>
          <w:sz w:val="20"/>
          <w:szCs w:val="20"/>
          <w:color w:val="auto"/>
        </w:rPr>
      </w:pPr>
    </w:p>
    <w:p>
      <w:pPr>
        <w:jc w:val="both"/>
        <w:ind w:left="98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Lung Cancer - Percepta Genomic Sequencing Classifier. </w:t>
      </w:r>
      <w:r>
        <w:rPr>
          <w:rFonts w:ascii="Times New Roman" w:cs="Times New Roman" w:eastAsia="Times New Roman" w:hAnsi="Times New Roman"/>
          <w:sz w:val="18"/>
          <w:szCs w:val="18"/>
          <w:color w:val="auto"/>
        </w:rPr>
        <w:t>The Percepta classifier improves lung cancer diagnosis when diagnostic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bronchoscopy results are inconclusive. This second-generation test was developed using the Company's RNA whole-transcriptome sequencing and machine learning platform and was commercially introduced in June 2019. The Percepta classifier identifies patients with</w:t>
      </w:r>
    </w:p>
    <w:p>
      <w:pPr>
        <w:sectPr>
          <w:pgSz w:w="11900" w:h="16847" w:orient="portrait"/>
          <w:cols w:equalWidth="0" w:num="1">
            <w:col w:w="11240"/>
          </w:cols>
          <w:pgMar w:left="320" w:top="121" w:right="339" w:bottom="0" w:gutter="0" w:footer="0" w:header="0"/>
        </w:sectPr>
      </w:pPr>
    </w:p>
    <w:bookmarkStart w:id="5" w:name="page6"/>
    <w:bookmarkEnd w:id="5"/>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lung nodules who are at low risk of cancer and may avoid further, invasive procedures as well as patients at high risk of cancer so they may obtain faster diagnosis and treatment. The test is built upon foundational "field of injury" science - through which genomic changes associated with lung cancer in current and former smokers can be identified with a simple brushing of a person's airway - without the need to sample the often hard-to-reach nodule directly.</w:t>
      </w:r>
    </w:p>
    <w:p>
      <w:pPr>
        <w:spacing w:after="0" w:line="176" w:lineRule="exact"/>
        <w:rPr>
          <w:sz w:val="20"/>
          <w:szCs w:val="20"/>
          <w:color w:val="auto"/>
        </w:rPr>
      </w:pPr>
    </w:p>
    <w:p>
      <w:pPr>
        <w:jc w:val="both"/>
        <w:ind w:left="9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IPF - Envisia Genomic Classifier. </w:t>
      </w:r>
      <w:r>
        <w:rPr>
          <w:rFonts w:ascii="Times New Roman" w:cs="Times New Roman" w:eastAsia="Times New Roman" w:hAnsi="Times New Roman"/>
          <w:sz w:val="18"/>
          <w:szCs w:val="18"/>
          <w:color w:val="auto"/>
        </w:rPr>
        <w:t>The Envisia classifier improves diagnosis of idiopathic pulmonary fibrosis by helping physicians better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differentiate IPF from other interstitial lung diseases, or ILDs, without the need for surgery. The test identifies the genomic pattern of usual interstitial pneumonia, or UIP, a hallmark of IPF, with high accuracy on patient samples that are obtained through transbronchial biopsy, a nonsurgical procedure that is commonly used in lung evaluation.</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Breast Cancer - Prosigna Breast Cancer Prognostic Gene Signature Assay. </w:t>
      </w:r>
      <w:r>
        <w:rPr>
          <w:rFonts w:ascii="Times New Roman" w:cs="Times New Roman" w:eastAsia="Times New Roman" w:hAnsi="Times New Roman"/>
          <w:sz w:val="18"/>
          <w:szCs w:val="18"/>
          <w:color w:val="auto"/>
        </w:rPr>
        <w:t>The Prosigna test, acquired in December 2019 through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strategic transaction with NanoString Technologies, Inc., or NanoString, uses advanced genomic technology to inform next steps for patients with early-stage breast cancer, based on the genomic make-up of their disease. The test uses a set of 50 genes known as the PAM50 gene signature and can provide a breast cancer patient and physician with a prognostic score that indicates the probability of cancer recurrence over ten years. Physicians use Prosigna to help guide therapeutic decisions so that patients receive a therapeutic intervention, such as chemotherapy, only if clinically warranted. Patient test results outside of the United States include intrinsic breast cancer subtypes to complement the risk-of-recurrence score.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performs its genomic tests for thyroid cancer, lung cancer and IPF in its CLIA-certified laboratory in South San Francisco, California. In December 2019, the Company announced the acquisition from NanoString Technologies of the exclusive global diagnostics license to the nCounter Analysis System, or the nCounter system, and the Prosigna breast cancer prognostic gene signature assay, which is commercially available, and the LymphMark lymphoma subtyping assay, which is in development. Both tests are designed for use on the nCounter system. The Prosigna test kits and associated products are sold to laboratories and hospitals in global markets.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approach also provides multiple opportunities for partnerships with biopharmaceutical and diagnostic testing companies. In developing its products, the Company has built or gained access to unique biorepositories, proprietary technology and bioinformatics that it believes are important to the development of new targeted therapies, determining clinical trial eligibility and guiding treatment selection. Additionally, the Company believes that the nCounter system, with its ability to simultaneously analyze RNA, DNA or protein targets in up to 800 genes; its ease of use, and its need for minimal hands-on time, provides an attractive distributed platform for other diagnostic companies seeking to make their genomic tests available to international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September 30, 2020, the condensed consolidated statements of operations and comprehensive loss for the three and nine months ended September 30, 2020 and 2019, the condensed consolidated statements of stockholders' equity for the three and nine months ended September 30, 2020 and 2019, and the condensed consolidated statements of cash flows for the nine months ended September 30, 2020 and 2019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at December 31, 2019 has been derived from audited financial statements. The results for the three and nine months ended September 30, 2020 are not necessarily indicative of the results expected for the full year or any other period.</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current period presentation of the Company’s condensed consolidated financial statements and accompanying notes. Such reclassifications have no effect on previously reported results of operations, accumulated deficit, subtotals of operating, investing or financing cash flows or consolidated balance sheet totals; however, for the period ended September 30, 2019, the Company reclassified $810,000 of changes in operating assets and liabilities to noncash lease expense in the statement of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Items subject to such estimates include: revenue recognition; write-down of supplies; the useful lives of property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in a Public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7, 2020, the Company issued and sold 6,900,000 shares of common stock in a registered public offering, including 900,000 shares issued and sold upon the underwriters’ exercise in full of their option to purchase additional shares, at a price to the public of $30.00 per share. The Company's net proceeds from the offering were approximately $193.8 million, after deducting underwriting discounts and commissions and offering expenses of $13.2 million.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7, 2019, the Company issued and sold 6,325,000 shares of common stock in a registered public offering, including 825,000 shares issued and sold upon the underwriters’ exercise in full of their option to purchase additional shares, at a price to the public of $23.25 per share. The Company's net proceeds from the offering were approximately $137.8 million, after deducting underwriting discounts and commissions and offering expenses of $9.2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considers demand deposits in a bank, money market funds and highly liquid investments with an original maturity of 90 days or less to be cash equivalents. Cash equivalents include overnight reverse repurchase agreements which are tri-party repurchase agreements and have maturities of three months or less at the time of investment and are collateralized by U.S. treasury and agency securities of at least 102% of the principal amount. In a tri-party repurchase agreement, a third-party custodian bank functions as an independent intermediary to facilitate transfer of cash and holding the collateral on behalf of the underlying investor for the term of the agreement thereby minimizing risk and exposure to both parties. These overnight reverse repurchase agreements are included within cash equivalents due to their high liquidity and relatively low risk. There were no overnight reverse repurchase agreements at September 30,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July 2020, the Company invested $1.0 million in the preferred stock of MAVIDx, Inc., or MAVIDx, a company developing a diagnostic platform for infectious diseases testing. MAVIDx is a variable interest entity, or VIE, and the Company's investment is a variable interest. The Company has determined that it is not the primary beneficiary of the VIE due to the fact that the Company does not have the power to direct the activities that impact the economic performance of MAVIDx or the obligation to fund its operations with ongoing financial support or contributions. MAVIDx is a private company and its equity securities are not traded or quoted in any securities exchange or in the over-the-counter market, and therefore does not have a readily determinable fair value. As such, the Company has elected to measure its investment in the preferred stock at cost, less any impairment, plus or minus changes resulting from observable price changes in orderly transactions for an identical or similar equity financings of MAVIDx, in accordance with Accounting Standards Codification, or ASC 321, Investments—Equity Securities. As of September 30, 2020, the investment is recorded at $1.0 million, and is included in other assets in the condensed consolidated balance sheets. No indicators of impairment were identified as of September 30, 2020.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worldwide spread of coronavirus, or COVID-19, has created significant uncertainty in the global economy. There have been no comparable recent events that provide guidance as to the effect the spread of COVID-19 as a global pandemic may have, and, as a result, the ultimate impact of COVID-19 and the extent to which COVID-19 impacts the Company’s business, results of operations and financial condition will depend on future developments, which are highly uncertain and difficult to predict. If the financial markets or the overall economy are impacted for an extended period, the Company’s liquidity, revenues, supplies, goodwill and intangibles may be adversely affected. The Company considers the effects of COVID-19 pandemic in developing our estimates.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kits and test reagents, and the nCounter system and related diagnostic kits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collaboration revenue based on collection history, current developments and credit worthiness of the customer. The estimate of credit losses is not material at September 30,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September 30, 2020, most of the Company’s revenue has been derived from the sale of Afirma. To date, Afirma has been delivered primarily to physicians in the United States. The Company’s third-party payers and other customers in excess of 10% of total revenue and their related revenue as a percentage of total revenue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18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860" w:type="dxa"/>
            <w:vAlign w:val="bottom"/>
          </w:tcPr>
          <w:p>
            <w:pPr>
              <w:spacing w:after="0"/>
              <w:rPr>
                <w:sz w:val="20"/>
                <w:szCs w:val="20"/>
                <w:color w:val="auto"/>
              </w:rPr>
            </w:pPr>
          </w:p>
        </w:tc>
        <w:tc>
          <w:tcPr>
            <w:tcW w:w="2180" w:type="dxa"/>
            <w:vAlign w:val="bottom"/>
            <w:tcBorders>
              <w:bottom w:val="single" w:sz="8" w:color="auto"/>
            </w:tcBorders>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860" w:type="dxa"/>
            <w:vAlign w:val="bottom"/>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Medicare</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Johnson and Johnson Services, Inc.</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UnitedHealthcare</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8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8"/>
        </w:trPr>
        <w:tc>
          <w:tcPr>
            <w:tcW w:w="5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8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wp:posOffset>
            </wp:positionV>
            <wp:extent cx="33178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-107950</wp:posOffset>
            </wp:positionV>
            <wp:extent cx="33178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9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third-party payers and other customers in excess of 10% of accounts receivable and their related accounts receivable balance as a percentage of total accounts receivable were as follows at the following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2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Johnson and Johnson Services, Inc.</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UnitedHealthcare</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deposits of $603,000 included in long-term assets as of September 30, 2020 and December 31, 2019, restricted from withdrawal and held by a bank in the form of collateral for an irrevocable standby letter of credit held as security for the lease of the Company’s South San Francisco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testing revenue in accordance with the provisions of ASC 606, Revenue from Contracts with Customers, or ASC 606. Most of the Company’s revenue is generated from the provision of testing services. These services are completed upon the delivery of test results to the prescribing physician, at which time the Company bills for the services. The Company recognizes revenue related to billings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2020, the Company changed its revenue estimates due to actual and anticipated cash collections for tests delivered in prior quarters and recognized additional revenue of $0.3 million and $1.2 million for the three and nine months ended September 30, 2020, respectively. These adjustments resulted in decreases in the Company's loss from operations of $0.3 million and $1.2 million and a decrease in basic and diluted net loss per share of zero and $0.02 for the three and nine months ended September 30, 2020, respectively.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2019, the Company changed its revenue estimates due to actual and anticipated cash collections for tests delivered in prior quarters and recognized additional revenue of $0.1 million and $0.8 million for the three and nine months ended September 30, 2019, respectively. These adjustments resulted in decreases in the Company's loss from operations of $0.1 million and $0.8 million and a decrease in basic and diluted net loss per share of zero and $0.02 for the three and nine months ended September 30, 2019,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began recognizing product revenue in December 2019, when the Company executed an agreement with NanoString for the exclusive global license to the nCounter platform and acquisition of products for diagnostic use. More details on this agreement are in Note 4 - Business Combination.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Product revenue from instruments and diagnostic kits is recognized generally upon shipment or when the instrument is ready for use by the end customer, which is when title of the product has been transferred to the customer.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transferred control of a product to the customer, meaning the customer has the ability to use and obtain the benefit of the product. The Company recognizes product revenue for satisfied performance obligations only when there are no uncertainties regarding payment terms or transfer of control. Shipping and handling costs incurred for product shipments are charged to the Company's customers and included in product revenue. Revenues are presented net of the taxes that are collected from customers and remitted to governmental authorities and net of estimated return reserves, if any.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Biopharmaceutical and Collaboration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arrangements for research and development and/or laboratory services. Such arrangements may require the Company to deliver various rights, services and/or samples, including intellectual property rights/licenses, R&amp;D services, and/or laboratory services. The underlying terms of these arrangements generally provide for consideration to the Company in the form of nonrefundable upfront license fees, development and commercial performance milestone payments, royalty payments, and/or profit sharing.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Collaborative Arrangements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enters into collaborative arrangements with partners that fall under the scope of ASC Topic 808, Collaborative Arrangements, or ASC 808. While these arrangements are in the scope of ASC 808, the Company may analogize to ASC 606 for some aspects of these arrangements. The Company analogizes to ASC 606 for certain activities within the collaborative arrangement for the delivery of a good or service (i.e., a unit of account) that is part of its ongoing major or central operations.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of the Company’s collaborative arrangements typically include one or more of the following: (i) up-front fees; (ii) milestone payments related to the achievement of development, regulatory, or commercial goals; and (iii) royalties on net sales of licensed products. Each of these payments may result in collaboration revenues or an offset against research and development expense.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of data or other services to our customers are classified under biopharmaceutical revenue, and all other non-customer revenue are classified under collaboration revenue in our consolidated statements of operations and comprehensive loss. There was no collaboration revenue in the three and nine months ended September 30,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accounting for these arrangements,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probabilities of technical and regulatory success. The Company evaluates each performance obligation to determine if they can be satisfied at a point in time or over time, and it measures the services delivered to the collaborative partner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Up-front Fees: If a license to the Company’s intellectual property is determined to be distinct from the other performance obligations identified in the 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collaborative partner’s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collaborative partner’s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collaboration revenues and earnings in the period of adjustment.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 with Loxo Oncology</w:t>
      </w:r>
    </w:p>
    <w:p>
      <w:pPr>
        <w:spacing w:after="0" w:line="22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On April 9, 2018, the Company entered into an agreement with Loxo Oncology, Inc., or Loxo, whereby the Company agreed to provide certain tissue samples and other services in exchange for agreed-upon fees. The agreement has a term of one year that automatically renews each year for a one-year period, and Loxo may terminate the agreement at any time with at least 90 days' notice. As of September 30, 2020, the agreement has not been terminated. The Company evaluated the accounting for this agreement under ASC 606 and concluded the performance obligations thereunder are the delivery of tissue samples and performance of services, both of which are distinct. For the nine months ended September 30, 2019, the Company recognized revenue of $90,000 for the delivery of tissue samples. There were no deliveries of tissue samples for the nine months ended September 30, 2020. The Company recognized revenue of $0.3 million and $0.8 million for the performance of services for the three and nine months ended September 30, 2020, respectively. The cost of revenue associated with revenue recognized under the agreement with Loxo is not significant. There was no deferred revenue related to this agreement at either September 30, 2020 or December 31, 2019.</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Diagnostic Development Agreement with Johnson &amp; Johnson</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On December 28, 2018, the Company entered into a diagnostics development agreement with Johnson and Johnson Services, Inc., or JJSI, (i) to cooperate on a program to enable the Company to use JJSI samples and clinical data to develop a next generation bronchial genomic classifier diagnostic for lung cancer diagnosis, or Percepta v.2, and a nasal genomic classifier diagnostic for lung cancer and (ii) for JJSI to use Veracyte data generated in two Veracyte development programs for therapeutic purposes and for purposes of developing a companion diagnostic product used in conjunction with a JJSI therapeutic. The Company granted a license to JJSI with the right to use data and under the Company's intellectual property rights for JJSI's therapeutic purposes, including the development and commercialization of a companion diagnostic for its products, from the Percepta v.2 and Nasal programs. The license granted to JJSI is not distinct from other performance obligations as JJSI receives benefit only when other performance obligations are met.</w:t>
      </w:r>
    </w:p>
    <w:p>
      <w:pPr>
        <w:spacing w:after="0" w:line="19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agreement, the Company will provide data from its RNA whole-transcriptome sequencing platform to JJSI in exchange for $7.0 million in payments from JJSI. The Company is also entitled to additional payments from JJSI of up to $13.0 million, conditioned upon the achievement of certain milestones relating to the development and reimbursement of the Percepta v.2 and Nasal tests. For a period of ten years commencing with the first commercial sale of the Percepta v.2 and Nasal tests, respectively, the Company will make payments to JJSI of one percent of net cash collections for Percepta v.2 and in the low-single digits of net cash collections for the Nasal test, depending on the number and timing of JJSI samples and associated clinical data the Company receives from JJSI. On December 18, 2019, this agreement was amended for the Company to provide further data in exchange for additional consideration, most of which the Company provided during the nine months ended September 30, 2020 and recognized $1.5 million of revenue.</w:t>
      </w:r>
    </w:p>
    <w:p>
      <w:pPr>
        <w:spacing w:after="0" w:line="19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The JJSI agreement is considered to be within the scope of ASC 808, as the parties are active participants and exposed to the risks and rewards of the collaborative activity. The Company evaluated the terms of the JJSI agreement and has analogized to ASC 606 for the delivery of RNA whole-transcriptome sequencing data to JJSI under the collaborative arrangement, which the Company believes is a distinct service for which JJSI meets the definition of a customer. Using the concepts of ASC 606, the Company has identified the delivery of data as its only performance obligation. The Company further determined that the transaction price under the arrangement was the $7.0 million in payments which was allocated to the obligation to deliver data. The $13.0 million in future potential payments is considered variable consideration because the Company determined that the potential payments are contingent upon regulatory and commercialization milestones that are uncertain to occur and, as such, were not included in the transaction price, and will be recognized accordingly as each potential payment becomes probable.</w:t>
      </w:r>
    </w:p>
    <w:p>
      <w:pPr>
        <w:spacing w:after="0" w:line="19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recognized revenue of $0.3 million and $1.5 million for three and nine months ended September 30, 2020, respectively, for the provision of data relating to the Nasal program. For the three and nine months ended September 30, 2019, the Company recognized revenue of $2.0 million and $7.0 million, respectively, for the provision of data relating to Percepta v.2 and the Nasal test, classified under biopharmaceutical revenue in the condensed consolidated statement of operations and comprehensive loss. In addition, the Company recognized revenue of $2.0 million and $4.0 million for fulfillment of obligations relating to Percepta v.2 development milestones during the three and nine months ended September 30, 2019, respectively. Accounts receivable from JJSI was $0.8 million at September 30, 2020 and $2.0 million at December 31, 2019. There was no deferred revenue related to this agreement at September 30, 2020 and December 31, 2019.</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AstraZeneca Group</w:t>
      </w:r>
    </w:p>
    <w:p>
      <w:pPr>
        <w:spacing w:after="0" w:line="22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On December 23, 2019, the Company entered into an agreement with Acerta Pharma B.V., or Acerta, a member of AstraZeneca Group whereby the Company agreed to provide genomic information that will support Acerta’s development of oncology therapeutics. Acerta will pay the Company for certain development activities and pay milestones to the Company for the achievement of development milestones. For the three and nine months ended September 30, 2020, the Company recognized $0.3 million and $0.7 million, respectively, of revenue for certain development activities and zero and $1.0 million, respectively, for the achievement of development milestones. Accounts receivable from Acerta was $0.5 million at September 30, 2020.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 Development Agreement with CareDx</w:t>
      </w:r>
    </w:p>
    <w:p>
      <w:pPr>
        <w:spacing w:after="0" w:line="22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On May 13, 2020, the Company entered into a commercial development agreement with CareDx, Inc., or CareDx, under which the Company provided to CareDx the right to develop and commercialize solid organ transplant-rejection tests on the nCounter platform in exchange for a $1.0 million upfront payment, and is entitled to additional payments from CareDx of up to $4.5 million, conditioned upon the achievement of commercial milestones. The Company will also provide certain development support services to CareDx in exchange for $0.5 million. For the three and nine months ended September 30, 2020, the Company recognized zero and $1.0 million, respectively, as biopharmaceutical revenue for the upfront payment as the Company has no remaining performance obligations. There was no accounts receivable from CareDx at September 30,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components of our cost of testing services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 Cost of testing revenue for the nine months ended September 30, 2020 included a $1.1 million write-down of supplies for the potential expiration of reagents due to an anticipated decline in volumes resulting from the COVID-19 pandemic.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product revenue consists primarily of costs of purchasing instruments and diagnostic kits from third-party contract manufacturers, installation, service and packaging and delivery costs. In addition, cost of product includes royalty costs for licensed technologies included in the Company’s products and labor expenses. Cost of product revenue for instruments and diagnostic kits is recognized in the period the related revenue is recognized. Shipping and handling costs incurred for product shipments are included in cost of product in the condensed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biopharmaceutical revenue consists of costs of performing activities under arrangements that require the Company to perform research and development services on behalf of a customer pursuant to a biopharmaceutical service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 This ASU requires entities to estimate an expected lifetime credit loss on financial assets ranging from short-term trade accounts receivable to long-term financings and report credit losses using an expected losses model rather than the incurred losses model that was previously used, and establishes additional disclosures related to credit risks. This guidance became effective for the Company beginning January 1, 2020. Based on the composition of its trade receivables, investment portfolio and other financial assets, current economic conditions and historical credit loss activity, the adoption of this standard did not have a material impact on the Company's condensed consolidated financial statements and related disclosures.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w:t>
      </w:r>
      <w:r>
        <w:rPr>
          <w:rFonts w:ascii="Times New Roman" w:cs="Times New Roman" w:eastAsia="Times New Roman" w:hAnsi="Times New Roman"/>
          <w:sz w:val="18"/>
          <w:szCs w:val="18"/>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The Company adopted this ASU in 2019 with no cumulative-effect adjustments or retrospective impact.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Implementation Costs Incurred in a Cloud Computing Arrangement That Is a Service Contract</w:t>
      </w:r>
      <w:r>
        <w:rPr>
          <w:rFonts w:ascii="Times New Roman" w:cs="Times New Roman" w:eastAsia="Times New Roman" w:hAnsi="Times New Roman"/>
          <w:sz w:val="18"/>
          <w:szCs w:val="18"/>
          <w:color w:val="auto"/>
        </w:rPr>
        <w:t>. This standard clarifies the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in cloud computing arrangements. This standard became effective for the Company on January 1, 2020 and was adopted on a prospective basis with no material impact on the Company's condensed consolidated financial statements.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or ASU 2018-13. ASU 2018-13 removed the following disclosure requirements: (1) the amount of and reasons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transfers between 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and loss for recurring Level 3 fair value measurements held at the end of the reporting period;</w:t>
      </w:r>
    </w:p>
    <w:p>
      <w:pPr>
        <w:spacing w:after="0" w:line="1" w:lineRule="exact"/>
        <w:rPr>
          <w:sz w:val="20"/>
          <w:szCs w:val="20"/>
          <w:color w:val="auto"/>
        </w:rPr>
      </w:pPr>
    </w:p>
    <w:p>
      <w:pPr>
        <w:jc w:val="both"/>
        <w:ind w:firstLine="8"/>
        <w:spacing w:after="0" w:line="25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2018-13 became effective for the Company beginning January 1, 2020 and the adoption of ASU 2018-13 did not have a material impact on the Company’s condensed consolidated financial statements. For the disclosures regarding the Company’s Level 3 fair value measurements, see Note 5, Fair Value Measurements to these condensed consolidated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Loss Per Common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subject to outstanding options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4,492,414</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5,299,296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4,691,424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5,562,611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15,673</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51,253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20,151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32,272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891,087</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780,914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929,968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691,647</w:t>
            </w:r>
          </w:p>
        </w:tc>
      </w:tr>
      <w:tr>
        <w:trPr>
          <w:trHeight w:val="20"/>
        </w:trPr>
        <w:tc>
          <w:tcPr>
            <w:tcW w:w="598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5,399,174</w:t>
            </w: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6,131,463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5,641,543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6,286,530</w:t>
            </w: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42"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rPr>
              <w:t>VERACYTE,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Notes to Financial Statements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Accrued Liabilities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3, 2019, the Company executed an agreement with NanoString for the exclusive global diagnostics license to the nCounter Analysis System, and the acquisition of the Prosigna breast cancer prognostic gene signature assay, and the LymphMark lymphoma subtyping assay. The strategic transaction positions the Company to expand its genomic diagnostics business globally, with the ability to deliver its advanced genomic tests to physicians and their patients via hospital and clinical laboratories throughout the European Union and other parts of the world. The Company has accounted for this agreement under ASC 805, Business Combinations. Pursuant to the terms of the agreement, Veracyte paid NanoString $40.0 million in cash and $10.0 million in Veracyte common stock, and may pay up to an additional $10.0 million in cash, contingent upon the commercial launch of Veracyte diagnostic tests for use on the platform. This contingency was valued at $6.1 million as of the acquisition date and as of December 31, 2019, recorded as a liability, and will be remeasured to fair value at each reporting date until the contingent consideration is settled. As of September 30, 2020, this contingency was remeasured to $6.4 million with the corresponding change included in general and administrative expense in the Company's condensed consolidated statements of operations and comprehensive loss.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Assets acquired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the resulting amount of goodwill. The following table summarizes the fair values of assets acquired and liabilities assumed at the date of acquisition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Prosigna product technology</w:t>
            </w:r>
          </w:p>
        </w:tc>
        <w:tc>
          <w:tcPr>
            <w:tcW w:w="37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Prosigna customer relationships</w:t>
            </w:r>
          </w:p>
        </w:tc>
        <w:tc>
          <w:tcPr>
            <w:tcW w:w="3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nCounter Dx license</w:t>
            </w:r>
          </w:p>
        </w:tc>
        <w:tc>
          <w:tcPr>
            <w:tcW w:w="3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46,880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LymphMark product technology</w:t>
            </w:r>
          </w:p>
        </w:tc>
        <w:tc>
          <w:tcPr>
            <w:tcW w:w="3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8"/>
                <w:szCs w:val="18"/>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intangible assets acquired</w:t>
            </w:r>
          </w:p>
        </w:tc>
        <w:tc>
          <w:tcPr>
            <w:tcW w:w="3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54,420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18"/>
                <w:szCs w:val="18"/>
                <w:color w:val="auto"/>
              </w:rPr>
            </w:pPr>
          </w:p>
        </w:tc>
      </w:tr>
      <w:tr>
        <w:trPr>
          <w:trHeight w:val="25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Identifiable acquisition-related intangibles included in the above table are finite-lived and are being amortized on a straight-line basis over their estimated lives, which approximates the pattern in which the economic benefits of the intangible assets are expected to be realized,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Estimated Useful</w:t>
            </w:r>
          </w:p>
        </w:tc>
      </w:tr>
      <w:tr>
        <w:trPr>
          <w:trHeight w:val="238"/>
        </w:trPr>
        <w:tc>
          <w:tcPr>
            <w:tcW w:w="9680" w:type="dxa"/>
            <w:vAlign w:val="bottom"/>
          </w:tcPr>
          <w:p>
            <w:pPr>
              <w:spacing w:after="0"/>
              <w:rPr>
                <w:sz w:val="20"/>
                <w:szCs w:val="20"/>
                <w:color w:val="auto"/>
              </w:rPr>
            </w:pPr>
          </w:p>
        </w:tc>
        <w:tc>
          <w:tcPr>
            <w:tcW w:w="1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life (In Years)</w:t>
            </w:r>
          </w:p>
        </w:tc>
        <w:tc>
          <w:tcPr>
            <w:tcW w:w="100" w:type="dxa"/>
            <w:vAlign w:val="bottom"/>
          </w:tcPr>
          <w:p>
            <w:pPr>
              <w:spacing w:after="0"/>
              <w:rPr>
                <w:sz w:val="20"/>
                <w:szCs w:val="20"/>
                <w:color w:val="auto"/>
              </w:rPr>
            </w:pP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Prosigna product technology</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Prosigna customer relationships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nCounter Dx license</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LymphMark product technology</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bl>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intangible assets acquired. This acquisition includes $1.7 million of goodwill which the Company believes consists principally of the organized workforce that will help the Company execute its strategic plans in relation to the assets acquired. In accordance with ASC 350, goodwill will not be amortized but will be tested for impairment at least annually. As of September 30, 2020, goodwill is not deductible for tax purposes, however, if contingent consideration is paid at a future date, the portions of contingent consideration paid and allocated to the intangible assets for tax purposes will be tax deductible. The accounting for this acquisition is preliminary and will be finalized upon completion of the analysis of certain contracts acquired and executed as part of this acquisition along with the impact on goodwill, should there be any.</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7"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includes money market funds, overnight reverse repurchase agreements and a deposit for the lease of the Company's South San Francisco facility. Money market funds, included in cash and cash equivalents in the accompanying condensed consolidated balance sheets, were $343.4 million and $57.6 million as of September 30, 2020 and December 31, 2019, respectively, and are Level I assets as described above. Overnight reverse repurchase agreements, included in cash and cash equivalents in the accompanying condensed consolidated balance sheets, were zero and $100.0 million as of September 30, 2020 and December 31, 2019, respectively, and are Level II assets as described above. There were no unrealized gains or losses from overnight reverse repurchase agreements at September 30, 2020 and December 31, 2019. The deposit for the lease, included in restricted cash in the accompanying condensed consolidated balance sheets, was $603,000 as of September 30, 2020 and December 31, 2019, and is a Level I asset as described above.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fair value of the contingent consideration in Note 4, Business Combination, associated with the agreement with NanoString on December 3, 2019, includes inputs that are not observable in the market and thus represent a Level III financial liability. The estimation of the fair value of the contingent consideration is based on the present value of the expected payments calculated by assessing the likelihood of when the related milestones would be achieved, discounted using the Company's estimated borrowing rate. These estimates form the basis for making judgments about the carrying value of the contingent consideration that are not readily apparent from other sources. Changes to the forecasts for the achievement of the milestones and the estimates of the borrowing rate can significantly affect the estimated fair value of the contingent consideration. As of September 30, 2020, the achievement of the milestones is not forecasted to occur within the next 12 months. As a result, the contingent consideration is included in long term liabilities in the condensed consolidated balance sheets. As of September 30, 2020, the Company calculated the estimated fair value of the milestones using the following significant unobservable inputs: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or Range</w:t>
            </w:r>
          </w:p>
        </w:tc>
      </w:tr>
      <w:tr>
        <w:trPr>
          <w:trHeight w:val="238"/>
        </w:trPr>
        <w:tc>
          <w:tcPr>
            <w:tcW w:w="9100" w:type="dxa"/>
            <w:vAlign w:val="bottom"/>
            <w:tcBorders>
              <w:bottom w:val="single" w:sz="8" w:color="auto"/>
            </w:tcBorders>
          </w:tcPr>
          <w:p>
            <w:pPr>
              <w:ind w:left="38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1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2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50% - 100% (80%)</w:t>
            </w:r>
          </w:p>
        </w:tc>
      </w:tr>
      <w:tr>
        <w:trPr>
          <w:trHeight w:val="657"/>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The Company had deposits of $603,000 included in long-term assets as of September 30, 2020 and December 31, 2019, restricted from withdrawal and held by a bank in the form of collateral for an irrevocable standby letter of credit held as security for the lease of the South San Francisco facility.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leases laboratory and office space in Austin, Texas under a lease that expires in January 2029 and includes options for expansion and early termination in 2025. The Company provided a cash security deposit for this lease of $139,000, included in other assets in the Company’s condensed consolidated balance sheets as of September 30, 2020 and December 31, 2019.</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September 30, 2020 are as follows (in thousands of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6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38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2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2,401</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2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2,472</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2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2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2,614</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tcPr>
          <w:p>
            <w:pPr>
              <w:spacing w:after="0"/>
              <w:rPr>
                <w:sz w:val="18"/>
                <w:szCs w:val="18"/>
                <w:color w:val="auto"/>
              </w:rPr>
            </w:pPr>
          </w:p>
        </w:tc>
      </w:tr>
      <w:tr>
        <w:trPr>
          <w:trHeight w:val="210"/>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14,845</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3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Pr>
          <w:p>
            <w:pPr>
              <w:spacing w:after="0"/>
              <w:rPr>
                <w:sz w:val="18"/>
                <w:szCs w:val="18"/>
                <w:color w:val="auto"/>
              </w:rPr>
            </w:pPr>
          </w:p>
        </w:tc>
      </w:tr>
      <w:tr>
        <w:trPr>
          <w:trHeight w:val="209"/>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3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11,873</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short-term lease liabilities</w:t>
            </w:r>
          </w:p>
        </w:tc>
        <w:tc>
          <w:tcPr>
            <w:tcW w:w="33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18"/>
                <w:szCs w:val="18"/>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Operating lease expense was $0.5 million for each of the three months ended September 30, 2020 and 2019 and $1.4 million for each of the nine months ended September 30, 2020 and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The Company assesses contingencies to determine the degree of probability and range of possible loss for potential accrual in its condensed consolidated financial statements. An estimated loss contingency is accrued in the financial statements if it is probable that a liability has been incurred and the amount of the loss can be reasonably estimated. The Company believes there is no legal proceeding pending that could have, either individually or in the aggregate, a material adverse effect on the Company’s condensed consolidated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3, 2017, the Company entered into a loan and security agreement, or Loan and Security Agreement, with Silicon Valley Bank. The Loan and Security Agreement allows the Company to borrow up to $35.0 million, with a $25.0 million advance term loan, or Term Loan Advance, and a revolving line of credit of up to $10.0 million, or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September 30, 2020.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Loan Advance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The average Term Loan Advance interest rate for the nine months ended September 30, 2020 was 5.5%.</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prepay the outstanding principal amount under the Term Loan Advance plus accrued and unpaid interest and, if the Term Loan Advance is repaid in full, a prepayment premium. The prepayment premium will be (i) $750,000 if prepayment is made prior to November 3, 2018, (ii) $500,000 if the prepayment is made after November 3, 2018 but on or before November 3, 2019, or (iii) $250,000 if the prepayment is made after November 3, 2019. In January 2019, May 2019 and August 2020, the Company prepaid $12.5 million, $12.4 million and $0.1 million, respectively, of the principal amount of the Term Loan Advance. These prepayments did not trigger any prepayment premium because they were partial, not full, repayments of the principal amount.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such as a material adverse change in the Company's business, operations or financial condition,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The Company’s obligations under the Loan and Security Agreement are secured by substantially all of its assets (excluding intellectual property), subject to certain customary exceptions. The Loan and Security Agreement also requires the Company to achieve certain revenue levels tested quarterly on a trailing twelve-month basis. However, failure to maintain the revenue levels will not be considered a default if the sum of the Company’s unrestricted cash and cash equivalents maintained with Silicon Valley Bank and amount available under the Revolving Line of Credit is at least $40.0 million. As of September 30, 2020, the Company was in compliance with the loan covenants.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debt obligation for borrowings made under the Loan and Security Agreement was as follows (in thousands of dollars):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principal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End-of-term debt obligation</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obligation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2020, the principal balance outstanding was one dollar. Future principal and end-of-term debt obligation payments under the Loan and Security Agreement are $1.2 million and due in 2022.</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end-of-term debt obligation accretes over the term of the Loan and Security Agreement until maturity and is included in interest expense in the Company's condensed consolidated statements of operations and comprehensive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and restricted stock units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1280"/>
        <w:spacing w:after="0" w:line="271" w:lineRule="auto"/>
        <w:rPr>
          <w:sz w:val="20"/>
          <w:szCs w:val="20"/>
          <w:color w:val="auto"/>
        </w:rPr>
      </w:pPr>
      <w:r>
        <w:rPr>
          <w:rFonts w:ascii="Times New Roman" w:cs="Times New Roman" w:eastAsia="Times New Roman" w:hAnsi="Times New Roman"/>
          <w:sz w:val="18"/>
          <w:szCs w:val="18"/>
          <w:color w:val="auto"/>
        </w:rPr>
        <w:t>Stock options and restricted stock units available for grant under stock option plans Common stock available for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Thyroid Cytopathology Partners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r>
      <w:tr>
        <w:trPr>
          <w:trHeight w:val="191"/>
        </w:trPr>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5,279,277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5,562,484</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3,036,308</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1,954,804</w:t>
            </w:r>
          </w:p>
        </w:tc>
      </w:tr>
      <w:tr>
        <w:trPr>
          <w:trHeight w:val="234"/>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1,571,395</w:t>
            </w:r>
          </w:p>
        </w:tc>
        <w:tc>
          <w:tcPr>
            <w:tcW w:w="18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173,168</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9,886,980</w:t>
            </w:r>
          </w:p>
        </w:tc>
        <w:tc>
          <w:tcPr>
            <w:tcW w:w="1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7,690,456</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43"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line="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an agreement with a specialized pathology practice, Thyroid Cytopathology Partners, or TCP, to provide testing services to the Company (the TCP Agreement). The TCP Agreement is effective through October 31, 2022, and thereafter automatically renews every year unless either party provides notice of intent not to renew at least 12 months prior to the end of the then-current term. Under the TCP Agreement, the Company pays TCP based on a fixed price per test schedule which is reviewed periodically for changes in market pricing, and the TCP Agreement included a clause allowing TCP to sublease a portion of the Company's facility in Austin, Texas. The Company does not have an ownership interest in or provide any form of financial or other support to TCP. The Company previously concluded that TCP represented a variable interest entity as a result of the facility arrangement clause, but that the Company was not the primary beneficiary as it did not have the ability to direct the activities that most significantly impacted TCP's economic performance, and therefore did not consolidate TCP. On February 14, 2019, the TCP Agreement was amended to remove the facility clause. Accordingly, the Company believes TCP was no longer a variable interest entity as of that date.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TCP's portion of rent and related operating expenses reimbursed to the Company for the shared space at the Austin, Texas facility was $11,000 for the nine months ended September 30, 2019, and is included in other income, net in the Company’s condensed consolidated statements of operations and comprehensive loss.</w:t>
      </w:r>
    </w:p>
    <w:p>
      <w:pPr>
        <w:sectPr>
          <w:pgSz w:w="11900" w:h="16838" w:orient="portrait"/>
          <w:cols w:equalWidth="0" w:num="1">
            <w:col w:w="11240"/>
          </w:cols>
          <w:pgMar w:left="320" w:top="121" w:right="339" w:bottom="1440" w:gutter="0" w:footer="0" w:header="0"/>
          <w:type w:val="continuous"/>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record a provision or benefit for income taxes during the three and nine months ended September 30, 2020 and 2019. The Company continues to maintain a full valuation allowance against its net deferred tax assets.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enacted in response to the COVID-19 pandemic. The Company does not expect the provisions of the legislation to have a significant impact on the effective tax rate, the results of operations or the financial position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condensed consolidated financial statements and the related notes included in Item 1 of Part I of this Quarterly Report on Form 10-Q, and with our audited financial statements and the related notes included in our Annual Report on Form 10-K for the year ended December 31, 2019.</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the impact of the COVID-19 pandemic on our business and the U.S. and global economies; our expectations regarding the return to pre-COVID-19 volume and revenue levels; our beliefs with respect to the optimization of our processes for the analysis of ribonucleic acid, or RNA, samples; our integration of the assets acquired from NanoString Technologies, Inc.; our ability to deploy the nCounter Analysis System successfully and run our tests on this platform worldwide; our beliefs with respect to the optimization of our processes for the analysis of ribonucleic acid, or RNA, samples; our collaboration with Johnson &amp; Johnson Services, Inc.; our belief in the importance of maintaining libraries of clinical evidence; our expectations regarding the nasal swab classifier for early lung cancer detection, the Percepta Lung Cancer Atlas, the Envisia classifier on the nCounter system and the LymphMark lymphoma subtyping test; our expectations regarding our diagnostic company partnerships with CareDx, Inc. and MAVIDx, Inc.; our ability to have the targeted Atlas platform transferred to our pulmonology indications; our expectations regarding the Percepta Lung Cancer Atlas;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Veracyte, Afirma, Percepta, Envisia, Prosigna, "Know by Design" and the Veracyte, Afirma, Percepta, Envisia and Prosigna logos are registered trademarks in the U.S. and selected countries. We have common law rights and pending trademark applications for LymphMark and “More About You.” We also refer to trademarks of other corporations or organizations in this report.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global genomic diagnostics company that improves patient care by answering important clinical questions to inform diagnosis and treatment decisions throughout the patient journey in cancer and other diseases. Our growing menu of genomic tests leverage advances in genomic science and technology to change care for patients, enabling them to avoid risky, costly procedures and quicken time to appropriate treatment. With Veracyte’s exclusive global access to what we believe is a best-in-class diagnostics instrument platform, we are positioned to deliver our tests to patients worldwide through laboratories and hospitals that can perform the tests locally.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perform our genomic tests for thyroid cancer, lung cancer and interstitial lung diseases, or ILDs, including idiopathic pulmonary fibrosis, or IPF, in our CLIA-certified laboratory in South San Francisco, California. In December 2019, we announced an exclusive global diagnostics license to the nCounter® Analysis System from NanoString Technologies, as well as the acquisition of the Prosigna® breast cancer prognostic gene signature assay, which is commercially available, and the LymphMark™ lymphoma subtyping assay, which is in development. Both tests are designed for use on the nCounter system. We believe this strategic transaction positions us to expand our business globally with a broad menu of advanced genomic tests that may be offered as distributed kits and performed in local laboratories worldwide. We believe our current and pipeline products address a collective global market of over $40 billion.</w:t>
      </w:r>
    </w:p>
    <w:p>
      <w:pPr>
        <w:sectPr>
          <w:pgSz w:w="11900" w:h="16873" w:orient="portrait"/>
          <w:cols w:equalWidth="0" w:num="1">
            <w:col w:w="11240"/>
          </w:cols>
          <w:pgMar w:left="320" w:top="1062" w:right="339" w:bottom="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genomic classifiers are designed to improve diagnostic and prognostic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indications, diagnosis can be ambiguous in 15-70% of cases. This diagnostic uncertainty can lead to additional, invasive procedures that are often unnecessary, delayed or incorrect treatment, increased healthcare costs and patient anxiety.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design our tests to improve patient care and outcomes, while delivering clinical and economic utility to physicians, payers and the healthcare system in general. We also position our tests to fit into the way physicians currently evaluate patients in order to facilitate adoption.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develop our genomic tests using advanced scientific methods, such as RNA whole-transcriptome sequencing and machine learning, and then optimize the assay and classifier results for the platform on which the test will be performed. Historically, that platform utilized RNA sequencing methods and been performed in our CLIA lab. Beginning in 2021, we expect to adapt our tests for multiplex analysis on the nCounter platform for international distribution of our tests as well.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our powerful scientific platform provides multiple vectors to create value for patients, providers and payers, as well as stockholders, and to help advance precision medicine:</w:t>
      </w:r>
    </w:p>
    <w:p>
      <w:pPr>
        <w:spacing w:after="0" w:line="162" w:lineRule="exact"/>
        <w:rPr>
          <w:sz w:val="20"/>
          <w:szCs w:val="20"/>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Biorepositories - When we develop new tests, we build extensive, robust biorepositories of patient-consented samples and well-curated clinical, radiological, outcome and other information from Institutional Review Board-approved clinical trials to inform our discovery efforts. Our biorepositories are designed to encompass the broad spectrum of disease that our tests may encounter when used in clinical practice, as well as the wide range of conditions associated with patients who are suspected of having a particular disease. We extract extensive genomic information from these patient samples using our RNA whole-transcriptome sequencing platform.</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 and Bioinformatics - 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or at the time of diagnosis to inform therapeutic selection.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High-Performing Commercial Genomic Tests – With the exception of Prosigna, which competes with a first-to-market test in a highly competitive environment, our genomic tests generally serve large, untapped markets where they are changing the diagnostic and treatment paradigm for patients. We believe the nCounter platform affords us the opportunity to adapt our test menu for multiple markets globally, providing flexibility for a global distributed testing model and potentially increased efficiency in our United States-based CLIA lab. Regardless of the testing platform used for diagnosis, our RNA sequencing platform enables us to offer testing from our CLIA lab for a broad range of gene alterations, which can inform treatment decisions at the time of diagnosis.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our ability to leverage RNA whole-transcriptome sequencing data in large biorepositories of patient-consented samples in oncology and other indications presents an opportunity for biopharmaceutical companies to enhance their research and development capabilities. In April 2018, we announced a collaboration with Loxo Oncology (now a wholly owned subsidiary of Eli Lilly and Company) to advance its development of highly selective medicines for patients with genetically defined cancers, including thyroid cancer. In December 2018, we entered into a long-term strategic collaboration with Johnson &amp; Johnson Innovation and the Lung Cancer Initiative at Johnson &amp; Johnson to advance the development and commercialization of novel diagnostic tests to detect lung cancer at its earliest stages, when the disease is most treatable. The collaboration builds upon foundational "field of injury" science whereby genomic changes associated with lung cancer can be identified with a simple brushing of a person's airway to develop new interventions that can save lives. Additionally, in January 2020, we announced an agreement with Acerta Pharma, the hematology research and development arm of AstraZeneca, to provide genomic information that will support its development of oncology therapeutics in lymphoma.</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collaboration with the Lung Cancer Initiative at Johnson &amp; Johnson has helped accelerate two of our key lung cancer programs: (i) commercialization of the Percepta GSC on our RNA whole-transcriptome sequencing platform, and (ii) development of the first non-invasive nasal swab test for early lung cancer diagnosis. We began making the Percepta GSC available to customers in June 2019. In October 2019, we announced preliminary data for our nasal swab classifier, which demonstrated the test’s potential to identify patients at low risk of lung cancer so they can potentially avoid unnecessary procedures and those at high risk so they can receive prompt diagnosis and treatment.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published evidence supporting our tests demonstrates the robustness of our science and clinical studies, which we believe is key to driving adoption and reimbursement. Patients and physicians can access our full list of publications on our website. Over 50 clinical studies covering our products have been published, including three landmark clinical validation papers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for the Afirma and Percepta classifiers, respectively, and in </w:t>
      </w:r>
      <w:r>
        <w:rPr>
          <w:rFonts w:ascii="Times New Roman" w:cs="Times New Roman" w:eastAsia="Times New Roman" w:hAnsi="Times New Roman"/>
          <w:sz w:val="18"/>
          <w:szCs w:val="18"/>
          <w:i w:val="1"/>
          <w:iCs w:val="1"/>
          <w:color w:val="auto"/>
        </w:rPr>
        <w:t>The Lancet Respiratory Medicine</w:t>
      </w:r>
      <w:r>
        <w:rPr>
          <w:rFonts w:ascii="Times New Roman" w:cs="Times New Roman" w:eastAsia="Times New Roman" w:hAnsi="Times New Roman"/>
          <w:sz w:val="18"/>
          <w:szCs w:val="18"/>
          <w:color w:val="auto"/>
        </w:rPr>
        <w:t xml:space="preserve"> for the Envisia classifier. We continue to build upon our extensive library of clinical evidence.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our focus on developing clinically useful tests that change patient care is enabling us to set new standards in genomic test reimbursement. Our genomic classifiers in thyroid cancer, lung cancer and IPF, as well as the Prosigna breast cancer assay are covered by Medicare. Our Afirma classifier, for use in thyroid cancer diagnosis, is now covered by every major health plan in the United States, which collectively insure more than 275 million people. We are contracted as an in-network service provider to health plans representing over 225 million people in the United States. We believe that our in-network status with private payers will help facilitate private insurer reimbursement for our Percepta and Envisia classifiers. The Prosigna test is covered by leading private payers in the United States and is widely reimbursed by government and private payers in the countries where it is available.</w:t>
      </w:r>
    </w:p>
    <w:p>
      <w:pPr>
        <w:spacing w:after="0" w:line="18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We also expect to continue expanding our offerings in thyroid cancer, lung cancer, ILDs such as IPF, breast cancer and lymphoma, as well as other indications that we believe will benefit from our technology and approach. Our product development pipelines address what we believe to be significant market opportunities for addressing clinical questions in early detection, diagnosis, staging/prognosis, therapy selection/surgery and disease monitoring across the aforementioned indications. We plan to commercially introduce four products in 2021: Our nasal swab classifier for early lung cancer diagnosis and our Percepta Atlas, which, together with the Percepta GSC, form a comprehensive lung cancer portfolio that we believe is poised to disrupt lung cancer</w:t>
      </w:r>
    </w:p>
    <w:p>
      <w:pPr>
        <w:sectPr>
          <w:pgSz w:w="11900" w:h="16838" w:orient="portrait"/>
          <w:cols w:equalWidth="0" w:num="1">
            <w:col w:w="11240"/>
          </w:cols>
          <w:pgMar w:left="320" w:top="337" w:right="339" w:bottom="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diagnosis; our Envisia classifier on the nCounter system for expansion into global markets; and, if the FDA grants our De Novo classification request, our LymphMark lymphoma subtyping test.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Additionally, since the beginning of the second quarter of 2020 we announced our first two diagnostic company partnerships – with CareDx in transplantation and MAVIDx in COVID-19 and other infectious diseases – which we expect to help expand our testing menu on the nCounter system and fuel additional revenue-generation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2019, a strain of coronavirus was reported in Wuhan, China, and began to spread globally, including to the United States and Europe, in the following months. The World Health Organization has declared COVID-19 to be a pandemic and a public health emergency of international concern. The full impact of the COVID-19 outbreak is inherently uncertain at the time of this report. The COVID-19 outbreak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and many governments have closed most public establishments, including restaurants, workplaces and schools. Our customers, third-party contract manufacturers, suppliers and collaboration partners may be affected by the closure of hospitals, doctors' offices, manufacturing sites, or country borders, among other measures being put in place around the world. Consequent increases in layoffs and furloughs in the medical industry and otherwise during the shutdown are having, and will continue to have, negative impact on the demand for medical care and diagnostic tests, which affects the frequency with which tests are prescribed, and the ability of doctors and hospitals to administer such tests. Further the inability to travel and conduct face-to-face meetings can also make it more difficult to expand utilization of our products into new geographies and to drive awareness of our products. These circumstances have had a significant negative impact on our financial results during 2020.</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second half of March 2020, we experienced a significant decline in the volume of samples received. Our monthly reported genomic volumes reached a year-to-date low point in April 2020. Following the April 2020 low point, sequential monthly total reported genomic volume increased in both May and June 2020. As a result of the impact on our volumes, we reported a significant decline in sequential and year-over-year revenue for the quarter ended June 30, 2020. For the quarter ended September 30, 2020, our total reported genomic volume, relative to the prior year quarter, increased 3% as hospitals started performing more non-emergency procedures and physician practices began to reopen. The COVID-19 pandemic has also caused us to modify our business practices, including taking proactive steps to protect our employees and the broader community (including but not limited to curtailing or modifying employee travel, moving to full remote work wherever possible, and cancelling physical participation in meetings, events and conferences), while ensuring our ability to deliver genomic test results to physicians and their patients who need them. Given the significant challenges we face from COVID-19, we have taken actions to reduce expenses and preserve the health of our business, including our board of directors, executive team, including our Chairman and CEO, and certain other employees taking a reduction in pay, which ended in October 2020. In April 2020, we also put approximately 60 employees on a temporary furlough, which ended in July 2020.</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2020, with limited physical access to physicians, we expanded our use of digital tools to engage with our customers. Given the effectiveness of these programs, we believe such new sales and marketing models offer an opportunity to increase our efficiency and align with our projections for a U-shaped recovery. To that end, in July 2020 we terminated over 30 sales positions, representing a combination of employees who were furloughed and those who were not. At the same time, we brought the remaining 35 employees – mostly in sales – back from furlough as our business began to increase. We may take further actions as may be required by government authorities or that we determine are in the best interests of our employees, customers and business partners.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Johns Hopkins Coronavirus Resource Center, daily COVID-19 test volume has increased from less than approximately 0.2 million tests per day in April 2020 to between 0.8 million and 1.0 million tests per day in the first half of October 2020. We believe the rapid increase in daily testing volumes is consuming reagents and supplies otherwise available to genomic testing companies like ours across the United States. In October, we experienced supply chain disruptions in the supply of plastic materials used in the processing of samples. When not limited by the expiration date of products and when we feel it reasonable and feasible to do so, we are taking steps to increase our level of stock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extent of the impact of the COVID-19 on our future liquidity and operational performance will depend on certain developments, including the duration and spread of the outbreak, the impact on our customers' operations and the impact to our sales and renewal cycles.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2020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third quarter of 2020:</w:t>
      </w:r>
    </w:p>
    <w:p>
      <w:pPr>
        <w:spacing w:after="0" w:line="225" w:lineRule="exact"/>
        <w:rPr>
          <w:sz w:val="20"/>
          <w:szCs w:val="20"/>
          <w:color w:val="auto"/>
        </w:rPr>
      </w:pPr>
    </w:p>
    <w:p>
      <w:pPr>
        <w:ind w:left="66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was $31.1 million, comprising $30.3 million in testing and product revenue and $0.8 million in biopharmaceutical partnership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was 67%;</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Expenses, Excluding Cost of Revenue, </w:t>
      </w:r>
      <w:r>
        <w:rPr>
          <w:rFonts w:ascii="Times New Roman" w:cs="Times New Roman" w:eastAsia="Times New Roman" w:hAnsi="Times New Roman"/>
          <w:sz w:val="18"/>
          <w:szCs w:val="18"/>
          <w:color w:val="auto"/>
        </w:rPr>
        <w:t>were $24.8 million;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and Comprehensive Loss </w:t>
      </w:r>
      <w:r>
        <w:rPr>
          <w:rFonts w:ascii="Times New Roman" w:cs="Times New Roman" w:eastAsia="Times New Roman" w:hAnsi="Times New Roman"/>
          <w:sz w:val="18"/>
          <w:szCs w:val="18"/>
          <w:color w:val="auto"/>
        </w:rPr>
        <w:t>was $4.1 million;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Basic and Diluted Net Loss Per Common Share </w:t>
      </w:r>
      <w:r>
        <w:rPr>
          <w:rFonts w:ascii="Times New Roman" w:cs="Times New Roman" w:eastAsia="Times New Roman" w:hAnsi="Times New Roman"/>
          <w:sz w:val="18"/>
          <w:szCs w:val="18"/>
          <w:color w:val="auto"/>
        </w:rPr>
        <w:t>was $0.08;</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was $1.8 million;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were $345.1 million at September 30,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nine-months ended September 30, 2020:</w:t>
      </w:r>
    </w:p>
    <w:p>
      <w:pPr>
        <w:spacing w:after="0" w:line="225" w:lineRule="exact"/>
        <w:rPr>
          <w:sz w:val="20"/>
          <w:szCs w:val="20"/>
          <w:color w:val="auto"/>
        </w:rPr>
      </w:pPr>
    </w:p>
    <w:p>
      <w:pPr>
        <w:ind w:left="660" w:hanging="328"/>
        <w:spacing w:after="0" w:line="28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was $82.9 million, comprising $77.6 million in testing and product revenue and $5.3 million in biopharmaceutical partnership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w:t>
      </w:r>
    </w:p>
    <w:p>
      <w:pPr>
        <w:sectPr>
          <w:pgSz w:w="11900" w:h="16838" w:orient="portrait"/>
          <w:cols w:equalWidth="0" w:num="1">
            <w:col w:w="11240"/>
          </w:cols>
          <w:pgMar w:left="320" w:top="121" w:right="339" w:bottom="0" w:gutter="0" w:footer="0" w:header="0"/>
        </w:sectPr>
      </w:pPr>
    </w:p>
    <w:bookmarkStart w:id="24" w:name="page25"/>
    <w:bookmarkEnd w:id="24"/>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was 64%;</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Expenses, Excluding Cost of Revenue, </w:t>
      </w:r>
      <w:r>
        <w:rPr>
          <w:rFonts w:ascii="Times New Roman" w:cs="Times New Roman" w:eastAsia="Times New Roman" w:hAnsi="Times New Roman"/>
          <w:sz w:val="18"/>
          <w:szCs w:val="18"/>
          <w:color w:val="auto"/>
        </w:rPr>
        <w:t>were $80.0 million;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and Comprehensive Loss </w:t>
      </w:r>
      <w:r>
        <w:rPr>
          <w:rFonts w:ascii="Times New Roman" w:cs="Times New Roman" w:eastAsia="Times New Roman" w:hAnsi="Times New Roman"/>
          <w:sz w:val="18"/>
          <w:szCs w:val="18"/>
          <w:color w:val="auto"/>
        </w:rPr>
        <w:t>was $26.9 million;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Basic and Diluted Net Loss Per Common Share </w:t>
      </w:r>
      <w:r>
        <w:rPr>
          <w:rFonts w:ascii="Times New Roman" w:cs="Times New Roman" w:eastAsia="Times New Roman" w:hAnsi="Times New Roman"/>
          <w:sz w:val="18"/>
          <w:szCs w:val="18"/>
          <w:color w:val="auto"/>
        </w:rPr>
        <w:t>was $0.52;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was $12.0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2020 and Recent Business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Growth and Reimbursement Expansion:</w:t>
      </w:r>
    </w:p>
    <w:p>
      <w:pPr>
        <w:spacing w:after="0" w:line="227" w:lineRule="exact"/>
        <w:rPr>
          <w:sz w:val="20"/>
          <w:szCs w:val="20"/>
          <w:color w:val="auto"/>
        </w:rPr>
      </w:pPr>
    </w:p>
    <w:p>
      <w:pPr>
        <w:ind w:left="660" w:right="2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reported genomic testing volume (Afirma, Percepta and Envisia) to 10,242, an increase of 90% over the second quarter of 2020 and 3% over the third quarter of 2019.</w:t>
      </w:r>
    </w:p>
    <w:p>
      <w:pPr>
        <w:ind w:left="660" w:right="34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$7.0 million in year-to-date 2020 revenue from our Prosigna breast cancer test, achieving our pre-pandemic, full-year 2020 revenue goal.</w:t>
      </w:r>
    </w:p>
    <w:p>
      <w:pPr>
        <w:ind w:left="660" w:right="2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Advanced Diagnostic Laboratory Test (ADLT) status and new Medicare pricing for the Envisia classifier, beginning October 1, 2020, positioning the test for expanded revenue growth.</w:t>
      </w:r>
    </w:p>
    <w:p>
      <w:pPr>
        <w:ind w:left="660" w:right="50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new CPT codes and preliminary national Medicare pricing for the Afirma Medullary Thyroid Carcinoma (MTC) classifier and the Xpression Atlas, providing a pathway for increased reimbursement.</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coverage for the Prosigna breast cancer test from the Federal Joint Committee (G-BA) in Germany, our third largest European market.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Evidence Development:</w:t>
      </w:r>
    </w:p>
    <w:p>
      <w:pPr>
        <w:spacing w:after="0" w:line="22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Prosigna:</w:t>
      </w:r>
    </w:p>
    <w:p>
      <w:pPr>
        <w:spacing w:after="0" w:line="36" w:lineRule="exact"/>
        <w:rPr>
          <w:rFonts w:ascii="Times New Roman" w:cs="Times New Roman" w:eastAsia="Times New Roman" w:hAnsi="Times New Roman"/>
          <w:sz w:val="18"/>
          <w:szCs w:val="18"/>
          <w:color w:val="auto"/>
        </w:rPr>
      </w:pPr>
    </w:p>
    <w:p>
      <w:pPr>
        <w:ind w:left="840" w:right="280" w:hanging="225"/>
        <w:spacing w:after="0" w:line="239" w:lineRule="auto"/>
        <w:tabs>
          <w:tab w:leader="none" w:pos="8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Launched the PROCURE study, led by a distinguished, independent scientific committee of breast cancer experts and including input from 180 clinicians throughout Europe, intended to achieve consensus on the evidence supporting the most frequently used breast cancer genomic tests, including Prosigna.</w:t>
      </w:r>
    </w:p>
    <w:p>
      <w:pPr>
        <w:spacing w:after="0" w:line="2" w:lineRule="exact"/>
        <w:rPr>
          <w:rFonts w:ascii="Times New Roman" w:cs="Times New Roman" w:eastAsia="Times New Roman" w:hAnsi="Times New Roman"/>
          <w:sz w:val="22"/>
          <w:szCs w:val="22"/>
          <w:color w:val="auto"/>
        </w:rPr>
      </w:pPr>
    </w:p>
    <w:p>
      <w:pPr>
        <w:jc w:val="both"/>
        <w:ind w:left="840" w:right="200" w:hanging="225"/>
        <w:spacing w:after="0" w:line="233" w:lineRule="auto"/>
        <w:tabs>
          <w:tab w:leader="none" w:pos="8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Data from the TransATAC study were published in the </w:t>
      </w:r>
      <w:r>
        <w:rPr>
          <w:rFonts w:ascii="Times New Roman" w:cs="Times New Roman" w:eastAsia="Times New Roman" w:hAnsi="Times New Roman"/>
          <w:sz w:val="18"/>
          <w:szCs w:val="18"/>
          <w:i w:val="1"/>
          <w:iCs w:val="1"/>
          <w:color w:val="auto"/>
        </w:rPr>
        <w:t>Journal of Clinical Oncology</w:t>
      </w:r>
      <w:r>
        <w:rPr>
          <w:rFonts w:ascii="Times New Roman" w:cs="Times New Roman" w:eastAsia="Times New Roman" w:hAnsi="Times New Roman"/>
          <w:sz w:val="18"/>
          <w:szCs w:val="18"/>
          <w:color w:val="auto"/>
        </w:rPr>
        <w:t xml:space="preserve"> elucidating the foundational molecular biology on which the Prosigna test is based and its higher likelihood of predicting long-term risk of recurrence among certain groups of women with early-stage breast cancer, compared to other breast cancer genomic tests.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Afirma:</w:t>
      </w:r>
    </w:p>
    <w:p>
      <w:pPr>
        <w:spacing w:after="0" w:line="15" w:lineRule="exact"/>
        <w:rPr>
          <w:rFonts w:ascii="Times New Roman" w:cs="Times New Roman" w:eastAsia="Times New Roman" w:hAnsi="Times New Roman"/>
          <w:sz w:val="18"/>
          <w:szCs w:val="18"/>
          <w:color w:val="auto"/>
        </w:rPr>
      </w:pPr>
    </w:p>
    <w:p>
      <w:pPr>
        <w:ind w:left="840" w:right="500" w:hanging="225"/>
        <w:spacing w:after="0" w:line="236" w:lineRule="auto"/>
        <w:tabs>
          <w:tab w:leader="none" w:pos="8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An independent study published in </w:t>
      </w:r>
      <w:r>
        <w:rPr>
          <w:rFonts w:ascii="Times New Roman" w:cs="Times New Roman" w:eastAsia="Times New Roman" w:hAnsi="Times New Roman"/>
          <w:sz w:val="18"/>
          <w:szCs w:val="18"/>
          <w:i w:val="1"/>
          <w:iCs w:val="1"/>
          <w:color w:val="auto"/>
        </w:rPr>
        <w:t>Cytopathology</w:t>
      </w:r>
      <w:r>
        <w:rPr>
          <w:rFonts w:ascii="Times New Roman" w:cs="Times New Roman" w:eastAsia="Times New Roman" w:hAnsi="Times New Roman"/>
          <w:sz w:val="18"/>
          <w:szCs w:val="18"/>
          <w:color w:val="auto"/>
        </w:rPr>
        <w:t xml:space="preserve"> by UCLA researchers showed that use of the Afirma GSC further reduced unnecessary surgeries in thyroid cancer diagnosis compared to the original Afirma test.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Pulmonology:</w:t>
      </w:r>
    </w:p>
    <w:p>
      <w:pPr>
        <w:spacing w:after="0" w:line="36" w:lineRule="exact"/>
        <w:rPr>
          <w:rFonts w:ascii="Times New Roman" w:cs="Times New Roman" w:eastAsia="Times New Roman" w:hAnsi="Times New Roman"/>
          <w:sz w:val="18"/>
          <w:szCs w:val="18"/>
          <w:color w:val="auto"/>
        </w:rPr>
      </w:pPr>
    </w:p>
    <w:p>
      <w:pPr>
        <w:ind w:left="840" w:right="400" w:hanging="225"/>
        <w:spacing w:after="0" w:line="234" w:lineRule="auto"/>
        <w:tabs>
          <w:tab w:leader="none" w:pos="8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Presented three e-Posters at the American Thoracic Society 2020 Virtual Meeting featuring real-world data that reinforce previous findings suggesting that the Percepta and Envisia classifiers improve the diagnosis of lung cancer and ILDs.</w:t>
      </w:r>
    </w:p>
    <w:p>
      <w:pPr>
        <w:spacing w:after="0" w:line="1" w:lineRule="exact"/>
        <w:rPr>
          <w:rFonts w:ascii="Times New Roman" w:cs="Times New Roman" w:eastAsia="Times New Roman" w:hAnsi="Times New Roman"/>
          <w:sz w:val="22"/>
          <w:szCs w:val="22"/>
          <w:color w:val="auto"/>
        </w:rPr>
      </w:pPr>
    </w:p>
    <w:p>
      <w:pPr>
        <w:ind w:left="840" w:right="300" w:hanging="225"/>
        <w:spacing w:after="0" w:line="225" w:lineRule="auto"/>
        <w:tabs>
          <w:tab w:leader="none" w:pos="8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Published data in the journal </w:t>
      </w:r>
      <w:r>
        <w:rPr>
          <w:rFonts w:ascii="Times New Roman" w:cs="Times New Roman" w:eastAsia="Times New Roman" w:hAnsi="Times New Roman"/>
          <w:sz w:val="18"/>
          <w:szCs w:val="18"/>
          <w:i w:val="1"/>
          <w:iCs w:val="1"/>
          <w:color w:val="auto"/>
        </w:rPr>
        <w:t>CHEST</w:t>
      </w:r>
      <w:r>
        <w:rPr>
          <w:rFonts w:ascii="Times New Roman" w:cs="Times New Roman" w:eastAsia="Times New Roman" w:hAnsi="Times New Roman"/>
          <w:sz w:val="18"/>
          <w:szCs w:val="18"/>
          <w:color w:val="auto"/>
        </w:rPr>
        <w:t xml:space="preserve"> suggesting that the Percepta classifier reduces unnecessary invasive procedures following inconclusive bronchoscopy results for patients with lung nodules and that these results are durable for over one year of follow-up.</w:t>
      </w:r>
    </w:p>
    <w:p>
      <w:pPr>
        <w:ind w:left="840" w:right="160" w:hanging="225"/>
        <w:spacing w:after="0" w:line="233" w:lineRule="auto"/>
        <w:tabs>
          <w:tab w:leader="none" w:pos="8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Presented an oral and e-Poster presentation at CHEST Annual Meeting 2020 supporting advancement of our lung cancer nasal swab classifier, along with the potential to integrate radiologic data to further augment genomics in the diagnosis of ILDs, including idiopathic pulmonary fibrosis.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27" w:lineRule="exact"/>
        <w:rPr>
          <w:sz w:val="20"/>
          <w:szCs w:val="20"/>
          <w:color w:val="auto"/>
        </w:rPr>
      </w:pPr>
    </w:p>
    <w:p>
      <w:pPr>
        <w:ind w:left="660" w:right="2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and sold 6,900,000 shares of common stock in August 2020 in a registered public offering, including the underwriters’ exercise in full of their option to purchase an additional 900,000 shares, at a price to the public of $30.00 per share. Net proceeds from the offering were approximately $194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extent of the impact of the COVID-19 outbreak on our operational and financial performance will depend on certain developments, including the duration and spread of the outbreak, impact on our customers and our sales cycles, employee or industry events, and effect on our vendors, all of which are uncertain and cannot be predicted. The COVID-19 pandemic and its adverse effects have become more prevalent in the locations where we, our customers, suppliers or third-party business partners conduct business and as a result, we have begun to experience more pronounced disruptions in our operations. We may experience constrained supply or curtailed customer demand that could materially adversely impact our business, results of operations and overall financial performance in future periods. Specifically, we may experience impact from changes in how hospital and physicians treat their patients and the frequency of their interaction with their patients, our ability to have in-person meetings with physicians and other customers and drive education and interest in our tests, and difficulties and changes to our sales, logistics, testing, customer support and other processes. As of the filing date of this Form 10-Q, the extent to which COVID-19 may impact our financial condition or results of operations or guidance is uncertain. The effect of the COVID-19 pandemic will not be fully reflected in our results of operations and overall financial performance until future periods. See Risk Factors for further discussion of the possible impact of the COVID-19 pandemic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Genomic Test Volume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62" w:lineRule="exact"/>
        <w:rPr>
          <w:sz w:val="20"/>
          <w:szCs w:val="20"/>
          <w:color w:val="auto"/>
        </w:rPr>
      </w:pPr>
    </w:p>
    <w:p>
      <w:pPr>
        <w:ind w:left="1300" w:hanging="482"/>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patients seeking to have tests performed;</w:t>
      </w:r>
    </w:p>
    <w:p>
      <w:pPr>
        <w:spacing w:after="0" w:line="36"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ectPr>
          <w:pgSz w:w="11900" w:h="16838" w:orient="portrait"/>
          <w:cols w:equalWidth="0" w:num="1">
            <w:col w:w="11240"/>
          </w:cols>
          <w:pgMar w:left="320" w:top="119" w:right="339" w:bottom="0" w:gutter="0" w:footer="0" w:header="0"/>
        </w:sectPr>
      </w:pPr>
    </w:p>
    <w:bookmarkStart w:id="25" w:name="page26"/>
    <w:bookmarkEnd w:id="25"/>
    <w:p>
      <w:pPr>
        <w:spacing w:after="0" w:line="74" w:lineRule="exact"/>
        <w:rPr>
          <w:sz w:val="20"/>
          <w:szCs w:val="20"/>
          <w:color w:val="auto"/>
        </w:rPr>
      </w:pPr>
    </w:p>
    <w:p>
      <w:pPr>
        <w:ind w:left="1300" w:hanging="48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36"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36"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36"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to perform our tests and report the results;</w:t>
      </w:r>
    </w:p>
    <w:p>
      <w:pPr>
        <w:spacing w:after="0" w:line="36" w:lineRule="exact"/>
        <w:rPr>
          <w:rFonts w:ascii="Times New Roman" w:cs="Times New Roman" w:eastAsia="Times New Roman" w:hAnsi="Times New Roman"/>
          <w:sz w:val="18"/>
          <w:szCs w:val="18"/>
          <w:color w:val="auto"/>
        </w:rPr>
      </w:pPr>
    </w:p>
    <w:p>
      <w:pPr>
        <w:ind w:left="1300" w:right="20" w:hanging="482"/>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1300" w:hanging="482"/>
        <w:spacing w:after="0" w:line="26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 substantially all our revenue from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positive coverage decisions and as payers enter into contracts with us, which should enhance our revenue and cash collections. To drive increased adoption of our products, we increased our sales force and marketing efforts over the last several years. Our sales team is structured to sell all of our products; we do not maintain a separate sales force for each product. If we are unable to expand the base of ordering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Integrating acquired assets and advances in our collaborations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growth, operational results and advances in our business strategy depends on our ability to integrate any acquired assets into our existing business. The integration of acquired assets may impact our revenue growth, increase the cost of operations, cause significant write-offs of intangible assets, or may require management resources that otherwise would be available for ongoing development of our existing business. The integration of assets acquired from NanoString in December 2019 may impact our revenue and operating results through integration of a sales force, development of a product supply operation and the expansion of our business internationally with a broad menu of advanced genomic tests that may be offered.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growth stemming from our collaborations depends on our ability to deliver services or information and achieve milestones required from our collaborative partners. Our collaboration partners pay us for the provision of data, other services and the achievement of milestones. Under a collaboration with Johnson &amp; Johnson in 2018, we provided data services required under this agreement in 2019 and 2020; however, there remains $9.0 million of revenue associated with development and commercialization milestones yet to be achieved.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recognize testing revenue in accordance with the provisions of ASC 606, Revenue from Contracts with Customers. Most of our revenue is generated from the provision of diagnostic testing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the agreed upon rate (if applicable), amount paid per test and any current developments or changes that could impact reimbursement. These estimates require significant judgment by management.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adoption of ASC 606, for our testing services we recognized a portion of our revenue not at the time of delivery of test results, on an accrual-basis of accounting, but upon the ultimate payment for those services, on the cash-basis of accounting. Through December 31, 2019,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$159.3 million. Of this amount, we did not collect any amounts in the nine months ended September 30, 2020 and we have no expectation of future collection because we began accruing for substantially all revenue upon delivery of a patient report in the third quarter of 2016. Under ASC 606, we recognize revenue at the time we deliver test results based upon what we reasonably expect to collect and the list price of a test may not be indicative of what we ultimately expect to collect.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we calculate the average reimbursement for our products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w:t>
      </w:r>
    </w:p>
    <w:p>
      <w:pPr>
        <w:sectPr>
          <w:pgSz w:w="11900" w:h="16913" w:orient="portrait"/>
          <w:cols w:equalWidth="0" w:num="1">
            <w:col w:w="11240"/>
          </w:cols>
          <w:pgMar w:left="320" w:top="121" w:right="339" w:bottom="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quarters as it reduces the effects of temporary volatility and seasonal effects. Thus, the average reimbursement per product represents the total cash collected to date against genomic classifier tests, including variants, performed during the relevant period divided by the number of these tests performed during that same period.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average Afirma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three months ended September 30, 2020, we accrued, on average, between $2,800 and $2,900 for the Afirma genomic classifier tests, including variants, that met our revenue recognition standard, which was between 90% - 95% of the reported Afirma classifier test volume.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the third quarter of 2019 to the third quarter of 2020, we accrued between $1.0 million and $2.4 million in revenue per quarter from providing cytopathology services associated with our Afirma solution.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began recognizing product revenue in December 2019 when we executed an agreement with NanoString for the exclusive worldwide license to the nCounter platform and the acquisition of products for in vitro diagnostic use.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products consist of the Prosigna breast cancer assay, the nCounter Analysis System and related diagnostic kits. Revenues are presented net of the taxes that are collected from customers and remitted to governmental authorities.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Biopharmaceutical and Collaboration 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enter into arrangements to license or provide access to our assets or services, including testing services, clinical and medical services, research and development and other services. Such arrangements may require us to deliver various rights, data, services, access and/or testing services to partner biopharmaceutical companies. The underlying terms of these arrangements generally provide for consideration paid to us in the form of nonrefundable fees, performance milestone payments, expense reimbursements and possibly royalty and/or other payments.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of our collaborative arrangements typically include one or more of the following: (i) up-front fees; (ii) milestone payments related to the achievement of development, regulatory, or commercial goals; and (iii) royalties on net sales of licensed products. Each of these payments may result in collaboration revenues or an offset against research and development expense.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Arrangements with partners may fall under the scope of ASC Topic 808, Collaborative Arrangements, or ASC 808. While these arrangements are in the scope of ASC 808, we may analogize to ASC 606 for some aspects of these arrangements. We analogize to ASC 606 for certain activities within the collaborative arrangement for the delivery to a customer of a good or service (i.e., a unit of account) that is part of our ongoing major or central operations.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selling price on a stand-alone basis is not available.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revenues generated from royalties or profit sharing as the underlying sales occur.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sales of data or other services to our customers are classified under biopharmaceutical revenue, and all other non-customer revenue are classified under collaboration revenue in our condensed consolidated statements of operations and comprehensive loss. Payments made to us that are not net sales of data or other services to our customers are recorded as an offset against research and development expense in our condensed consolidated statements of operations and comprehensive loss.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240"/>
          </w:cols>
          <w:pgMar w:left="320" w:top="121" w:right="339" w:bottom="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Additional Tests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advance our portfolio of diagnostic tests that leverage innovations in genomic science, sequencing technology and machine learning, and our exclusive diagnostics rights to the nCounter Analysis System to further improve patient care globally.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Afirma GSC and Xpression Atlas, or XA, provide physicians with a comprehensive solution for thyroid nodule diagnosis. In May 2017, we introduced the Afirma GSC, supported by rigorous clinical validation data showing that the RNA sequencing-based test can help significantly more patients avoid unnecessary surgery in thyroid cancer diagnosis, compared to the original Afirma classifier. The Afirma GSC was developed with RNA whole-transcriptome sequencing and machine learning and helps identify patients with benign thyroid nodules among those with indeterminate cytopathology. For those with suspected thyroid cancer, the Afirma Xpression Atlas provides physicians with genomic alteration content from the same fine needle aspiration samples that are used in Afirma GSC testing and may help physicians decide with greater confidence on the surgical or therapeutic pathway for their patients.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launched the original Afirma XA in March 2018. We subsequently introduced an expanded Afirma XA in April 2020 to provide physicians with additional gene alteration content – including novel or rare </w:t>
      </w:r>
      <w:r>
        <w:rPr>
          <w:rFonts w:ascii="Times New Roman" w:cs="Times New Roman" w:eastAsia="Times New Roman" w:hAnsi="Times New Roman"/>
          <w:sz w:val="18"/>
          <w:szCs w:val="18"/>
          <w:i w:val="1"/>
          <w:iCs w:val="1"/>
          <w:color w:val="auto"/>
        </w:rPr>
        <w:t>NTRK, ALK, RET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BRAF</w:t>
      </w:r>
      <w:r>
        <w:rPr>
          <w:rFonts w:ascii="Times New Roman" w:cs="Times New Roman" w:eastAsia="Times New Roman" w:hAnsi="Times New Roman"/>
          <w:sz w:val="18"/>
          <w:szCs w:val="18"/>
          <w:color w:val="auto"/>
        </w:rPr>
        <w:t xml:space="preserve"> fusions – to further inform surgery and treatment decisions for patients with suspected or confirmed thyroid cancer. Compared to the original gene alteration panel, the expanded Afirma XA now reports 905 DNA variants (versus 761) and 235 RNA fusion partners (versus 130) in 593 genes (versus 511).</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Afirma GSC, </w:t>
      </w:r>
      <w:r>
        <w:rPr>
          <w:rFonts w:ascii="Times New Roman" w:cs="Times New Roman" w:eastAsia="Times New Roman" w:hAnsi="Times New Roman"/>
          <w:sz w:val="18"/>
          <w:szCs w:val="18"/>
          <w:i w:val="1"/>
          <w:iCs w:val="1"/>
          <w:color w:val="auto"/>
        </w:rPr>
        <w:t>BRAF v600E</w:t>
      </w:r>
      <w:r>
        <w:rPr>
          <w:rFonts w:ascii="Times New Roman" w:cs="Times New Roman" w:eastAsia="Times New Roman" w:hAnsi="Times New Roman"/>
          <w:sz w:val="18"/>
          <w:szCs w:val="18"/>
          <w:color w:val="auto"/>
        </w:rPr>
        <w:t xml:space="preserve"> mutation test and medullary thyroid cancer, or MTC, Classifier, along with the Afirma XA offer a comprehensive solution for physicians evaluating thyroid nodules. Our broad ability to serve the thyroid diagnostic market also enables us to enter into research collaborations with biopharmaceutical companies, which is intended to support their development of targeted therapies for genetically defined cancers, including thyroid cancer.</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also expanded our ability to answer important clinical questions that improve patient care in pulmonology. Our Percepta Bronchial Genomic Classifier, introduced in April 2015, was the first genomic test to receive Medicare coverage for use in lung cancer diagnosis, where it improves the performance of diagnostic bronchoscopy. The test deploys novel “field of injury” technology that enables genomic changes associated with lung cancer to be detected in samples taken from the main bronchial airway during a bronchoscopy. In June 2019, we introduced our “next-generation” Percepta Genomic Sequencing Classifier, providing physicians with expanded lung cancer risk information that can further guide next steps for patients with suspicious lung nodules, as compared to the original Percepta classifier.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our Envisia Genomic Classifier, launched in October 2016, is the first commercial test to improve the diagnosis of IPF among patients with a suspected interstitial lung disease. The Envisia test is also covered for Medicare patients.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currently leveraging the same “field of injury” technology that powers our Percepta classifier to develop a first-of-its-kind, noninvasive nasal swab test that can enable earlier lung cancer diagnosis and ultimately, we believe, help reduce lung cancer deaths. In October 2019, we announced preliminary clinical data for our nasal swab classifier showing that the novel genomic test could identify with a high degree of accuracy patients whose lung nodules were high risk for cancer, so they could obtain prompt diagnosis and potential treatment, and patients with low risk of cancer so they could be monitored noninvasively. We are also developing the Percepta Atlas, which – similar to the Afirma XA – is intended to inform treatment decisions by detecting gene alterations in small samples collected at the time of diagnosis. We plan to introduce the nasal swab test and the Percepta Atlas in 2021, rounding out our comprehensive lung cancer portfolio designed to answer important clinical questions throughout the patient journey.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that supports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September 30, 2020, we had derived most of our revenue from the sale of Afirma,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18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860" w:type="dxa"/>
            <w:vAlign w:val="bottom"/>
          </w:tcPr>
          <w:p>
            <w:pPr>
              <w:spacing w:after="0"/>
              <w:rPr>
                <w:sz w:val="20"/>
                <w:szCs w:val="20"/>
                <w:color w:val="auto"/>
              </w:rPr>
            </w:pPr>
          </w:p>
        </w:tc>
        <w:tc>
          <w:tcPr>
            <w:tcW w:w="2180" w:type="dxa"/>
            <w:vAlign w:val="bottom"/>
            <w:tcBorders>
              <w:bottom w:val="single" w:sz="8" w:color="auto"/>
            </w:tcBorders>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860" w:type="dxa"/>
            <w:vAlign w:val="bottom"/>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Medicare</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Johnson and Johnson Services, Inc.</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UnitedHealthcare</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8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8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58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6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*Less than 10%</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ectPr>
          <w:pgSz w:w="11900" w:h="16838" w:orient="portrait"/>
          <w:cols w:equalWidth="0" w:num="1">
            <w:col w:w="11240"/>
          </w:cols>
          <w:pgMar w:left="320" w:top="117" w:right="339" w:bottom="15" w:gutter="0" w:footer="0" w:header="0"/>
        </w:sectPr>
      </w:pPr>
    </w:p>
    <w:bookmarkStart w:id="28" w:name="page29"/>
    <w:bookmarkEnd w:id="2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components of our cost of testing revenue are laboratory expenses, sample collection kit costs,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may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as we expect to run suboptimal batch sizes, run quality control batches, test batches, registry samples and generally incur costs that may suppress or reduce gross margins. This will disproportionately increase our aggregate cost of revenue until we achieve efficiencies in processing these new tests.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cost of product revenue consists primarily of costs of purchasing instruments and diagnostic kits from third-party contract manufacturers, installation, warranty, service and packaging and delivery costs. In addition, cost of product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cost of biopharmaceutical revenue are the costs of performing activities under arrangements that require us to perform research and development services on behalf of a customer pursuant to a biopharmaceutical service agreement, and is mainly comprised of compensation expense and pass through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on ongoing evidence development for our Afirma, Percepta and Envisia classifiers in 2019. We incurred a majority of our research and development expenses in the nine months ended September 30, 2020 in support of our pipeline products, and expect this to continue in the remainder of 2020 and beyond.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point of contact to successfully develop and implement relationships with our customers and increased our marketing spending. We have also incurred increased selling and marketing expense as a result of investments in our lung product portfolio and believe total selling and marketing expenses will continue to increase as we launch and promote our new tests.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nine months ended September 30, 2020, approximately 64% of the average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5 to 15 years, using the straight-line method.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is expected to be approximately $5.1 million per year through 2024 and decrease thereafter.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is attributable to our borrowings under debt agreements and capital leases as well as costs associated with the prepayment of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consists primarily of sublease rental income and interest income from our cash held in interest bearing accounts.</w:t>
      </w:r>
    </w:p>
    <w:p>
      <w:pPr>
        <w:sectPr>
          <w:pgSz w:w="11900" w:h="16838" w:orient="portrait"/>
          <w:cols w:equalWidth="0" w:num="1">
            <w:col w:w="11240"/>
          </w:cols>
          <w:pgMar w:left="320" w:top="121" w:right="339" w:bottom="0" w:gutter="0" w:footer="0" w:header="0"/>
        </w:sectPr>
      </w:pPr>
    </w:p>
    <w:bookmarkStart w:id="29" w:name="page30"/>
    <w:bookmarkEnd w:id="29"/>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firstLine="567"/>
        <w:spacing w:after="0" w:line="282" w:lineRule="auto"/>
        <w:rPr>
          <w:sz w:val="20"/>
          <w:szCs w:val="20"/>
          <w:color w:val="auto"/>
        </w:rPr>
      </w:pPr>
      <w:r>
        <w:rPr>
          <w:rFonts w:ascii="Times New Roman" w:cs="Times New Roman" w:eastAsia="Times New Roman" w:hAnsi="Times New Roman"/>
          <w:sz w:val="18"/>
          <w:szCs w:val="18"/>
          <w:color w:val="auto"/>
        </w:rPr>
        <w:t>Comparison of the three and nine months ended September 30, 2020 and 2019 (in thousands of dollars, except percentages and genomic classifiers reported):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11"/>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520" w:type="dxa"/>
            <w:vAlign w:val="bottom"/>
            <w:tcBorders>
              <w:bottom w:val="single" w:sz="8" w:color="auto"/>
            </w:tcBorders>
          </w:tcPr>
          <w:p>
            <w:pPr>
              <w:spacing w:after="0"/>
              <w:rPr>
                <w:sz w:val="20"/>
                <w:szCs w:val="20"/>
                <w:color w:val="auto"/>
              </w:rPr>
            </w:pPr>
          </w:p>
        </w:tc>
      </w:tr>
      <w:tr>
        <w:trPr>
          <w:trHeight w:val="209"/>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Testing revenue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28,270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1,547</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70,473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78,798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(8,325)</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7,149</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Biopharmaceutical revenue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(1,426)</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(2,515)</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(100)%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(100)%</w:t>
            </w:r>
          </w:p>
        </w:tc>
      </w:tr>
      <w:tr>
        <w:trPr>
          <w:trHeight w:val="20"/>
        </w:trPr>
        <w:tc>
          <w:tcPr>
            <w:tcW w:w="3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210"/>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30,973</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82,947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90,638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(7,691)</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testing revenue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9,114</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3,539</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biopharmaceutical revenue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4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13,088</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(2,133)</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6,624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3,022</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378%</w:t>
            </w:r>
          </w:p>
        </w:tc>
      </w:tr>
      <w:tr>
        <w:trPr>
          <w:trHeight w:val="20"/>
        </w:trPr>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32,736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110,264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97,568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r>
      <w:tr>
        <w:trPr>
          <w:trHeight w:val="20"/>
        </w:trPr>
        <w:tc>
          <w:tcPr>
            <w:tcW w:w="3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(2,303)</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(20,387)</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294%</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(71)%</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(1,094) (100)%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(1,758)</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(74)%</w:t>
            </w:r>
          </w:p>
        </w:tc>
      </w:tr>
      <w:tr>
        <w:trPr>
          <w:trHeight w:val="20"/>
        </w:trPr>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(3,394)</w:t>
            </w: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(26,865)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(5,141)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(21,724)</w:t>
            </w: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423%</w:t>
            </w:r>
          </w:p>
        </w:tc>
      </w:tr>
      <w:tr>
        <w:trPr>
          <w:trHeight w:val="196"/>
        </w:trPr>
        <w:tc>
          <w:tcPr>
            <w:tcW w:w="316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Operating Data:</w:t>
            </w: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Genomic classifiers reported</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9,941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26,180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3,083</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2,389</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increased $0.1 million for the three months ended September 30, 2020 compared to the same period in 2019. This was primarily due to a $1.5 million increase in testing revenue from a 3% increase in our Afirma, Percepta, and Envisia genomic classifiers and $2.0 million of sales of Prosigna, a product that we acquired the rights to from NanoString in December 2019. We also make adjustments, as necessary, for testing revenue accrued in prior periods as collections are made if the amount we expect to collect changes. The adjustment for testing revenue accrued in prior periods increased revenue by $0.3 million and $0.1 million for the three months ended September 30, 2020 and 2019, respectively, a net increase of $0.2 million between the periods. Biopharmaceutical revenue decreased $1.4 million and primarily consisted of $0.3 million for the provision of data and $0.3 million for development services for the three months ended September 30, 2020 whereas biopharmaceutical revenue consisted primarily of $2.0 million for the provision of data for the three months ended September 30, 2019. Collaboration revenue in the three months ended September 30, 2019 was derived from the fulfillment of development milestones.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second half of March 2020, we began to experience a significant decline in the volume of samples received due to COVID-19, resulting in a significant decline in revenue. Revenue decreased $7.7 million, or 8%, for the nine months ended September 30, 2020 compared to the same period in 2019. This was primarily due to an $8.3 million decrease in testing revenue from a 9% decrease in our Afirma, Percepta, and Envisia genomic classifiers reported, partially offset by $7.1 million of sales of Prosigna. We also make adjustments, as necessary, for testing revenue accrued in prior periods as collections are made if the amount we expect to collect changes. The adjustment for testing revenue accrued in prior periods increased revenue by $1.2 million and $0.8 million for the nine months ended September 30, 2020 and 2019, respectively, a net increase of $0.4 million between the periods. Biopharmaceutical revenue decreased $2.5 million, primarily due to $7.0 million for the provision of data for the nine months ended September 30, 2019 whereas biopharmaceutical revenue primarily consisted of $1.5 million for the provision of data, $1.0 million for the sale of commercial and development rights to CareDx, $1.0 million of milestones and $0.7 million for development services for the nine months ended September 30, 2020. Collaboration revenue in the nine months ended September 30, 2019 was derived from the fulfillment of development milestones.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2020 and 2019 is as follows (in thousands of dollars,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11"/>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520" w:type="dxa"/>
            <w:vAlign w:val="bottom"/>
            <w:tcBorders>
              <w:bottom w:val="single" w:sz="8" w:color="auto"/>
            </w:tcBorders>
          </w:tcPr>
          <w:p>
            <w:pPr>
              <w:spacing w:after="0"/>
              <w:rPr>
                <w:sz w:val="20"/>
                <w:szCs w:val="20"/>
                <w:color w:val="auto"/>
              </w:rPr>
            </w:pPr>
          </w:p>
        </w:tc>
      </w:tr>
      <w:tr>
        <w:trPr>
          <w:trHeight w:val="209"/>
        </w:trPr>
        <w:tc>
          <w:tcPr>
            <w:tcW w:w="2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testing revenue:</w:t>
            </w: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Laboratory costs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14,103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Sample collection costs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fees and royalties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w:t>
            </w: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117"/>
        </w:trPr>
        <w:tc>
          <w:tcPr>
            <w:tcW w:w="29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121" w:right="339" w:bottom="0" w:gutter="0" w:footer="0" w:header="0"/>
        </w:sectPr>
      </w:pPr>
    </w:p>
    <w:bookmarkStart w:id="30" w:name="page31"/>
    <w:bookmarkEnd w:id="30"/>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r>
      <w:tr>
        <w:trPr>
          <w:trHeight w:val="216"/>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566</w:t>
            </w:r>
          </w:p>
        </w:tc>
        <w:tc>
          <w:tcPr>
            <w:tcW w:w="2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0"/>
        </w:trPr>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9,118</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9,114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26,157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26,404</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197"/>
        </w:trPr>
        <w:tc>
          <w:tcPr>
            <w:tcW w:w="304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costs</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885</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2,916</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fees and royalties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30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209"/>
        </w:trPr>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1,048</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3,539</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7"/>
        </w:trPr>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Cost of biopharmaceutical revenue: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30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testing revenue increased $4,000 for the three months ended September 30, 2020 compared to the same period in 2019. The increase in the cost of testing results primarily from an increase in compensation expense related to an average laboratory headcount increase of 6%, offset by decreases in laboratory costs and sample collection costs.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testing revenue decreased $0.2 million, or 1%, for the nine months ended September 30, 2020 compared to the same period in 2019. The decrease in laboratory costs was primarily related to a 9% decrease in the volume of genomic classifiers reported partially offset by a $1.1 million write-down of supplies for the potential expiration of reagents due to an anticipated decline in volumes resulting from the COVID-19 pandemic. The decrease in sample collection costs primarily related to a 9% decrease in the volume of genomic classifiers reported. The increase in compensation expense primarily relates to an average laboratory headcount increase of 11%.</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product revenue is related to sales of Prosigna, which commenced in December 2019.</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biopharmaceutical revenue includes labor costs incurred by our employees working on biopharmaceutical customer projects and pass-through expenses incurred on these projects. Biopharmaceutical revenue recognized in the prior year period was mainly for the sale of sequencing data and had no related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2020 and 2019 is as follows (in thousands of dollars,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9"/>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11"/>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520" w:type="dxa"/>
            <w:vAlign w:val="bottom"/>
            <w:tcBorders>
              <w:bottom w:val="single" w:sz="8" w:color="auto"/>
            </w:tcBorders>
          </w:tcPr>
          <w:p>
            <w:pPr>
              <w:spacing w:after="0"/>
              <w:rPr>
                <w:sz w:val="20"/>
                <w:szCs w:val="20"/>
                <w:color w:val="auto"/>
              </w:rPr>
            </w:pPr>
          </w:p>
        </w:tc>
      </w:tr>
      <w:tr>
        <w:trPr>
          <w:trHeight w:val="209"/>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8,340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1,429</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research and development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59%</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0"/>
        </w:trPr>
        <w:tc>
          <w:tcPr>
            <w:tcW w:w="35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21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3,643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12,618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2,210</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r>
      <w:tr>
        <w:trPr>
          <w:trHeight w:val="20"/>
        </w:trPr>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$0.4 million, or 11%, for the three months ended September 30, 2020 compared to the same period in 2019. The increase in compensation expense was primarily due to a 10% increase in average headcount and higher stock-based compensation expense from the increase in our stock price over the last two years. The increase in direct research and development expense was mainly due to an increase in clinical trial activity for our pipeline products.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$2.2 million, or 21%, for the nine months ended September 30, 2020 compared to the same period in 2019. The increase in compensation expense was primarily due to a 13% increase in average headcount and higher stock-based compensation expense from the increase in our stock price over the last two years. The increase in direct research and development expense was mainly due to an increase in clinical trial activity for our pipeline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2020 and 2019 is as follows (in thousands of dollars,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11"/>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520" w:type="dxa"/>
            <w:vAlign w:val="bottom"/>
            <w:tcBorders>
              <w:bottom w:val="single" w:sz="8" w:color="auto"/>
            </w:tcBorders>
          </w:tcPr>
          <w:p>
            <w:pPr>
              <w:spacing w:after="0"/>
              <w:rPr>
                <w:sz w:val="20"/>
                <w:szCs w:val="20"/>
                <w:color w:val="auto"/>
              </w:rPr>
            </w:pPr>
          </w:p>
        </w:tc>
      </w:tr>
      <w:tr>
        <w:trPr>
          <w:trHeight w:val="209"/>
        </w:trPr>
        <w:tc>
          <w:tcPr>
            <w:tcW w:w="2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8,484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8,013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29,334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5,198</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marketing expense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(2,129)</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(641)</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r>
      <w:tr>
        <w:trPr>
          <w:trHeight w:val="20"/>
        </w:trPr>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10,955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(2,133)</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39,240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39,508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0"/>
        </w:trPr>
        <w:tc>
          <w:tcPr>
            <w:tcW w:w="28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Selling and marketing expense decreased $2.1 million, or 16%, for the three months ended September 30, 2020 compared to the same period in 2019. The increase in compensation expense was primarily due to a 14% increase in average headcount and higher stock-based compensation expense from</w:t>
      </w:r>
    </w:p>
    <w:p>
      <w:pPr>
        <w:sectPr>
          <w:pgSz w:w="11900" w:h="16927" w:orient="portrait"/>
          <w:cols w:equalWidth="0" w:num="1">
            <w:col w:w="11240"/>
          </w:cols>
          <w:pgMar w:left="320" w:top="140" w:right="339" w:bottom="0" w:gutter="0" w:footer="0" w:header="0"/>
        </w:sectPr>
      </w:pPr>
    </w:p>
    <w:bookmarkStart w:id="31" w:name="page32"/>
    <w:bookmarkEnd w:id="31"/>
    <w:p>
      <w:pPr>
        <w:spacing w:after="0" w:line="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our stock price over the last two years. The decrease in direct marketing expense was due to lower general marketing expenditures. The decrease in other expenses was primarily due to decreased travel and entertainment expenses as a result of COVID-19 travel restrictions.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and marketing expense decreased $0.3 million, or 1%, for the nine months ended September 30, 2020 compared to the same period in 2019. The increase in compensation expense was primarily due to an average headcount increase of 37%, higher incentive compensation and higher stock-based compensation expense partially offset by the temporary furloughing of employees beginning in April 2020. The decrease in direct marketing expense was due to lower general marketing expenditures. The decrease in other expenses was primarily due to decreased travel and entertainment expenses as a result of COVID-19 travel restrictions.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2020 and 2019 is as follows (in thousands of dollars,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11"/>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500" w:type="dxa"/>
            <w:vAlign w:val="bottom"/>
            <w:tcBorders>
              <w:bottom w:val="single" w:sz="8" w:color="auto"/>
            </w:tcBorders>
          </w:tcPr>
          <w:p>
            <w:pPr>
              <w:spacing w:after="0"/>
              <w:rPr>
                <w:sz w:val="20"/>
                <w:szCs w:val="20"/>
                <w:color w:val="auto"/>
              </w:rPr>
            </w:pPr>
          </w:p>
        </w:tc>
      </w:tr>
      <w:tr>
        <w:trPr>
          <w:trHeight w:val="209"/>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6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4,806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15,798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w:t>
            </w:r>
          </w:p>
        </w:tc>
        <w:tc>
          <w:tcPr>
            <w:tcW w:w="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expenses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w:t>
            </w:r>
          </w:p>
        </w:tc>
        <w:tc>
          <w:tcPr>
            <w:tcW w:w="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0"/>
        </w:trPr>
        <w:tc>
          <w:tcPr>
            <w:tcW w:w="35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r>
      <w:tr>
        <w:trPr>
          <w:trHeight w:val="20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1,922</w:t>
            </w:r>
          </w:p>
        </w:tc>
        <w:tc>
          <w:tcPr>
            <w:tcW w:w="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24,316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20,448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3,868</w:t>
            </w:r>
          </w:p>
        </w:tc>
        <w:tc>
          <w:tcPr>
            <w:tcW w:w="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r>
      <w:tr>
        <w:trPr>
          <w:trHeight w:val="20"/>
        </w:trPr>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$1.9 million, or 29%, for the three months ended September 30, 2020 compared to the same period in 2019. The increase in compensation expense was primarily due to higher stock-based compensation expense from the increase in our stock price over the last two years. The increase in professional fees was primarily consulting and legal-related. The increase in other expenses was primarily due to the revaluation of the contingent consideration for the NanoString transaction.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$3.9 million, or 19%, for the nine months ended September 30, 2020 compared to the same period in 2019. The increase in compensation expense was primarily due to higher stock-based compensation expense from the increase in our stock price over the last two years. The increase in professional fees was primarily consulting, accounting and legal-related. The increase in other expenses was primarily due to the revaluation of the contingent consideration for the NanoString transaction.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decreased $3,000, or 5%, for the three months ended September 30, 2020 compared to the same period in 2019, mainly due to the prepayments of $12.5 million and $12.4 million of the principal amount of our Term Loan Advance in January 2019 and May 2019, respectively. The average Term Loan Advance interest rate was 5.4% and 6.6% for the three months ended September 30, 2020 and 2019,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decreased $421,000, or 71%, for the nine months ended September 30, 2020 compared to the same period in 2019, mainly due to the prepayments of $12.5 million and $12.4 million of the principal amount of our Term Loan Advance in January 2019 and May 2019, respectively. The average Term Loan Advance interest rate was 5.5% and 6.9% for the nine months ended September 30, 2020 and 2019,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net, decreased $1.1 for the three months ended September 30, 2020 compared to the same period in 2019 primarily due to lower dividend and interest income from our investments and cash and cash equivalents.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net, decreased $1.8 for the nine months ended September 30, 2020 compared to the same period in 2019 primarily due to lower dividend and interest income from our investments cash and cash equivalents.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inception through September 30, 2020, we have been financed primarily through net proceeds from the sale of our equity securities and borrowings under our credit facilities. We have incurred net losses since our inception. For the nine months ended September 30, 2020, we had a net loss of $26.9 million, and as of September 30, 2020, we had an accumulated deficit of $273.6 million. We expect to incur additional losses for the remainder of 2020 and potentially in future years.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our existing cash and cash equivalents of $345.1 million as of September 30, 2020, our available revolving line of credit, and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(See Note 7 to our unaudited condensed consolidated financial statements included in this Quarterly Report on Form 10-Q for more information about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including due to the impacts of the COVID-19 pandemic,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w:t>
      </w:r>
    </w:p>
    <w:p>
      <w:pPr>
        <w:sectPr>
          <w:pgSz w:w="11900" w:h="16899" w:orient="portrait"/>
          <w:cols w:equalWidth="0" w:num="1">
            <w:col w:w="11240"/>
          </w:cols>
          <w:pgMar w:left="320" w:top="121" w:right="339" w:bottom="0" w:gutter="0" w:footer="0" w:header="0"/>
        </w:sectPr>
      </w:pPr>
    </w:p>
    <w:bookmarkStart w:id="32" w:name="page33"/>
    <w:bookmarkEnd w:id="32"/>
    <w:p>
      <w:pPr>
        <w:spacing w:after="0" w:line="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7, 2020, we issued and sold 6,900,000 shares of common stock in a registered public offering, including 900,000 shares issued and sold upon the underwriters’ exercise in full of their option to purchase additional shares, at a price to the public of $30.00 per share. Our net proceeds from the offering were approximately $193.8 million, after deducting underwriting discounts and commissions and offering expenses of $13.2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7, 2019, we issued and sold 6,325,000 shares of common stock in a registered public offering, including 825,000 shares issued and sold upon the underwriters’ exercise in full of their option to purchase additional shares, at a price to the public of $23.25 per share. Our net proceeds from the offering were approximately $137.8 million, after deducting underwriting discounts and commissions and offering expenses of $9.2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 The average Term Loan Advance interest rate for the nine months ended September 30, 2020 was 5.5%.</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prepay the outstanding principal amount under the Term Loan Advance plus accrued and unpaid interest and, if the Term Loan Advance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Advance in the amount of $1.2 million is due upon the earlier of the maturity date of the Term Loan Advance or its payment in full. In January 2019, May 2019 and August 2020, we prepaid $12.5 million, $12.4 million and $0.1 million of the principal amount of the Term Loan Advance, respectively, and did not incur any prepayment premium as we did not repay the Term Loan Advance in full. As of September 30, 2020, the principal balance outstanding was one dollar.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Loan and Security Agreement contains customary representations, warranties, and events of default such as a material adverse change in our business, operations or financial conditions,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our equity interests, engage in any new line of business, or enter into certain transactions with affiliates, in each case subject to certain exceptions. As of September 30, 2020, we were in compliance with our debt covenants.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Loan and Security Agreement also requires us to comply with certain financial covenants, including achieving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obligations under the Loan and Security Agreement are secured by substantially all of our assets (excluding intellectual property), subject to certain customary exceptions.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2020 and 2019 (in thousands of dollars):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8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(11,972)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200,684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124,322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2020 was $12.0 million. The net loss of $26.9 million includes non-cash charges of $9.4 million of stock-based compensation expense, $5.9 million of depreciation and amortization, which includes $3.8 million of intangible</w:t>
      </w:r>
    </w:p>
    <w:p>
      <w:pPr>
        <w:sectPr>
          <w:pgSz w:w="11900" w:h="16873" w:orient="portrait"/>
          <w:cols w:equalWidth="0" w:num="1">
            <w:col w:w="11240"/>
          </w:cols>
          <w:pgMar w:left="320" w:top="121" w:right="339" w:bottom="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asset amortization, a $1.1 million write-down of supplies, noncash lease expense of $0.7 million and a $0.3 million expense for the revaluation of the contingent consideration related to the NanoString transaction. Cash used as a result of changes in operating assets and liabilities was $2.7 million, primarily comprised of a decrease in accrued liabilities of $3.3 million, a decrease in operating lease liability of $1.0 million, and an increase in prepaid expense and other current assets of $0.9 million, partially offset by a decrease in accounts receivable of $1.7 million and a decrease in supplies of $1.3 million.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2019 was $5.0 million. The net loss of $5.1 million includes non-cash charges of $7.0 million of stock-based compensation expense and $2.8 million of depreciation and amortization, which includes $0.8 million of intangible asset amortization, and noncash lease expense of $0.8 million. Cash used as a result of changes in operating assets and liabilities was $10.7 million, primarily comprised of an increase in accounts receivable of $10.4 million, increase in supplies of $3.2 million and a decrease in operating lease liability of $0.9 million, partially offset by increases in accounts payable and accrued liabilities and deferred rent of $2.5 million and $1.3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2020 was $1.9 million for the acquisition of property and equipment and $1.0 million for the purchase of equity securities of MAVIDx, Inc.</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2019 was $1.6 million for the acquisition of property and equipment, net of proceeds from the disposal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2020 was $200.7 million, consisting of $193.8 million in net proceeds from the issuance of common stock in a public offering in August 2020, $10.1 million in proceeds from the exercise of options to purchase our common stock and purchase of stock under our Employee Stock Purchase Plan, or ESPP, partially offset by $3.2 million in tax payments during the period related to the vesting of restricted stock units granted to employees.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2019 was $124.3 million, consisting of $137.8 million in net proceeds from the issuance of common stock in a public offering in May 2019 and $12.4 million in proceeds from the exercise of options to purchase our common stock and purchase of stock under our ESPP during the period, partially offset by $24.9 million of loan principal repayments, $0.8 million in tax payments during the period related to the vesting of restricted stock units granted to employees and finance lease payments of $0.2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2019, May 2019 and August 2020, we prepaid $12.5 million, $12.4 million and $0.1 million of the principal amount of the Term Loan Advance, respectively, under our Loan and Security Agreement. As of September 30, 2020, future principal and end-of-term debt obligation payments due under the Loan and Security Agreement are limited to $1.2 million in 2022. There were no material changes during the interim period in the contractual obligations presented in our Form 10-K for the year ended December 31, 2019 filed with the Securities and Exchange Commission on February 25,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 This ASU requires entities to estimate an expected lifetime credit loss on financial assets ranging from short-term trade accounts receivable to long-term financings and report credit losses using an expected losses model rather than the incurred losses model that was previously used, and establishes additional disclosures related to credit risks. This guidance became effective for us beginning January 1, 2020. Based on the composition of our trade receivables, investment portfolio and other financial assets, current economic conditions and historical credit loss activity, the adoption of this standard did not have a material impact on our condensed consolidated financial statements and related disclosures.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w:t>
      </w:r>
      <w:r>
        <w:rPr>
          <w:rFonts w:ascii="Times New Roman" w:cs="Times New Roman" w:eastAsia="Times New Roman" w:hAnsi="Times New Roman"/>
          <w:sz w:val="18"/>
          <w:szCs w:val="18"/>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We adopted this ASU in 2019 with no cumulative-effect adjustments or retrospective impact.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Implementation Costs Incurred in a Cloud Computing Arrangement That Is a Service Contract</w:t>
      </w:r>
      <w:r>
        <w:rPr>
          <w:rFonts w:ascii="Times New Roman" w:cs="Times New Roman" w:eastAsia="Times New Roman" w:hAnsi="Times New Roman"/>
          <w:sz w:val="18"/>
          <w:szCs w:val="18"/>
          <w:color w:val="auto"/>
        </w:rPr>
        <w:t>. This standard clarifies the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in cloud computing arrangements. This standard became effective for us on January 1, 2020 and was adopted on a prospective basis with no material impact on our condensed consolidated financial statements.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or ASU 2018-13. ASU 2018-13 removed the following disclosure requirements: (1) the amount of and reasons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transfers between 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and loss for recurring Level 3 fair value measurements held at the end of the reporting period;</w:t>
      </w:r>
    </w:p>
    <w:p>
      <w:pPr>
        <w:spacing w:after="0" w:line="1" w:lineRule="exact"/>
        <w:rPr>
          <w:sz w:val="20"/>
          <w:szCs w:val="20"/>
          <w:color w:val="auto"/>
        </w:rPr>
      </w:pPr>
    </w:p>
    <w:p>
      <w:pPr>
        <w:jc w:val="both"/>
        <w:ind w:firstLine="8"/>
        <w:spacing w:after="0" w:line="255"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w:t>
      </w:r>
    </w:p>
    <w:p>
      <w:pPr>
        <w:sectPr>
          <w:pgSz w:w="11900" w:h="16838" w:orient="portrait"/>
          <w:cols w:equalWidth="0" w:num="1">
            <w:col w:w="11240"/>
          </w:cols>
          <w:pgMar w:left="320" w:top="121" w:right="339" w:bottom="0" w:gutter="0" w:footer="0" w:header="0"/>
        </w:sectPr>
      </w:pPr>
    </w:p>
    <w:bookmarkStart w:id="34" w:name="page35"/>
    <w:bookmarkEnd w:id="34"/>
    <w:p>
      <w:pPr>
        <w:spacing w:after="0" w:line="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ASU 2018-13 became effective for us beginning January 1, 2020 and the adoption of ASU 2018-13 did not have a material impact on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of $345.1 million as of September 30, 2020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 Under our Loan and Security Agreement, we pay interest on any outstanding balances under this agreement based on a variable market rate. A significant change in these market rates may adversely affect our operating results.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the Company. There were no changes in our internal control over financial reporting (as such term is defined in Rule 13a-15(f) under the Exchange Act) identified in connection with the evaluation identified above that occurred during the quarter ended September 30, 2020,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on our internal controls to minimize the impact on their design and operating effectiveness.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expect to incur net losses for the foreseeable future and may never achieve or sustain profitability.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our inception. For the nine months ended September 30, 2020, we had a net loss of $26.9 million and as of September 30, 2020, we had an accumulated deficit of $273.6 million. We expect to incur additional losses in the future, and we may never achieve revenue sufficient to offset our expenses. Over the next couple of years, we expect to continue to devote substantially all of our resources to increase adoption of and reimbursement for our Afirma, Percepta and Envisia classifiers and Prosigna test, and the development of additional tests. We may never achieve or sustain profitability, and our failure to achieve and sustain profitability in the future could cause the market price of our common stock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outbreak of COVID-19 has had an adverse effect on our business, results of operations and financial condition.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COVID-19 has caused significant volatility in financial markets and has raised the prospect of an extended global recession. Public health problems resulting from COVID-19 and precautionary measures instituted by governments and businesses to mitigate its spread, including travel restrictions and quarantines, have contributed to a general slowdown in the global economy, adversely impacted patients, physicians, customers, suppliers, third-party contract manufacturers, and collaboration partners, and disrupted our operations. Changes in our operations in response to COVID-19 or employee illnesses resulting from the pandemic may result in inefficiencies or delays, including in sales and product development efforts and additional costs related to business continuity initiatives, that cannot be fully mitigated through succession planning, employees working remotely or teleconferencing technologies. The cumulative incidence rate of COVID-19 cases in the United States reported to the CDC increased from 0.2 million at March 31, 2020, to 2.6 million at June 30, 2020 and to 7.2 million at September 30, 2020. During the second half of March 2020, we experienced a significant decline in the volume of samples received. Our monthly reported genomic volumes reached a year-to-date low point in April 2020. Following the April 2020 low point, sequential monthly total reported genomic volume increased in both May and June 2020. As a result of the impact on our volumes, we reported a significant decline in sequential and year-over-year revenue for the quarter ended June 30, 2020. For the quarter ended September 30, 2020, our total reported genomic volume, relative to the prior year quarter, increased 3% from 9,941 to 10,242, principally from an increase in reported genomic volume for both our Afirma GSC and Envisia Genomic Classifier tests, offset by a decline in our Percepta GSC. As of October 13, 2020, the cumulative incidence</w:t>
      </w:r>
    </w:p>
    <w:p>
      <w:pPr>
        <w:sectPr>
          <w:pgSz w:w="11900" w:h="16874" w:orient="portrait"/>
          <w:cols w:equalWidth="0" w:num="1">
            <w:col w:w="11240"/>
          </w:cols>
          <w:pgMar w:left="320" w:top="121" w:right="339" w:bottom="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rate of COVID-19 cases in the United States is approximately 7.8 million and currently there is no commercially available vaccine. We expect federal, state and local agencies to continue to take steps to combat the virus and to reduce the incidence of new cases. We believe these actions negatively impact our volumes and revenue and limit our ability to reliably forecast our test volumes or levels of revenue.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162" w:lineRule="exact"/>
        <w:rPr>
          <w:sz w:val="20"/>
          <w:szCs w:val="20"/>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manage our business effectively due to key employees becoming ill, working from home inefficiently and being unable to travel to our facilities.</w:t>
      </w: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customers, suppliers, third-party contract manufacturers, and collaboration partners may be prevented from operating worksites, including manufacturing facilities, due to employee illness or reluctance to appear at work and “stay-at-home” regulations.</w:t>
      </w: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manufacturing (including the sourcing of reagents or supplies) and shipment of our products. According to Johns Hopkins Coronavirus Resource Center, daily COVID-19 test volume has increased from less than approximately 0.2 million tests per day in April 2020 to between 0.8 million and 1.0 million tests per day in the first half of October 2020. We believe the rapid increase in daily testing volumes is consuming reagents and supplies otherwise available to genomic testing companies like ours across the United States. In October, we experienced supply chain disruptions in the supply of plastic materials used in the processing of samples. When not limited by the expiration date of products and when we feel it reasonable and feasible to do so, we are taking steps to increase our level of stock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patient demand for, or provider capacity to deliver, diagnostic testing and elective procedures generally.</w:t>
      </w:r>
    </w:p>
    <w:p>
      <w:pPr>
        <w:spacing w:after="0" w:line="1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the operations of our third-party contract manufacturers and suppliers, which could impact our ability to purchase components at efficient prices and in sufficient amounts.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capital, and if we raise capital by issuing equity securities, our common stock may be diluted.</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drop or remain volatile.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employee health care costs under our insurance programs.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extent of the impact of COVID-19 on our business and financial results will depend largely on future developments, including the duration of the spread of the outbreak,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Most of our revenue to date has been derived from the sale of our Afirma tests, which are used in the diagnosis of thyroid cancer. Over the next few years, we expect to continue to derive a substantial portion of our revenue from sales of our Afirma tests. In the third quarter of 2017, we began recognizing revenue from the sale of our Percepta test, used in the diagnosis of lung cancer. We also launched our Envisia test to help improve the diagnosis of interstitial lung disease, specifically IPF, and began recognizing revenue from Envisia in the second quarter of 2019. In December 2019, we acquired the rights to the Prosigna test from NanoString Technologies, Inc. and commenced marketing and selling Prosigna test kits to U.S. and international customers.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Percepta, Envisia and Prosigna tests, or develop and commercialize other solutions, our revenue and our ability to achieve and sustain profitability would be impaired, and the market price of our common stock could decline.</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for tests performed on patients covered by Medicare and UnitedHealthcare Group was 24% and 11%, respectively, of our revenue for the nine months ended September 30, 2020, compared with 24% and 11%, respectively, for the nine months ended September 30, 2019.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 Local Coverage Determination, or LCD.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submitted the dossier of clinical evidence needed to obtain Medicare coverage for the Envisia Genomic Classifier through the MolDX technical assessment process in 2018, and received notice of Medicare coverage for the classifier in the first quarter of 2019, with an effective date of April 1, 2019.</w:t>
      </w:r>
    </w:p>
    <w:p>
      <w:pPr>
        <w:sectPr>
          <w:pgSz w:w="11900" w:h="16838" w:orient="portrait"/>
          <w:cols w:equalWidth="0" w:num="1">
            <w:col w:w="11240"/>
          </w:cols>
          <w:pgMar w:left="320" w:top="121" w:right="339" w:bottom="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An LCD was issued for Prosigna by Palmetto GBA in August 2015, which has been in effect since October 1, 2015.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 five-year rotational basis, Medicare requests bids for its regional MAC services. Any future changes in the MAC processing or coding for Medicare claims for the Afirma, Percepta or Envisia classifiers, or for Prosigna, could result in a change in the coverage or reimbursement rates for such products, or the loss of coverage, and could also result in increased difficulties in obtaining and maintaining coverage for future products.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the Centers for Medicare &amp; Medicaid Services, or CMS,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Coronavirus Aid, Relief, and Economic Security (CARES) Act, Congress further delayed the next reporting period to 2022 for final payments made between January 1 and June 30, 2019, extending the applicability of the payment rates based on 2017 reporting through December 31, 2022.</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transition from Afirma GEC to Afirma GSC, a new CPT Category I code (81XX2) was established for the Afirma classifier, effective January 1, 2021. This code is currently going through the national payment determination process for Medicare. Although CMS has proposed to price 81XX2 at the same rate of $3,600 as 81545, there can be no assurance that CMS will not finalize a lower payment rate for the new code. New CPT Proprietary Laboratory Analyses (PLA) codes have also been established for Afirma Xpresion Atlas (0204U) and Afirma MTC (0208U), effective October 1, 2020. CMS has proposed to price 0204U at the same rate of $2,919.60 as CPT 81455. CMS has proposed to price 0208U at the same rate of $3,600 as CPT 81545. There is likewise no assurance that CMS will not finalize a lower payment rate for these codes. The new payment rates for 81XX2, 0204U, and 0208U will take effect January 1, 2021.</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 81XX2 is priced, we expect the volume-weighted median of private payer rates for final payments made from January through June 2019 under 81545 to be reported in January through March 2022 under 81XX2. We expect the weighted median of these rates to set the payment rate for the Afirma classifier (under 81XX2) from January 1, 2023 through December 31, 2025. There can be no assurance that the Afirma or Prosigna rates (or the rates for Afirma Xpresion Atlas or Afirma MTC) will not decrease during this or a subsequent reporting cycle under PAMA.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submit claims to Medicare for Percepta using an unlisted code under the MolDX program. A specific CPT code assigned to Percepta may be required to go through the national payment determination process, and there can be no assurance that the Medicare payment rate Percepta receives through this process will not be lower than its current rate. There can also be no assurance that the Medicare payment rate for Percepta will not be reduced when it is set based on the volume-weighted medians of private payer rates when we are required to report private payer rates for Percepta under PAMA.</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currently submit claims to Medicare for Envisia using an unlisted code under the MolDX program. A specific CPT code (81XX1) was assigned to Envisia, effective January 1, 2021. We applied for New Advanced Diagnostic Laboratory Test (ADLT) designation for Envisia, and the test was approved as a New ADLT on September 17, 2020. Effective October 1, 2020 through June 30, 2021, the Medicare payment rate for Envisia will be set at $5,500, the “actual list charge” for the test. Veracyte will report private payer rates for Envisia from March 1, 2021 through March 31, 2021, reflecting final payments between October 1, 2020 and February 28, 2021. The volume-weighted median of these reported rates will set the payment rate for Envisia from July 1, 2021 through December 31, 2022, after which Envisia will be priced based on private payer rates collected and reported annually. Insofar as the actual list charge of $5,500 substantially exceeds the reported private payer rates (by more than 30%), CMS will have the ability to recoup excess payments (above 130% of the reported private payer rate) made during the initial nine-month payment period. There can also be no assurance that the Medicare payment rate for Envisia will not be reduced when it is set based on the volume-weighted medians of private payer rates when we are required to report private payer rates for Envisia under PAMA, or that CMS will not recoup amounts paid for Envisia based on the difference between the actual list charge and the volume-weighted median of private payer rates reported by Veracyte.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federal Medicare funding and state budgets are limited and have been placed under tremendous strain in recent years, which is likely to be further exacerbated as a result of reduced tax receipts and greater deficit spending as a result of the COVID-19 pandemic. Such budgetary pressures may force Medicare or state agencies to reduce payment rates or change coverage policies. If there is a decrease in the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experimental or investigational;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pre-authorized and appropriate for the specific patient;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publications; and</w:t>
      </w:r>
    </w:p>
    <w:p>
      <w:pPr>
        <w:sectPr>
          <w:pgSz w:w="11900" w:h="16838" w:orient="portrait"/>
          <w:cols w:equalWidth="0" w:num="1">
            <w:col w:w="11240"/>
          </w:cols>
          <w:pgMar w:left="320" w:top="121" w:right="339" w:bottom="0" w:gutter="0" w:footer="0" w:header="0"/>
        </w:sectPr>
      </w:pPr>
    </w:p>
    <w:bookmarkStart w:id="37" w:name="page38"/>
    <w:bookmarkEnd w:id="37"/>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 contracted rate of reimbursement with some payers for our tests.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expect to continue to focus substantial resources on increasing adoption, coverage and reimbursement for the Afirma, Percepta, and Envisia classifiers, Prosigna and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physicians decide not to order our tests.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many patients have been deferring elective procedures and medical visits as a result of the COVID-19 pandemic, and we have experienced, and expect to continue to experience, a significant reduction in patient demand or physician recommendations, which has and may continue to adversely affect our business.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Because our Afirma, Percepta and Envisia testing services are performed by our certified laboratory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patients decide not to use our tests.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judicial challenges to and Congressional efforts to repeal the ACA could result in an increase in uninsured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If we in the future fail to maintain CLIA certificates in our South San Francisco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Percepta and Envisia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fail to meet</w:t>
      </w:r>
    </w:p>
    <w:p>
      <w:pPr>
        <w:sectPr>
          <w:pgSz w:w="11900" w:h="16838" w:orient="portrait"/>
          <w:cols w:equalWidth="0" w:num="1">
            <w:col w:w="11240"/>
          </w:cols>
          <w:pgMar w:left="320" w:top="337" w:right="339" w:bottom="0" w:gutter="0" w:footer="0" w:header="0"/>
        </w:sectPr>
      </w:pPr>
    </w:p>
    <w:bookmarkStart w:id="38" w:name="page39"/>
    <w:bookmarkEnd w:id="38"/>
    <w:p>
      <w:pPr>
        <w:spacing w:after="0" w:line="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state licensing requirements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integrating the assets acquired from NanoString or if our general strategy of seeking growth through such acquisitions and collaborations is not successful, our prospects and financial condition will suffer.</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recently acquired assets, such as the nCounter Analysis System and Prosigna in December 2019, and we may pursue additional acquisitions of complementary businesses or assets as part of our business strategy. To date, we have limited experience with respect to acquisitions and the formation of strategic alliances and joint ventures. There can be no assurance that we will successfully integrate the assets acquired from NanoString successfully into our existing business, or that our exclusive worldwide license to the nCounter system for in vitro diagnostic use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advancing our collaborations with Johnson &amp; Johnson and others, or if our general strategy of seeking growth through such collaborations is not successful, our prospects and financial condition will suffer.</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previously entered into technology licensing and collaboration arrangements, such as our collaboration with Johnson &amp; Johnson in December 2018 and with Acerta Pharma, the hematology research and development arm of AstraZeneca, in December 2019, reflecting important elements of our business strategy. We also may pursue additional strategic alliances that leverage our core technology and industry experience to expand our offerings or distribution, or make investments in other companies. However, we have limited experience with respect to the formation of strategic alliances and joint ventures. There can be no assurance that we will successfully identify or complete these transactions in a timely manner, on a cost-effective basis, or at all, and we may not realize the anticipated benefits of any technology license, strategic alliance, joint venture or investment.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on sole suppliers for critical supply of reagents, equipment, chips and other materials that we use to perform our tests and for the manufacture of the nCounter systems for diagnostic use and Prosigna test kits sold to customers. We also purchase components used in our sample collection kits from sole-source suppliers. Some of these items are unique to these suppliers and vendors. In addition, we utilize a sole source to assemble and distribute our sample collection kits. We rely on NanoString for the supply of the nCounter systems for diagnostic use and Prosigna test kits. While we have developed alternate sourcing strategies for these materials and vendors, we cannot be certain whether these strategies will be effective or the alternative sources will be available when we need them. Moreover, the supply of key reagents and testing materials has been severely challenged by the COVID-19 pandemic. In October 2020, we experienced supply chain disruptions in the supply of plastic materials used in the processing of samples, although this has not resulted in delays in our ability to timely return test results. If these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chips and other materials in a timely manner or at all.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Thyroid Cytopathology Partners, or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w:t>
      </w:r>
    </w:p>
    <w:p>
      <w:pPr>
        <w:sectPr>
          <w:pgSz w:w="11900" w:h="16846" w:orient="portrait"/>
          <w:cols w:equalWidth="0" w:num="1">
            <w:col w:w="11240"/>
          </w:cols>
          <w:pgMar w:left="320" w:top="121" w:right="339" w:bottom="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how we recognize revenue, our quarterly operating results are likely to fluctuate.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commercial tests, our business could suffer.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beginning of 2017, the U.S. Congress and the Administration took actions to repeal the ACA and indicated an intent to replace it with another act and efforts to challenge, repeal or amend the ACA are ongoing. We cannot predict if, or when, the ACA will be repealed or amended, and cannot predict the impact that an amendment or repeal of the ACA will have on our business.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2030). Reductions resulting from the Congressional sequester are applied to total claims payment made; however, they do not currently result in a rebasing of the negotiated or established Medicare or Medicaid reimbursement rates.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w:t>
      </w:r>
    </w:p>
    <w:p>
      <w:pPr>
        <w:sectPr>
          <w:pgSz w:w="11900" w:h="16838" w:orient="portrait"/>
          <w:cols w:equalWidth="0" w:num="1">
            <w:col w:w="11240"/>
          </w:cols>
          <w:pgMar w:left="320" w:top="121" w:right="339" w:bottom="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sales of our tests outside the United States subject our business to foreign regulatory requirements and cost-reduction measures, which may also change over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PAMA includes a substantial new payment system for clinical laboratory tests under the CLFS. Under PAMA, laboratories that receive the majority of their Medicare revenues from payments made under the CLFS and the Physician Fee Schedule would report on triennial bases (or annually for advanced diagnostic laboratory tests, 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We expect the weighted median of these rates to set the payment rate for the Afirma classifier from January 1, 2023 through December 31, 2025. There can be no assurance that the payment rate for Afirma or Prosigna will not decrease in the future or that the payment rates for Percepta or Envisia will not be adversely affected by the PAMA law and regulations.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(by more than 30%), CMS will have the ability to recoup excess payments made during the initial nine-month payment period. We can determine whether to seek ADLT status for our tests, but there can be no assurance that our tests will be designated ADLTs or that the payment rates for our tests will not be adversely affected by such designation.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Congress is considering legislation to limit balance billing of patients who receive services from out-of-network providers (including laboratories) at in-network facilities and to set a methodology for payment of the out-of-network provider in such circumstances. This legislation, if enacted, could limit our ability to achieve payment in full for our testing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Medicare billing rules, we may not receive reimbursement for all tests provided to Medicare patients.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and Envisia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CY 2020 Hospital Outpatient Prospective Payment System Proposed Rule, CMS solicited comments on potential revisions to these billing rules that could have impacted our ability to bill Medicare directly for our Afirma, Percepta, and Envisia classifiers, as well as for Prosigna, when</w:t>
      </w:r>
    </w:p>
    <w:p>
      <w:pPr>
        <w:sectPr>
          <w:pgSz w:w="11900" w:h="16838" w:orient="portrait"/>
          <w:cols w:equalWidth="0" w:num="1">
            <w:col w:w="11240"/>
          </w:cols>
          <w:pgMar w:left="320" w:top="121" w:right="339" w:bottom="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performed on specimens collected from hospital outpatients. Although these changes were not finalized, if CMS makes similar changes in the future, it could negatively impact our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must maintain CLIA compliance and certification to sell our tests and be eligible to bill for diagnostic services provided to Medicare beneficiaries.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were to begin regulating those of our tests that are not currently regulated, we could incur substantial costs and delays associated with trying to obtain premarket clearance or approval.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and Envisia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but would subject some grandfathered tests to adverse event and malfunction reporting requirements. It also suggests a four-year phased implementation of the premarket review requirements for some types of tests. In a December 2018 statement, the FDA said that there is a need for “a unified approach to the regulation of in vitro clinical tests to protect patient safety, support innovation, and keep pace with the rapidly evolving technology that’s helping us find new treatments for disease.” The FDA listed key principles of an approach it would support.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regulatory structure under the FDA. As proposed, the bill would create a precertification program for lower risk tests not otherwise required to go through premarket review. It would grandfather existing tests but would allow the FDA to subject otherwise grandfathered tests to premarket review under certain conditions. We cannot predict whether this draft bill will become legislation and cannot quantify the effect of this draft bill on our business. The Department of Health and Human Services, or HHS, recently issued a public statement purporting to rescind FDA’s policies regarding the premarket review of LDTs. According to the HHS statement, FDA will not require premarket review of LDTs unless it first engages in notice-and-comment rulemaking. There is no guarantee, however, that the HHS statement will not be revised, that legislation reforming the federal government’s regulation of LDTs will not be passed, or that LDTs will otherwise continue to be able to operate without first receiving FDA premarket review.</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FDA were to require us to seek clearance or approval for our existing tests or any of our future products for clinical use, we may not be able to obtain such approvals on a timely basis, or at all. While we believe our Afirma, Percepta and Envisia classifiers would likely qualify for the “grandfathered” tests treatment, there can be no assurance of what the FDA might ultimately require if it issues a rule. If premarket reviews are required, our business could be negatively impacted if we are required to stop selling our products pending their clearance or approval. In addition, the launch of any new products that we develop could be delayed by the implementation of future FDA regulations.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Some of the materials we use for our tests and that we may use for future tests are labeled for research-use only, or RUO, or investigational-use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marketing authorization by the FDA and foreign regulatory authorities for our diagnostic tests will take significant time and require significant research, development and clinical study expenditures and ultimately may not succeed.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Before we begin to label and market some of our products for use as clinical diagnostics in the United States, unless an exemption applies, we are required to obtain clearance from the FDA by submitting a premarket notification under section 510(k) of the Federal Food, Drug, and Cosmetic Act, or FDC Act, or 510(k), or approval from the FDA by submitting a premarket approval, or PMA. We may also be able to obtain marketing authorization through a De Novo classification process rather than through a PMA if the 510(k) pathway is not available. In September 2013, Prosigna obtained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w:t>
      </w:r>
    </w:p>
    <w:p>
      <w:pPr>
        <w:sectPr>
          <w:pgSz w:w="11900" w:h="16838" w:orient="portrait"/>
          <w:cols w:equalWidth="0" w:num="1">
            <w:col w:w="11240"/>
          </w:cols>
          <w:pgMar w:left="320" w:top="121" w:right="339" w:bottom="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used in conjunction with other clinicopathological factors after they have undergone surgery in conjunction with locoregional treatment and consistent with the standard of care.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August 2014, the FDA issued a final guidance document titled In Vitro Companion Diagnostic Devices. In the guidance, the FDA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approved or cleared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Class III devices generally require the approval of a PMA before they can be marketed.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July 2016, the FDA issued guidance pertaining to the co-development of companion diagnostic tests with a therapeutic product. The FDA explained that while it supports contemporaneous marketing authorizations, if there are any deficiencies in the submissions, the FDA may place a PMA review of a companion diagnostic on hold or request additional testing, which could potentially delay the approval of the corresponding new drug application or the marketing authorization of the companion diagnostic or otherwise complicate the review process. 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marketing authorization we obtain for any future device product would be subject to regulatory requirements that would affect how we are able to market and sell the device. The FDC Act and FDA regulations place considerable requirements on our products, including, but not limited to, compliance with the quality system regulations, or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from the FDA and are therefore supplementing our operational capabilities to manage the more complex processes needed to obtain and maintain PMAs.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our diagnostic products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outside the United States may differ from that required to obtain FDA marketing authorization, and we may not be able to obtain foreign regulatory approvals on a timely basis or at all. Marketing authorization from the FDA does not ensure approval by regulatory authorities in other countries, and approval by any foreign regulatory authority does not ensure marketing authorization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marketing authorizations to market Prosigna in additional countries or if regulatory limitations are placed on our diagnostic kit products, our business and growth will be harmed.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FDA cleared the Prosigna test for marketing in the United States; Prosigna also has a CE mark which permits us to market the test in the European Union; and Prosigna received marketing authorizations in selected other jurisdictions. We intend to seek regulatory authorizations for Prosigna in other jurisdictions and, potentially, for other indications.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pursuant to our collaborations with pharmaceutical companies for the development of companion diagnostic tests for use with their drugs, we are responsible for obtaining regulatory authorizations to use the companion diagnostic tests in clinical trials as well as the marketing authorizations to sell the companion diagnostic tests following completion of such trials. Some of the compensation we expect to receive pursuant to these collaborations is based on the receipt of marketing authorizations. Any failure to obtain marketing authorizations for our diagnostic kits in a particular jurisdiction may also reduce sales of our nCounter systems for clinical use in that jurisdiction, as the lack of a robust menu of available diagnostic tests would make those systems less attractive to testing laboratories.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assure investors that we will be successful in obtaining regulatory clearances, approvals, or marketing authorizations. If we do not obtain regulatory clearances,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ongoing and extensive regulatory requirements, and our failure to comply with these requirements could substantially harm our business.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of our products are regulated as in vitro diagnostic medical devices, including Prosigna and the nCounter Analysis System. Accordingly, we and certain of our contract manufacturers are subject to ongoing International Organization for Standardization, or ISO, obligations as well as requirements under the FDC Act and device regulations enforced by the FDA and other statutory and regulatory requirements enforced by other government authorities. These may include routine inspections by Notified Bodies, FDA, and other health authorities, of our manufacturing facilities and our records for compliance with standards such as ISO 13485 and QSR regulations, which establish extensive requirements for quality assurance and control as well as manufacturing and change control procedures, among other things. These inspections may include the manufacturing facilities of any</w:t>
      </w:r>
    </w:p>
    <w:p>
      <w:pPr>
        <w:sectPr>
          <w:pgSz w:w="11900" w:h="16838" w:orient="portrait"/>
          <w:cols w:equalWidth="0" w:num="1">
            <w:col w:w="11240"/>
          </w:cols>
          <w:pgMar w:left="320" w:top="121" w:right="339" w:bottom="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continued adverse event and malfunction reporting; reporting certain corrections and removals; and labeling and promotional requirements.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regulatory bodies may also issue guidelines and regulations that could impact the development of our products, including companion diagnostic tests. For example, the European Medicines Agency, a European Union agency which is responsible for the scientific evaluation of medicines used in the European Union, recently launched an initiative to determine guidelines for the use of genomic biomarkers in the development and lifecycle of drugs. On April 5, 2017, the European Union Parliament passed Regulation (EU) 2017/746, referred to as the IVD Device Regulation, or IVDR, which increases the regulatory requirements applicable to in vitro diagnostics in the EU and would require that we re-classify and obtain approval, registration, or clearance for our existing CE-marked IVD products within a five-year grace period (by May 25, 2022).</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also be subject to additional FDA or global regulatory authority post-marketing obligations or requirements by the FDA or global regulatory authority to change our current product classifications which would impose additional regulatory obligations on us. The promotional claims we can make for Prosigna are limited to the indications for use in the United States as cleared by the FDA or outside the United States as authorized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we may be unable to increase or sustain our revenue or achieve profitability.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our primary competition in pulmonology with our Percepta and Envisia classifiers will similarly come from traditional methods used by physicians to diagnose the related diseases. For the Percepta test, we expect competition from companies focused on lung cancer such as Oncocyte Corporation and Biodesix, Inc. We believe our principal competitor in the breast cancer diagnostics market is Exact Sciences, Inc. (having combined with Genomic Health, Inc.), which currently commands a substantial majority of the market. As we expand our portfolio of tests to address clinical questions across the clinical care continuum, we may also face competition from companies focused on screening at-risk patients for cancer or companies informing treatment decisions such as Guardant Health or GRAIL. Competition could also emerge using alternative samples, such as blood, urine or sputum. However, such “liquid biopsies” are currently being used to gauge risk of recurrence or response to treatment in patients already diagnosed with lung cancer.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members of our senior management team or our inability to attract and retain key personnel could adversely affect 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including due to illness resulting from COVID-19, we may experience difficulties in competing effectively, developing our technologies and implementing our business strategy.</w:t>
      </w:r>
    </w:p>
    <w:p>
      <w:pPr>
        <w:sectPr>
          <w:pgSz w:w="11900" w:h="16838" w:orient="portrait"/>
          <w:cols w:equalWidth="0" w:num="1">
            <w:col w:w="11240"/>
          </w:cols>
          <w:pgMar w:left="320" w:top="121" w:right="339" w:bottom="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Additionally, our success depends on our ability to attract and retain qualified sales-people.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Percepta and Envisia tests, or acquire, such as Prosigna, we may have difficulties recruiting and training additional sales personnel or retaining qualified salespeople, which could cause a delay or decline in the rate of adoption of our tests.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Billing for our diagnostic tests is complex, and we must dedicate substantial time and resources to the billing process to be paid.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Several factors make the billing process complex, including:</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payers, such as Medicare and Medicaid, including requirements to have an active CLIA certificate;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government audits related to billing Medicare and other government payers;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payers as to which party is responsible for payment;</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and in information and billing requirements among payers, including the need for prior authorization and/or advanced notification;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patient co-payments or co-insurance;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billing codes used for our tests;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standard industry billing codes, known as CPT codes, to bill for cytopathology. In addition, we use the CPT code 81545 to bill for our Afirma classifier. Effective January 1, 2021, we will use the new CPT code 81XX2 to bill for our Afirma classifier. Effective October 1, 2020, we will use the new CPT code 0204U to bill for Afirma Xpresion Atlas, and the new CPT code 0208U to bill for Afirma MTC. Effective January 1, 2021, we will use the new CPT code 81XX1 to bill for our Envisia classifier. There is no CPT code for our Percepta classifier. Therefore, until such time that we are assigned and are able to use a designated CPT code specific to Percepta, we use “unlisted” codes for claim submissions, which can lead to delays in payers adjudicating our claims or denying payment altogether.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recently adopted an update to its Coding Policy Manual effective January 1, 2019, to limit instances when multiple codes may be billed</w:t>
      </w:r>
    </w:p>
    <w:p>
      <w:pPr>
        <w:sectPr>
          <w:pgSz w:w="11900" w:h="16838" w:orient="portrait"/>
          <w:cols w:equalWidth="0" w:num="1">
            <w:col w:w="11240"/>
          </w:cols>
          <w:pgMar w:left="320" w:top="121" w:right="339" w:bottom="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for molecular pathology testing. Although the NCCI appears to have moderated this change in its updates effective January 1, 2020, such coding policy changes may negatively affect our revenues and cash flow.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third-party provider to transmit claims to payers, and any delay in transmitting claims could have an adverse effect on our 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acquired several international sales employees from NanoString, and expect to build upon this team as we offer additional tests internationally in the future. If our internal sales force is not successful, however,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 Moreover, we may experience delays in the development and introduction of new products due to the effects of the current COVID-19 outbreak.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develop and commercialize diagnostic tests, we need to:</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 to conduct substantial research and development;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successful analytical and clinical studies;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laboratory processes to accommodate new tests;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commercial infrastructure to market and sell new products.</w:t>
      </w:r>
    </w:p>
    <w:p>
      <w:pPr>
        <w:spacing w:after="0" w:line="25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product development process involves a high degree of risk and may take several years. Our product development efforts may fail for many reasons, including:</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 genomic signature in biomarker discovery;</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sufficient numbers of samples at an acceptable cost and on an acceptable timeframe to conduct analytical and clinical studies;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validation studies to support the effectiveness of the test.</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ectPr>
          <w:pgSz w:w="11900" w:h="16838" w:orient="portrait"/>
          <w:cols w:equalWidth="0" w:num="1">
            <w:col w:w="11240"/>
          </w:cols>
          <w:pgMar w:left="320" w:top="121" w:right="339" w:bottom="0" w:gutter="0" w:footer="0" w:header="0"/>
        </w:sectPr>
      </w:pPr>
    </w:p>
    <w:bookmarkStart w:id="46" w:name="page47"/>
    <w:bookmarkEnd w:id="46"/>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enter into new clinical study collaborations, our product development and subsequent commercialization could be delayed.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62" w:lineRule="exact"/>
        <w:rPr>
          <w:sz w:val="20"/>
          <w:szCs w:val="20"/>
          <w:color w:val="auto"/>
        </w:rPr>
      </w:pPr>
    </w:p>
    <w:p>
      <w:pPr>
        <w:jc w:val="both"/>
        <w:ind w:left="980" w:hanging="324"/>
        <w:spacing w:after="0" w:line="258"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billing and payment regulations applicable to clinical laboratories, including requirements to have an active CLIA certificate;</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ectPr>
          <w:pgSz w:w="11900" w:h="16855" w:orient="portrait"/>
          <w:cols w:equalWidth="0" w:num="1">
            <w:col w:w="11240"/>
          </w:cols>
          <w:pgMar w:left="320" w:top="333" w:right="339" w:bottom="0" w:gutter="0" w:footer="0" w:header="0"/>
        </w:sectPr>
      </w:pPr>
    </w:p>
    <w:bookmarkStart w:id="47" w:name="page48"/>
    <w:bookmarkEnd w:id="47"/>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and other similar laws, which apply to our international activities;</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property (escheat) laws and regulations, which may require us to turn over to governmental authorities the property of others held by us that has been unclaimed for a specified period of time;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our intellectual property rights.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ectPr>
          <w:pgSz w:w="11900" w:h="16838" w:orient="portrait"/>
          <w:cols w:equalWidth="0" w:num="1">
            <w:col w:w="11240"/>
          </w:cols>
          <w:pgMar w:left="320" w:top="337" w:right="339" w:bottom="0" w:gutter="0" w:footer="0" w:header="0"/>
        </w:sectPr>
      </w:pPr>
    </w:p>
    <w:bookmarkStart w:id="48" w:name="page49"/>
    <w:bookmarkEnd w:id="48"/>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where required for the use of our solutions in various countries;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tissue samples, including infrastructure conditions and transportation delays;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establishing laboratory partners, including proper sample collection techniques, management of supplies, sample logistics, billing and promotional activities;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not able to process tests locally;</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including COVID-19, boycotts, curtailment of trade and other business restrictions;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revenue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established distribution agreements for our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or errors and omissions liability, we could face substantial liabilities that exceed our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Envisia and Prosigna tests, as well as tests we may develop or acquire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 of disruptions caused by pandemics, political events, war, terrorism, earthquakes, fire, power outages, floods, and other catastrophic events.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War, terrorism, geopolitical uncertainties,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we expect will continue to have, a negative effect on consumer confidence and spending, and other impacts, which could adversely affect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catastrophe strikes either of our laboratories or if either of our laboratories becomes inoperable for any other reason, we will be unable to perform our testing services and our business will be harmed.</w:t>
      </w:r>
    </w:p>
    <w:p>
      <w:pPr>
        <w:sectPr>
          <w:pgSz w:w="11900" w:h="16838" w:orient="portrait"/>
          <w:cols w:equalWidth="0" w:num="1">
            <w:col w:w="11240"/>
          </w:cols>
          <w:pgMar w:left="320" w:top="121" w:right="339" w:bottom="0" w:gutter="0" w:footer="0" w:header="0"/>
        </w:sectPr>
      </w:pPr>
    </w:p>
    <w:bookmarkStart w:id="49" w:name="page50"/>
    <w:bookmarkEnd w:id="49"/>
    <w:p>
      <w:pPr>
        <w:spacing w:after="0" w:line="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perform all of the Afirma, Percepta and Envisia genomic classifier testing at our laboratory in South San Francisco, California, near major earthquake faults known for seismic activity and in a region affected by wildfires. Our laboratory in Austin, Texas accepts and stores the majority of our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biotechnology companies have been highly volatile as a result of the COVID-19 pandemic, which may reduce our ability to access capital on favorable terms or at all. In addition, a recession, depression or other sustained adverse market event resulting from the spread of COVID-19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 based systems during the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we are subject to various state laws, including the California Consumer Privacy Act, or CCPA, which was enacted in California in 2018 and components of which went into effect on January 1, 2020. The CCPA, among other things, requires covered companies to provide disclosures to California consumers concerning the collection and sale of personal information, and gives such consumers the right to opt-out of certain sales of personal information. Amendments to the CCPA have been made since its enactment, and it remains unclear what, if any, further amendments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w:t>
      </w:r>
    </w:p>
    <w:p>
      <w:pPr>
        <w:sectPr>
          <w:pgSz w:w="11900" w:h="16846" w:orient="portrait"/>
          <w:cols w:equalWidth="0" w:num="1">
            <w:col w:w="11240"/>
          </w:cols>
          <w:pgMar w:left="320" w:top="121" w:right="339" w:bottom="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 turnover for the preceding financial year or €20 million (whichever is higher) for the most serious infringements). On July 16, 2020, the Court of Justice of the European Union issued a decision invalidating outright the EU-US Privacy Shield framework which companies rely on to transfer data from the European Union to the United States. As a result, we may need to modify the way we treat such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effectively, our business would be harmed.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2021 and 2038 and are related to methods used in thyroid diagnostics, lung diagnostics, breast cancer diagnostics, and the nCounter analysis platform.</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w:t>
      </w:r>
    </w:p>
    <w:p>
      <w:pPr>
        <w:sectPr>
          <w:pgSz w:w="11900" w:h="16838" w:orient="portrait"/>
          <w:cols w:equalWidth="0" w:num="1">
            <w:col w:w="11240"/>
          </w:cols>
          <w:pgMar w:left="320" w:top="121" w:right="339" w:bottom="0" w:gutter="0" w:footer="0" w:header="0"/>
        </w:sectPr>
      </w:pPr>
    </w:p>
    <w:bookmarkStart w:id="51" w:name="page52"/>
    <w:bookmarkEnd w:id="5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guaranty that one of our existing trademarks will be available as the brand for that new product line. Under those circumstances, we may incur the cost of developing a new trademark for this new product line.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w:t>
      </w:r>
    </w:p>
    <w:p>
      <w:pPr>
        <w:sectPr>
          <w:pgSz w:w="11900" w:h="16838" w:orient="portrait"/>
          <w:cols w:equalWidth="0" w:num="1">
            <w:col w:w="11240"/>
          </w:cols>
          <w:pgMar w:left="320" w:top="121" w:right="339" w:bottom="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 and may result in increased future tax liability to 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incurred net losses since our inception and may never achieve profitability. As of December 31, 2019, we had net operating loss, or NOL, carryforwards of approximately $236.9 million, $58.3 million and $45.2 million available to reduce future taxable income, if any, for federal, California and other state income tax purposes, respectively. The U.S. federal NOL carryforwards will begin to expire in 2026 while for state purposes, the NOL carryforwards begin to expire in 2028.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or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 In addition, it is uncertain if and to what extent various states will conform to the Tax Act, as modified by the CARES Act. The impact of the Tax Act, as modified by the CARES Act, on holders of our common stock is also uncertain and could be adverse.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review our goodwill and intangible assets for impairment when events or changes in circumstances indicate the carrying value may not be recoverable, such as declines in stock price, market capitalization, or cash flows and slower growth rates in our industry. Goodwill is required to be tested for impairment at least annually. If we are required to record a significant charge in our consolidated financial statements during the period in which any impairment of our goodwill or intangible assets is determined, that would negatively affect our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condensed consolidated financial statements include those related to revenue recognition, finite-lived intangible assets, goodwill, and stock-based compensation expense.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ectPr>
          <w:pgSz w:w="11900" w:h="16838" w:orient="portrait"/>
          <w:cols w:equalWidth="0" w:num="1">
            <w:col w:w="11240"/>
          </w:cols>
          <w:pgMar w:left="320" w:top="121" w:right="339" w:bottom="87"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now required to include an attestation report from our independent registered public accounting firm on the effectiveness of our internal control over financial reporting annually.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sell shares of our common stock at or above the price you paid.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6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 our competitors’ results of operations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macroeconomic impact of the current COVID-19 outbreak;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commercial relationships or capital commitments;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current or potential payers, including governmental payers;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changed recommendations for our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due in part to the way in which we recognize revenue;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w:t>
      </w:r>
    </w:p>
    <w:p>
      <w:pPr>
        <w:sectPr>
          <w:pgSz w:w="11900" w:h="16838" w:orient="portrait"/>
          <w:cols w:equalWidth="0" w:num="1">
            <w:col w:w="11240"/>
          </w:cols>
          <w:pgMar w:left="320" w:top="117" w:right="339" w:bottom="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overall market and the market price of a particular company’s securities, securities class action litigation has often been instituted against these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litigation, if instituted against us, could result in substantial costs and a diversion of our management’s attention and resources.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62"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 million shares of undesignated preferred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each class serving staggered terms;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federal district courts of the United States shall be the exclusive forum for the resolution of any complaint asserting a cause of action arising under the Securities Act of 1933, as amended;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gridSpan w:val="3"/>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3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675"/>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00"/>
        </w:trPr>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5"/>
        </w:trPr>
        <w:tc>
          <w:tcPr>
            <w:tcW w:w="254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10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0"/>
                <w:szCs w:val="20"/>
                <w:color w:val="auto"/>
              </w:rPr>
            </w:pPr>
          </w:p>
        </w:tc>
        <w:tc>
          <w:tcPr>
            <w:tcW w:w="398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20"/>
                <w:szCs w:val="20"/>
                <w:color w:val="auto"/>
              </w:rPr>
            </w:pP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60" w:type="dxa"/>
            <w:vAlign w:val="bottom"/>
          </w:tcPr>
          <w:p>
            <w:pPr>
              <w:spacing w:after="0"/>
              <w:rPr>
                <w:sz w:val="20"/>
                <w:szCs w:val="20"/>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60" w:type="dxa"/>
            <w:vAlign w:val="bottom"/>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77"/>
        </w:trPr>
        <w:tc>
          <w:tcPr>
            <w:tcW w:w="2540" w:type="dxa"/>
            <w:vAlign w:val="bottom"/>
            <w:gridSpan w:val="3"/>
          </w:tcPr>
          <w:p>
            <w:pPr>
              <w:jc w:val="right"/>
              <w:ind w:right="340"/>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10.1#</w:t>
              </w:r>
            </w:hyperlink>
          </w:p>
        </w:tc>
        <w:tc>
          <w:tcPr>
            <w:tcW w:w="4040" w:type="dxa"/>
            <w:vAlign w:val="bottom"/>
            <w:gridSpan w:val="4"/>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Form of stock option award agreement</w:t>
              </w:r>
            </w:hyperlink>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83"/>
        </w:trPr>
        <w:tc>
          <w:tcPr>
            <w:tcW w:w="2540" w:type="dxa"/>
            <w:vAlign w:val="bottom"/>
            <w:gridSpan w:val="3"/>
          </w:tcPr>
          <w:p>
            <w:pPr>
              <w:jc w:val="right"/>
              <w:ind w:right="34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10.2#</w:t>
              </w:r>
            </w:hyperlink>
          </w:p>
        </w:tc>
        <w:tc>
          <w:tcPr>
            <w:tcW w:w="4040" w:type="dxa"/>
            <w:vAlign w:val="bottom"/>
            <w:gridSpan w:val="4"/>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Form of stock unit award agreement</w:t>
              </w:r>
            </w:hyperlink>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43"/>
        </w:trPr>
        <w:tc>
          <w:tcPr>
            <w:tcW w:w="2540" w:type="dxa"/>
            <w:vAlign w:val="bottom"/>
            <w:gridSpan w:val="3"/>
          </w:tcPr>
          <w:p>
            <w:pPr>
              <w:jc w:val="right"/>
              <w:ind w:right="340"/>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31.1</w:t>
              </w:r>
            </w:hyperlink>
          </w:p>
        </w:tc>
        <w:tc>
          <w:tcPr>
            <w:tcW w:w="4040" w:type="dxa"/>
            <w:vAlign w:val="bottom"/>
            <w:gridSpan w:val="4"/>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Certification of Principal Executive Officer pursuant to</w:t>
              </w:r>
            </w:hyperlink>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Rules 13a-14(a)/15d-14(a), as adopted pursuant to</w:t>
              </w:r>
            </w:hyperlink>
          </w:p>
        </w:tc>
        <w:tc>
          <w:tcPr>
            <w:tcW w:w="340" w:type="dxa"/>
            <w:vAlign w:val="bottom"/>
            <w:tcBorders>
              <w:top w:val="single" w:sz="8" w:color="0000EE"/>
            </w:tcBorders>
          </w:tcPr>
          <w:p>
            <w:pPr>
              <w:spacing w:after="0"/>
              <w:rPr>
                <w:sz w:val="17"/>
                <w:szCs w:val="17"/>
                <w:color w:val="auto"/>
              </w:rPr>
            </w:pPr>
          </w:p>
        </w:tc>
        <w:tc>
          <w:tcPr>
            <w:tcW w:w="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ectPr>
          <w:pgSz w:w="11900" w:h="16838" w:orient="portrait"/>
          <w:cols w:equalWidth="0" w:num="1">
            <w:col w:w="11240"/>
          </w:cols>
          <w:pgMar w:left="320" w:top="121" w:right="339" w:bottom="0" w:gutter="0" w:footer="0" w:header="0"/>
        </w:sectPr>
      </w:pPr>
    </w:p>
    <w:bookmarkStart w:id="55" w:name="page56"/>
    <w:bookmarkEnd w:id="55"/>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6"/>
          </w:tcPr>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Section 302 of the Sarbanes-Oxley Act of 2002</w:t>
              </w:r>
            </w:hyperlink>
          </w:p>
        </w:tc>
        <w:tc>
          <w:tcPr>
            <w:tcW w:w="2460" w:type="dxa"/>
            <w:vAlign w:val="bottom"/>
          </w:tcPr>
          <w:p>
            <w:pPr>
              <w:spacing w:after="0"/>
              <w:rPr>
                <w:sz w:val="20"/>
                <w:szCs w:val="20"/>
                <w:color w:val="auto"/>
              </w:rPr>
            </w:pPr>
          </w:p>
        </w:tc>
      </w:tr>
      <w:tr>
        <w:trPr>
          <w:trHeight w:val="243"/>
        </w:trPr>
        <w:tc>
          <w:tcPr>
            <w:tcW w:w="1500" w:type="dxa"/>
            <w:vAlign w:val="bottom"/>
            <w:gridSpan w:val="2"/>
          </w:tcPr>
          <w:p>
            <w:pPr>
              <w:jc w:val="right"/>
              <w:ind w:right="340"/>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31.2</w:t>
              </w:r>
            </w:hyperlink>
          </w:p>
        </w:tc>
        <w:tc>
          <w:tcPr>
            <w:tcW w:w="39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Certification of Principal Financial Officer pursuant to</w:t>
              </w:r>
            </w:hyperlink>
          </w:p>
        </w:tc>
        <w:tc>
          <w:tcPr>
            <w:tcW w:w="2080" w:type="dxa"/>
            <w:vAlign w:val="bottom"/>
            <w:gridSpan w:val="2"/>
          </w:tcPr>
          <w:p>
            <w:pPr>
              <w:spacing w:after="0"/>
              <w:rPr>
                <w:sz w:val="21"/>
                <w:szCs w:val="21"/>
                <w:color w:val="auto"/>
              </w:rPr>
            </w:pP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Rule 13a-14(a)/15d-14(a), as adopted pursuant to</w:t>
              </w:r>
            </w:hyperlink>
          </w:p>
        </w:tc>
        <w:tc>
          <w:tcPr>
            <w:tcW w:w="2460" w:type="dxa"/>
            <w:vAlign w:val="bottom"/>
            <w:gridSpan w:val="4"/>
          </w:tcPr>
          <w:p>
            <w:pPr>
              <w:spacing w:after="0"/>
              <w:rPr>
                <w:sz w:val="17"/>
                <w:szCs w:val="17"/>
                <w:color w:val="auto"/>
              </w:rPr>
            </w:pPr>
          </w:p>
        </w:tc>
        <w:tc>
          <w:tcPr>
            <w:tcW w:w="2460" w:type="dxa"/>
            <w:vAlign w:val="bottom"/>
          </w:tcPr>
          <w:p>
            <w:pPr>
              <w:spacing w:after="0"/>
              <w:rPr>
                <w:sz w:val="17"/>
                <w:szCs w:val="17"/>
                <w:color w:val="auto"/>
              </w:rPr>
            </w:pPr>
          </w:p>
        </w:tc>
      </w:tr>
      <w:tr>
        <w:trPr>
          <w:trHeight w:val="237"/>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6"/>
          </w:tcPr>
          <w:p>
            <w:pPr>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Section 302 of the Sarbanes-Oxley Act of 2002</w:t>
              </w:r>
            </w:hyperlink>
          </w:p>
        </w:tc>
        <w:tc>
          <w:tcPr>
            <w:tcW w:w="2460" w:type="dxa"/>
            <w:vAlign w:val="bottom"/>
          </w:tcPr>
          <w:p>
            <w:pPr>
              <w:spacing w:after="0"/>
              <w:rPr>
                <w:sz w:val="20"/>
                <w:szCs w:val="20"/>
                <w:color w:val="auto"/>
              </w:rPr>
            </w:pPr>
          </w:p>
        </w:tc>
      </w:tr>
      <w:tr>
        <w:trPr>
          <w:trHeight w:val="243"/>
        </w:trPr>
        <w:tc>
          <w:tcPr>
            <w:tcW w:w="1500" w:type="dxa"/>
            <w:vAlign w:val="bottom"/>
            <w:gridSpan w:val="2"/>
          </w:tcPr>
          <w:p>
            <w:pPr>
              <w:jc w:val="right"/>
              <w:ind w:right="340"/>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32.1*</w:t>
              </w:r>
            </w:hyperlink>
          </w:p>
        </w:tc>
        <w:tc>
          <w:tcPr>
            <w:tcW w:w="6000" w:type="dxa"/>
            <w:vAlign w:val="bottom"/>
            <w:gridSpan w:val="6"/>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Certification of Principal Executive Officer pursuant to</w:t>
              </w:r>
            </w:hyperlink>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18 U.S.C. § 1350 (Section 906 of the Sarbanes-Oxley</w:t>
              </w:r>
            </w:hyperlink>
          </w:p>
        </w:tc>
        <w:tc>
          <w:tcPr>
            <w:tcW w:w="100" w:type="dxa"/>
            <w:vAlign w:val="bottom"/>
            <w:tcBorders>
              <w:top w:val="single" w:sz="8" w:color="0000EE"/>
            </w:tcBorders>
            <w:gridSpan w:val="2"/>
          </w:tcPr>
          <w:p>
            <w:pPr>
              <w:spacing w:after="0"/>
              <w:rPr>
                <w:sz w:val="17"/>
                <w:szCs w:val="17"/>
                <w:color w:val="auto"/>
              </w:rPr>
            </w:pPr>
          </w:p>
        </w:tc>
        <w:tc>
          <w:tcPr>
            <w:tcW w:w="20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80">
              <w:r>
                <w:rPr>
                  <w:rFonts w:ascii="Times New Roman" w:cs="Times New Roman" w:eastAsia="Times New Roman" w:hAnsi="Times New Roman"/>
                  <w:sz w:val="18"/>
                  <w:szCs w:val="18"/>
                  <w:color w:val="0000EE"/>
                  <w:w w:val="97"/>
                </w:rPr>
                <w:t>Act of 2002)</w:t>
              </w:r>
            </w:hyperlink>
          </w:p>
        </w:tc>
        <w:tc>
          <w:tcPr>
            <w:tcW w:w="5080" w:type="dxa"/>
            <w:vAlign w:val="bottom"/>
            <w:gridSpan w:val="5"/>
          </w:tcPr>
          <w:p>
            <w:pPr>
              <w:spacing w:after="0"/>
              <w:rPr>
                <w:sz w:val="17"/>
                <w:szCs w:val="17"/>
                <w:color w:val="auto"/>
              </w:rPr>
            </w:pPr>
          </w:p>
        </w:tc>
        <w:tc>
          <w:tcPr>
            <w:tcW w:w="2460" w:type="dxa"/>
            <w:vAlign w:val="bottom"/>
          </w:tcPr>
          <w:p>
            <w:pPr>
              <w:spacing w:after="0"/>
              <w:rPr>
                <w:sz w:val="17"/>
                <w:szCs w:val="17"/>
                <w:color w:val="auto"/>
              </w:rPr>
            </w:pPr>
          </w:p>
        </w:tc>
      </w:tr>
      <w:tr>
        <w:trPr>
          <w:trHeight w:val="264"/>
        </w:trPr>
        <w:tc>
          <w:tcPr>
            <w:tcW w:w="1500" w:type="dxa"/>
            <w:vAlign w:val="bottom"/>
            <w:gridSpan w:val="2"/>
          </w:tcPr>
          <w:p>
            <w:pPr>
              <w:jc w:val="right"/>
              <w:ind w:right="340"/>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32.2*</w:t>
              </w:r>
            </w:hyperlink>
          </w:p>
        </w:tc>
        <w:tc>
          <w:tcPr>
            <w:tcW w:w="39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Certification of Principal Financial Officer pursuant to</w:t>
              </w:r>
            </w:hyperlink>
          </w:p>
        </w:tc>
        <w:tc>
          <w:tcPr>
            <w:tcW w:w="2080" w:type="dxa"/>
            <w:vAlign w:val="bottom"/>
            <w:gridSpan w:val="2"/>
          </w:tcPr>
          <w:p>
            <w:pPr>
              <w:spacing w:after="0"/>
              <w:rPr>
                <w:sz w:val="22"/>
                <w:szCs w:val="22"/>
                <w:color w:val="auto"/>
              </w:rPr>
            </w:pP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18 U.S.C. § 1350 (Section 906 of the Sarbanes-Oxley</w:t>
              </w:r>
            </w:hyperlink>
          </w:p>
        </w:tc>
        <w:tc>
          <w:tcPr>
            <w:tcW w:w="2140" w:type="dxa"/>
            <w:vAlign w:val="bottom"/>
            <w:gridSpan w:val="3"/>
          </w:tcPr>
          <w:p>
            <w:pPr>
              <w:spacing w:after="0"/>
              <w:rPr>
                <w:sz w:val="17"/>
                <w:szCs w:val="17"/>
                <w:color w:val="auto"/>
              </w:rPr>
            </w:pPr>
          </w:p>
        </w:tc>
        <w:tc>
          <w:tcPr>
            <w:tcW w:w="24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81">
              <w:r>
                <w:rPr>
                  <w:rFonts w:ascii="Times New Roman" w:cs="Times New Roman" w:eastAsia="Times New Roman" w:hAnsi="Times New Roman"/>
                  <w:sz w:val="18"/>
                  <w:szCs w:val="18"/>
                  <w:color w:val="0000EE"/>
                  <w:w w:val="97"/>
                </w:rPr>
                <w:t>Act of 2002)</w:t>
              </w:r>
            </w:hyperlink>
          </w:p>
        </w:tc>
        <w:tc>
          <w:tcPr>
            <w:tcW w:w="5080" w:type="dxa"/>
            <w:vAlign w:val="bottom"/>
            <w:gridSpan w:val="5"/>
          </w:tcPr>
          <w:p>
            <w:pPr>
              <w:spacing w:after="0"/>
              <w:rPr>
                <w:sz w:val="17"/>
                <w:szCs w:val="17"/>
                <w:color w:val="auto"/>
              </w:rPr>
            </w:pPr>
          </w:p>
        </w:tc>
        <w:tc>
          <w:tcPr>
            <w:tcW w:w="2460" w:type="dxa"/>
            <w:vAlign w:val="bottom"/>
          </w:tcPr>
          <w:p>
            <w:pPr>
              <w:spacing w:after="0"/>
              <w:rPr>
                <w:sz w:val="17"/>
                <w:szCs w:val="17"/>
                <w:color w:val="auto"/>
              </w:rPr>
            </w:pPr>
          </w:p>
        </w:tc>
      </w:tr>
      <w:tr>
        <w:trPr>
          <w:trHeight w:val="286"/>
        </w:trPr>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101.INS</w:t>
            </w: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24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246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w:t>
            </w:r>
          </w:p>
        </w:tc>
        <w:tc>
          <w:tcPr>
            <w:tcW w:w="2460" w:type="dxa"/>
            <w:vAlign w:val="bottom"/>
          </w:tcPr>
          <w:p>
            <w:pPr>
              <w:spacing w:after="0"/>
              <w:rPr>
                <w:sz w:val="20"/>
                <w:szCs w:val="20"/>
                <w:color w:val="auto"/>
              </w:rPr>
            </w:pPr>
          </w:p>
        </w:tc>
      </w:tr>
      <w:tr>
        <w:trPr>
          <w:trHeight w:val="284"/>
        </w:trPr>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101.SCH</w:t>
            </w: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X</w:t>
            </w:r>
          </w:p>
        </w:tc>
      </w:tr>
      <w:tr>
        <w:trPr>
          <w:trHeight w:val="265"/>
        </w:trPr>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101.CAL</w:t>
            </w: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Linkbase</w:t>
            </w:r>
          </w:p>
        </w:tc>
        <w:tc>
          <w:tcPr>
            <w:tcW w:w="2460" w:type="dxa"/>
            <w:vAlign w:val="bottom"/>
          </w:tcPr>
          <w:p>
            <w:pPr>
              <w:spacing w:after="0"/>
              <w:rPr>
                <w:sz w:val="20"/>
                <w:szCs w:val="20"/>
                <w:color w:val="auto"/>
              </w:rPr>
            </w:pPr>
          </w:p>
        </w:tc>
      </w:tr>
      <w:tr>
        <w:trPr>
          <w:trHeight w:val="265"/>
        </w:trPr>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101.DEF</w:t>
            </w: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Linkbase</w:t>
            </w:r>
          </w:p>
        </w:tc>
        <w:tc>
          <w:tcPr>
            <w:tcW w:w="2460" w:type="dxa"/>
            <w:vAlign w:val="bottom"/>
          </w:tcPr>
          <w:p>
            <w:pPr>
              <w:spacing w:after="0"/>
              <w:rPr>
                <w:sz w:val="20"/>
                <w:szCs w:val="20"/>
                <w:color w:val="auto"/>
              </w:rPr>
            </w:pPr>
          </w:p>
        </w:tc>
      </w:tr>
      <w:tr>
        <w:trPr>
          <w:trHeight w:val="283"/>
        </w:trPr>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101.LAB</w:t>
            </w: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X</w:t>
            </w:r>
          </w:p>
        </w:tc>
      </w:tr>
      <w:tr>
        <w:trPr>
          <w:trHeight w:val="265"/>
        </w:trPr>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101.PRE</w:t>
            </w: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Linkbase</w:t>
            </w:r>
          </w:p>
        </w:tc>
        <w:tc>
          <w:tcPr>
            <w:tcW w:w="2460" w:type="dxa"/>
            <w:vAlign w:val="bottom"/>
          </w:tcPr>
          <w:p>
            <w:pPr>
              <w:spacing w:after="0"/>
              <w:rPr>
                <w:sz w:val="20"/>
                <w:szCs w:val="20"/>
                <w:color w:val="auto"/>
              </w:rPr>
            </w:pPr>
          </w:p>
        </w:tc>
      </w:tr>
      <w:tr>
        <w:trPr>
          <w:trHeight w:val="265"/>
        </w:trPr>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2460" w:type="dxa"/>
            <w:vAlign w:val="bottom"/>
          </w:tcPr>
          <w:p>
            <w:pPr>
              <w:spacing w:after="0"/>
              <w:rPr>
                <w:sz w:val="20"/>
                <w:szCs w:val="20"/>
                <w:color w:val="auto"/>
              </w:rPr>
            </w:pPr>
          </w:p>
        </w:tc>
      </w:tr>
      <w:tr>
        <w:trPr>
          <w:trHeight w:val="283"/>
        </w:trPr>
        <w:tc>
          <w:tcPr>
            <w:tcW w:w="11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77"/>
        </w:trPr>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24"/>
                <w:szCs w:val="24"/>
                <w:color w:val="auto"/>
              </w:rPr>
            </w:pP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Indicates compensatory plan or arrangement.</w:t>
            </w:r>
          </w:p>
        </w:tc>
        <w:tc>
          <w:tcPr>
            <w:tcW w:w="2460" w:type="dxa"/>
            <w:vAlign w:val="bottom"/>
          </w:tcPr>
          <w:p>
            <w:pPr>
              <w:spacing w:after="0"/>
              <w:rPr>
                <w:sz w:val="24"/>
                <w:szCs w:val="24"/>
                <w:color w:val="auto"/>
              </w:rPr>
            </w:pPr>
          </w:p>
        </w:tc>
      </w:tr>
      <w:tr>
        <w:trPr>
          <w:trHeight w:val="265"/>
        </w:trPr>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23"/>
                <w:szCs w:val="23"/>
                <w:color w:val="auto"/>
              </w:rPr>
            </w:pPr>
          </w:p>
        </w:tc>
        <w:tc>
          <w:tcPr>
            <w:tcW w:w="8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accordance with Item 601(b)(32)(ii) of Regulation S-K and SEC Release No. 34-47986, the certifications</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furnished in Exhibits 32.1 and 32.2 hereto are deemed to accompany this Form 10-Q and will not be deemed “filed”</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 purposes of Section 18 of the Exchange Act or deemed to be incorporated by reference into any filing under the</w:t>
            </w:r>
          </w:p>
        </w:tc>
      </w:t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Exchange Act or the Securities Act except to the extent that the registrant specifically incorporates it by reference.</w:t>
            </w: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2020</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VERACYTE, INC.</w:t>
      </w:r>
    </w:p>
    <w:p>
      <w:pPr>
        <w:spacing w:after="0" w:line="225" w:lineRule="exact"/>
        <w:rPr>
          <w:sz w:val="20"/>
          <w:szCs w:val="20"/>
          <w:color w:val="auto"/>
        </w:rPr>
      </w:pPr>
    </w:p>
    <w:tbl>
      <w:tblPr>
        <w:tblLayout w:type="fixed"/>
        <w:tblInd w:w="5540" w:type="dxa"/>
        <w:tblCellMar>
          <w:top w:w="0" w:type="dxa"/>
          <w:left w:w="0" w:type="dxa"/>
          <w:bottom w:w="0" w:type="dxa"/>
          <w:right w:w="0" w:type="dxa"/>
        </w:tblCellMar>
      </w:tblPr>
      <w:tr>
        <w:trPr>
          <w:trHeight w:val="234"/>
        </w:trPr>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KENNEDY</w:t>
            </w:r>
          </w:p>
        </w:tc>
      </w:tr>
      <w:tr>
        <w:trPr>
          <w:trHeight w:val="189"/>
        </w:trPr>
        <w:tc>
          <w:tcPr>
            <w:tcW w:w="740" w:type="dxa"/>
            <w:vAlign w:val="bottom"/>
          </w:tcPr>
          <w:p>
            <w:pPr>
              <w:spacing w:after="0"/>
              <w:rPr>
                <w:sz w:val="16"/>
                <w:szCs w:val="16"/>
                <w:color w:val="auto"/>
              </w:rPr>
            </w:pPr>
          </w:p>
        </w:tc>
        <w:tc>
          <w:tcPr>
            <w:tcW w:w="4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Keith Kennedy</w:t>
            </w:r>
          </w:p>
        </w:tc>
      </w:tr>
      <w:tr>
        <w:trPr>
          <w:trHeight w:val="216"/>
        </w:trPr>
        <w:tc>
          <w:tcPr>
            <w:tcW w:w="7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7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432"/>
        </w:trPr>
        <w:tc>
          <w:tcPr>
            <w:tcW w:w="7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64</w:t>
            </w:r>
          </w:p>
        </w:tc>
        <w:tc>
          <w:tcPr>
            <w:tcW w:w="49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6" w:name="page57"/>
    <w:bookmarkEnd w:id="56"/>
    <w:p>
      <w:pPr>
        <w:spacing w:after="0" w:line="75"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EXHIBIT 10.1</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2013 STOCK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Stock Option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10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Optionee Name and Address: </w:t>
            </w:r>
            <w:r>
              <w:rPr>
                <w:rFonts w:ascii="Times New Roman" w:cs="Times New Roman" w:eastAsia="Times New Roman" w:hAnsi="Times New Roman"/>
                <w:sz w:val="18"/>
                <w:szCs w:val="18"/>
                <w:color w:val="auto"/>
              </w:rPr>
              <w:t>[-]</w:t>
            </w:r>
          </w:p>
        </w:tc>
        <w:tc>
          <w:tcPr>
            <w:tcW w:w="4320" w:type="dxa"/>
            <w:vAlign w:val="bottom"/>
            <w:tcBorders>
              <w:top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Option Number:</w:t>
            </w:r>
          </w:p>
        </w:tc>
        <w:tc>
          <w:tcPr>
            <w:tcW w:w="2820" w:type="dxa"/>
            <w:vAlign w:val="bottom"/>
            <w:tcBorders>
              <w:top w:val="single" w:sz="8" w:color="auto"/>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Borders>
              <w:left w:val="single" w:sz="8" w:color="auto"/>
            </w:tcBorders>
          </w:tcPr>
          <w:p>
            <w:pPr>
              <w:spacing w:after="0"/>
              <w:rPr>
                <w:sz w:val="18"/>
                <w:szCs w:val="18"/>
                <w:color w:val="auto"/>
              </w:rPr>
            </w:pPr>
          </w:p>
        </w:tc>
        <w:tc>
          <w:tcPr>
            <w:tcW w:w="43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Doc Reference:</w:t>
            </w:r>
          </w:p>
        </w:tc>
        <w:tc>
          <w:tcPr>
            <w:tcW w:w="2820" w:type="dxa"/>
            <w:vAlign w:val="bottom"/>
            <w:tcBorders>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r>
      <w:tr>
        <w:trPr>
          <w:trHeight w:val="235"/>
        </w:trPr>
        <w:tc>
          <w:tcPr>
            <w:tcW w:w="4100" w:type="dxa"/>
            <w:vAlign w:val="bottom"/>
            <w:tcBorders>
              <w:left w:val="single" w:sz="8" w:color="auto"/>
              <w:bottom w:val="single" w:sz="8" w:color="auto"/>
            </w:tcBorders>
          </w:tcPr>
          <w:p>
            <w:pPr>
              <w:spacing w:after="0"/>
              <w:rPr>
                <w:sz w:val="20"/>
                <w:szCs w:val="20"/>
                <w:color w:val="auto"/>
              </w:rPr>
            </w:pPr>
          </w:p>
        </w:tc>
        <w:tc>
          <w:tcPr>
            <w:tcW w:w="43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EEO-ID:</w:t>
            </w:r>
          </w:p>
        </w:tc>
        <w:tc>
          <w:tcPr>
            <w:tcW w:w="2820" w:type="dxa"/>
            <w:vAlign w:val="bottom"/>
            <w:tcBorders>
              <w:bottom w:val="single" w:sz="8" w:color="auto"/>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have been granted the following Option to purchase shares of Common Stock of Veracyte, Inc. (the “Company”) under the Company’s 2013 Stock Incentive Plan (the “Plan”). The Option is subject to the terms and conditions set forth in this Notice of Stock Option Grant, the Stock Option Agreement and the Additional Terms for Participants Providing Services Outside the United States attached to the Stock Option Agreement as Exhibit A (collectively, the “Agreement”) and the Plan, which are incorporated herein by reference. Certain capitalized terms used, but not defined in this Notice of Stock Option Grant and the Agreement, are defined in the Plan.</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5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Option Shares Granted:</w:t>
            </w: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 Per Share:</w:t>
            </w: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Type of Option:</w:t>
            </w: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Commencement Date:</w:t>
            </w: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5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91"/>
        </w:trPr>
        <w:tc>
          <w:tcPr>
            <w:tcW w:w="5760" w:type="dxa"/>
            <w:vAlign w:val="bottom"/>
            <w:tcBorders>
              <w:left w:val="single" w:sz="8" w:color="auto"/>
              <w:right w:val="single" w:sz="8" w:color="auto"/>
            </w:tcBorders>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The close of business at Company headquarters the day immediately prior</w:t>
            </w: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 the Expiration Date is the last date on which this Option may be</w:t>
            </w: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exercised. This Option expires earlier if your Service terminates earlier, as</w:t>
            </w:r>
          </w:p>
        </w:tc>
      </w:tr>
      <w:tr>
        <w:trPr>
          <w:trHeight w:val="234"/>
        </w:trPr>
        <w:tc>
          <w:tcPr>
            <w:tcW w:w="5760" w:type="dxa"/>
            <w:vAlign w:val="bottom"/>
            <w:tcBorders>
              <w:left w:val="single" w:sz="8" w:color="auto"/>
              <w:bottom w:val="single" w:sz="8" w:color="auto"/>
              <w:right w:val="single" w:sz="8" w:color="auto"/>
            </w:tcBorders>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described in the Stock Option Agreement.</w:t>
            </w:r>
          </w:p>
        </w:tc>
      </w:tr>
      <w:tr>
        <w:trPr>
          <w:trHeight w:val="191"/>
        </w:trPr>
        <w:tc>
          <w:tcPr>
            <w:tcW w:w="57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Vesting Schedule:</w:t>
            </w:r>
          </w:p>
        </w:tc>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Except as otherwise provided in the Agreement, this Option may be</w:t>
            </w: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exercised in whole or in part, in accordance with the following schedule,</w:t>
            </w: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which may be performance-based, provided the Optionee continues to</w:t>
            </w:r>
          </w:p>
        </w:tc>
      </w:tr>
      <w:tr>
        <w:trPr>
          <w:trHeight w:val="234"/>
        </w:trPr>
        <w:tc>
          <w:tcPr>
            <w:tcW w:w="5760" w:type="dxa"/>
            <w:vAlign w:val="bottom"/>
            <w:tcBorders>
              <w:left w:val="single" w:sz="8" w:color="auto"/>
              <w:bottom w:val="single" w:sz="8" w:color="auto"/>
              <w:right w:val="single" w:sz="8" w:color="auto"/>
            </w:tcBorders>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remain in Service at such time: [-]</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By Optionee’s electronic acceptance and the electronic signature of the Company’s representative below, you and the Company agree that this Option is granted under and governed by the terms and conditions of the Plan and the Agreement, both of which are attached to and made a part of this document.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By accepting this document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w:t>
      </w:r>
    </w:p>
    <w:p>
      <w:pPr>
        <w:spacing w:after="0" w:line="1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VERACYTE, Inc.</w:t>
      </w:r>
    </w:p>
    <w:p>
      <w:pPr>
        <w:sectPr>
          <w:pgSz w:w="11900" w:h="16914"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_____________________________________________</w:t>
      </w:r>
    </w:p>
    <w:p>
      <w:pPr>
        <w:spacing w:after="0" w:line="9" w:lineRule="exact"/>
        <w:rPr>
          <w:sz w:val="20"/>
          <w:szCs w:val="20"/>
          <w:color w:val="auto"/>
        </w:rPr>
      </w:pPr>
    </w:p>
    <w:p>
      <w:pPr>
        <w:sectPr>
          <w:pgSz w:w="11900" w:h="16914" w:orient="portrait"/>
          <w:cols w:equalWidth="0" w:num="2">
            <w:col w:w="4900" w:space="720"/>
            <w:col w:w="5620"/>
          </w:cols>
          <w:pgMar w:left="320" w:top="121"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ERACYTE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2013 STOCK INCENTIVE PLAN</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Options are subject to the terms and conditions set forth in the Notice of Stock Option Grant, this Stock Option Agreement and the Additional Terms for Participants Providing Services Outside the United States attached to this Stock Option Agreement as Exhibit A (collectively the “Agreement”) and the Plan, which are incorporated herein by reference.</w:t>
      </w:r>
    </w:p>
    <w:p>
      <w:pPr>
        <w:spacing w:after="0" w:line="17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terms defined in the Plan shall have the same defined meanings in the Notice of Stock Option Grant and the Agreement.</w:t>
      </w:r>
    </w:p>
    <w:p>
      <w:pPr>
        <w:sectPr>
          <w:pgSz w:w="11900" w:h="16914" w:orient="portrait"/>
          <w:cols w:equalWidth="0" w:num="1">
            <w:col w:w="11240"/>
          </w:cols>
          <w:pgMar w:left="320" w:top="121" w:right="339" w:bottom="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 Treatment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Option is intended to be an incentive stock option under Section 422 of the Internal Revenue Code or a nonstatutory option, as provided in the Notice of Stock Option Grant. Even if this Option is designated as an incentive stock option, it shall be deemed to be a nonstatutory option to the extent required by the $100,000 annual limitation under Section 422(d) of the Internal Revenue Code.</w:t>
      </w:r>
    </w:p>
    <w:p>
      <w:pPr>
        <w:spacing w:after="0" w:line="176" w:lineRule="exact"/>
        <w:rPr>
          <w:sz w:val="20"/>
          <w:szCs w:val="20"/>
          <w:color w:val="auto"/>
        </w:rPr>
      </w:pPr>
    </w:p>
    <w:p>
      <w:pPr>
        <w:sectPr>
          <w:pgSz w:w="11900" w:h="16914" w:orient="portrait"/>
          <w:cols w:equalWidth="0" w:num="2">
            <w:col w:w="1860" w:space="720"/>
            <w:col w:w="8660"/>
          </w:cols>
          <w:pgMar w:left="320" w:top="121"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This Option becomes exercisable as it becomes vested, which may be in one or multiple installments, as shown in the Notice of Stock Option Grant. This Option will in no event become exercisable for additional Shares after your Service</w:t>
      </w:r>
    </w:p>
    <w:p>
      <w:pPr>
        <w:sectPr>
          <w:pgSz w:w="11900" w:h="16914" w:orient="portrait"/>
          <w:cols w:equalWidth="0" w:num="2">
            <w:col w:w="1860" w:space="720"/>
            <w:col w:w="8660"/>
          </w:cols>
          <w:pgMar w:left="320" w:top="121" w:right="339" w:bottom="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14"/>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 an Employee or a Consultant has terminated for any reason [, except as provided in your Change of Control and</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Severance Agreement to the extent in effect at the time of termination] </w:t>
            </w:r>
            <w:r>
              <w:rPr>
                <w:rFonts w:ascii="Times New Roman" w:cs="Times New Roman" w:eastAsia="Times New Roman" w:hAnsi="Times New Roman"/>
                <w:sz w:val="18"/>
                <w:szCs w:val="18"/>
                <w:i w:val="1"/>
                <w:iCs w:val="1"/>
                <w:color w:val="auto"/>
              </w:rPr>
              <w:t>[reference to Change of Control and Severance</w:t>
            </w:r>
          </w:p>
        </w:tc>
      </w:tr>
      <w:tr>
        <w:trPr>
          <w:trHeight w:val="236"/>
        </w:trPr>
        <w:tc>
          <w:tcPr>
            <w:tcW w:w="2220" w:type="dxa"/>
            <w:vAlign w:val="bottom"/>
          </w:tcPr>
          <w:p>
            <w:pPr>
              <w:spacing w:after="0"/>
              <w:rPr>
                <w:sz w:val="20"/>
                <w:szCs w:val="20"/>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Agreement to be included only if applicable to the Participant]</w:t>
            </w:r>
            <w:r>
              <w:rPr>
                <w:rFonts w:ascii="Times New Roman" w:cs="Times New Roman" w:eastAsia="Times New Roman" w:hAnsi="Times New Roman"/>
                <w:sz w:val="18"/>
                <w:szCs w:val="18"/>
                <w:color w:val="auto"/>
              </w:rPr>
              <w:t>.</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This Option expires in any event at the close of business at Company headquarters on the day before the 10th</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anniversary of the Grant Date, as shown on the Notice of Stock Option Grant (fifth anniversary for a more than 10%</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shareholder as provided under the Plan if this is an incentive stock option). This Option may expire earlier if your</w:t>
            </w:r>
          </w:p>
        </w:tc>
      </w:tr>
      <w:tr>
        <w:trPr>
          <w:trHeight w:val="234"/>
        </w:trPr>
        <w:tc>
          <w:tcPr>
            <w:tcW w:w="2220" w:type="dxa"/>
            <w:vAlign w:val="bottom"/>
          </w:tcPr>
          <w:p>
            <w:pPr>
              <w:spacing w:after="0"/>
              <w:rPr>
                <w:sz w:val="20"/>
                <w:szCs w:val="20"/>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Service terminates, as described below.</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Regular Termination</w:t>
            </w: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If your Service terminates for any reason except death or “Total and Permanent Disability” (as defined in the Plan), then</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this Option will expire at the close of business at Company headquarters on the date three (3) months after the date your</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Service terminates (or, if earlier, the Expiration Date). The Company determines when your Service terminates for this</w:t>
            </w:r>
          </w:p>
        </w:tc>
      </w:tr>
      <w:tr>
        <w:trPr>
          <w:trHeight w:val="234"/>
        </w:trPr>
        <w:tc>
          <w:tcPr>
            <w:tcW w:w="2220" w:type="dxa"/>
            <w:vAlign w:val="bottom"/>
          </w:tcPr>
          <w:p>
            <w:pPr>
              <w:spacing w:after="0"/>
              <w:rPr>
                <w:sz w:val="20"/>
                <w:szCs w:val="20"/>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purpose and all purposes under the Plan and its determinations are conclusive and binding on all persons.</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Death</w:t>
            </w: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If your Service terminates because of death, then this Option will expire at the close of business at Company</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headquarters on the date 12 months after the date your Service terminates (or, if earlier, the Expiration Date). During</w:t>
            </w:r>
          </w:p>
        </w:tc>
      </w:tr>
      <w:tr>
        <w:trPr>
          <w:trHeight w:val="234"/>
        </w:trPr>
        <w:tc>
          <w:tcPr>
            <w:tcW w:w="2220" w:type="dxa"/>
            <w:vAlign w:val="bottom"/>
          </w:tcPr>
          <w:p>
            <w:pPr>
              <w:spacing w:after="0"/>
              <w:rPr>
                <w:sz w:val="20"/>
                <w:szCs w:val="20"/>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that period of up to 12 months, your estate or heirs may exercise the Option.</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Disability</w:t>
            </w: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If your Service terminates because of your Total and Permanent Disability, then this Option will expire at the close of</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business at Company headquarters on the date 12 months after the date your Service terminates (or, if earlier, the</w:t>
            </w:r>
          </w:p>
        </w:tc>
      </w:tr>
      <w:tr>
        <w:trPr>
          <w:trHeight w:val="234"/>
        </w:trPr>
        <w:tc>
          <w:tcPr>
            <w:tcW w:w="2220" w:type="dxa"/>
            <w:vAlign w:val="bottom"/>
          </w:tcPr>
          <w:p>
            <w:pPr>
              <w:spacing w:after="0"/>
              <w:rPr>
                <w:sz w:val="20"/>
                <w:szCs w:val="20"/>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412"/>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Leaves of Absence</w:t>
            </w: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 purposes of this Option, your Service does not terminate when you go on a military leave, a sick leave or another</w:t>
            </w:r>
          </w:p>
        </w:tc>
      </w:tr>
      <w:tr>
        <w:trPr>
          <w:trHeight w:val="218"/>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leave of absence, if the leave of absence was approved by the Company in writing and if continued crediting</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of Service is required by the terms of the leave or by applicable law. But your Service terminates when the approved</w:t>
            </w:r>
          </w:p>
        </w:tc>
      </w:tr>
      <w:tr>
        <w:trPr>
          <w:trHeight w:val="234"/>
        </w:trPr>
        <w:tc>
          <w:tcPr>
            <w:tcW w:w="2220" w:type="dxa"/>
            <w:vAlign w:val="bottom"/>
          </w:tcPr>
          <w:p>
            <w:pPr>
              <w:spacing w:after="0"/>
              <w:rPr>
                <w:sz w:val="20"/>
                <w:szCs w:val="20"/>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leave ends, unless you immediately return to active work.</w:t>
            </w:r>
          </w:p>
        </w:tc>
      </w:tr>
      <w:tr>
        <w:trPr>
          <w:trHeight w:val="414"/>
        </w:trPr>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ERACYTE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tc>
      </w:tr>
      <w:tr>
        <w:trPr>
          <w:trHeight w:val="207"/>
        </w:trPr>
        <w:tc>
          <w:tcPr>
            <w:tcW w:w="2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tc>
      </w:tr>
      <w:tr>
        <w:trPr>
          <w:trHeight w:val="282"/>
        </w:trPr>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20" w:type="dxa"/>
            <w:vAlign w:val="bottom"/>
          </w:tcPr>
          <w:p>
            <w:pPr>
              <w:ind w:left="2700"/>
              <w:spacing w:after="0"/>
              <w:rPr>
                <w:sz w:val="20"/>
                <w:szCs w:val="20"/>
                <w:color w:val="auto"/>
              </w:rPr>
            </w:pPr>
            <w:r>
              <w:rPr>
                <w:rFonts w:ascii="Times New Roman" w:cs="Times New Roman" w:eastAsia="Times New Roman" w:hAnsi="Times New Roman"/>
                <w:sz w:val="22"/>
                <w:szCs w:val="22"/>
                <w:color w:val="auto"/>
              </w:rPr>
              <w:t>-1-</w:t>
            </w:r>
          </w:p>
        </w:tc>
      </w:tr>
      <w:tr>
        <w:trPr>
          <w:trHeight w:val="429"/>
        </w:trPr>
        <w:tc>
          <w:tcPr>
            <w:tcW w:w="2220" w:type="dxa"/>
            <w:vAlign w:val="bottom"/>
          </w:tcPr>
          <w:p>
            <w:pPr>
              <w:spacing w:after="0"/>
              <w:rPr>
                <w:sz w:val="24"/>
                <w:szCs w:val="24"/>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If you go on a leave of absence, then the vesting schedule specified in the Notice of Stock Option Grant may be</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in accordance with the Company’s leave of absence policy or the terms of your leave. Notwithstanding the</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foregoing, except as otherwise required by applicable laws, vesting of this Option will be suspended during any unpaid</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leave of absence. If you commence working on a part-time basis, then the vesting schedule specified in the Notice of</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 Option Grant may be adjusted in accordance with the Company’s part-time work policy or the terms of an</w:t>
            </w:r>
          </w:p>
        </w:tc>
      </w:tr>
      <w:tr>
        <w:trPr>
          <w:trHeight w:val="234"/>
        </w:trPr>
        <w:tc>
          <w:tcPr>
            <w:tcW w:w="2220" w:type="dxa"/>
            <w:vAlign w:val="bottom"/>
          </w:tcPr>
          <w:p>
            <w:pPr>
              <w:spacing w:after="0"/>
              <w:rPr>
                <w:sz w:val="20"/>
                <w:szCs w:val="20"/>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agreement between you and the Company pertaining to your part-time schedule.</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Restrictions on Exercise</w:t>
            </w: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Company will not permit you to exercise this Option if the issuance of Shares at that time would violate any law or</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regulation. The inability of the Company to obtain approval from any regulatory body having authority deemed by the</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Company to be necessary to the lawful issuance and sale of the Company stock pursuant to this Option shall relieve the</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Company of any liability with respect to the non-issuance or sale of the Company stock as to which such approval shall</w:t>
            </w:r>
          </w:p>
        </w:tc>
      </w:tr>
      <w:tr>
        <w:trPr>
          <w:trHeight w:val="234"/>
        </w:trPr>
        <w:tc>
          <w:tcPr>
            <w:tcW w:w="2220" w:type="dxa"/>
            <w:vAlign w:val="bottom"/>
          </w:tcPr>
          <w:p>
            <w:pPr>
              <w:spacing w:after="0"/>
              <w:rPr>
                <w:sz w:val="20"/>
                <w:szCs w:val="20"/>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 have been obtained.</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Notice of Exercise</w:t>
            </w: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When you wish to exercise this Option you must provide a notice of exercise form in accordance with such procedures</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 are established by the Company and communicated to you from time to time. Any notice of exercise must specify</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how many Shares you wish to purchase and how your Shares should be registered. The notice of exercise will be</w:t>
            </w:r>
          </w:p>
        </w:tc>
      </w:tr>
      <w:tr>
        <w:trPr>
          <w:trHeight w:val="216"/>
        </w:trPr>
        <w:tc>
          <w:tcPr>
            <w:tcW w:w="22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effective when it is received by the Company. If someone else wants to exercise this Option after your death, that</w:t>
            </w:r>
          </w:p>
        </w:tc>
      </w:tr>
      <w:tr>
        <w:trPr>
          <w:trHeight w:val="234"/>
        </w:trPr>
        <w:tc>
          <w:tcPr>
            <w:tcW w:w="2220" w:type="dxa"/>
            <w:vAlign w:val="bottom"/>
          </w:tcPr>
          <w:p>
            <w:pPr>
              <w:spacing w:after="0"/>
              <w:rPr>
                <w:sz w:val="20"/>
                <w:szCs w:val="20"/>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person must prove to the Company’s satisfaction that he or she is entitled to do so.</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of Payment</w:t>
            </w: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When you submit your notice of exercise, you must include payment of the Option exercise price for the Shares you are</w:t>
            </w:r>
          </w:p>
        </w:tc>
      </w:tr>
      <w:tr>
        <w:trPr>
          <w:trHeight w:val="234"/>
        </w:trPr>
        <w:tc>
          <w:tcPr>
            <w:tcW w:w="2220" w:type="dxa"/>
            <w:vAlign w:val="bottom"/>
          </w:tcPr>
          <w:p>
            <w:pPr>
              <w:spacing w:after="0"/>
              <w:rPr>
                <w:sz w:val="20"/>
                <w:szCs w:val="20"/>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purchasing. Payment may be made in the following form(s):</w:t>
            </w:r>
          </w:p>
        </w:tc>
      </w:tr>
      <w:tr>
        <w:trPr>
          <w:trHeight w:val="432"/>
        </w:trPr>
        <w:tc>
          <w:tcPr>
            <w:tcW w:w="222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Your personal check, a cashier’s check or a money order.</w:t>
            </w:r>
          </w:p>
        </w:tc>
      </w:tr>
      <w:tr>
        <w:trPr>
          <w:trHeight w:val="414"/>
        </w:trPr>
        <w:tc>
          <w:tcPr>
            <w:tcW w:w="222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for Shares that you own, along with any forms needed to effect a transfer of those Shares to the</w:t>
            </w:r>
          </w:p>
        </w:tc>
      </w:tr>
      <w:tr>
        <w:trPr>
          <w:trHeight w:val="216"/>
        </w:trPr>
        <w:tc>
          <w:tcPr>
            <w:tcW w:w="2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The value of the Shares, determined as of the effective date of the Option exercise, will be applied to</w:t>
            </w:r>
          </w:p>
        </w:tc>
      </w:tr>
      <w:tr>
        <w:trPr>
          <w:trHeight w:val="216"/>
        </w:trPr>
        <w:tc>
          <w:tcPr>
            <w:tcW w:w="2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Option exercise price. Instead of surrendering Shares, you may attest to the ownership of those Shares on a</w:t>
            </w:r>
          </w:p>
        </w:tc>
      </w:tr>
      <w:tr>
        <w:trPr>
          <w:trHeight w:val="216"/>
        </w:trPr>
        <w:tc>
          <w:tcPr>
            <w:tcW w:w="2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provided by the Company and have the same number of Shares subtracted from the Shares issued to you</w:t>
            </w:r>
          </w:p>
        </w:tc>
      </w:tr>
      <w:tr>
        <w:trPr>
          <w:trHeight w:val="216"/>
        </w:trPr>
        <w:tc>
          <w:tcPr>
            <w:tcW w:w="2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upon exercise of the Option. However, you may not surrender or attest to the ownership of Shares in payment of</w:t>
            </w:r>
          </w:p>
        </w:tc>
      </w:tr>
      <w:tr>
        <w:trPr>
          <w:trHeight w:val="216"/>
        </w:trPr>
        <w:tc>
          <w:tcPr>
            <w:tcW w:w="2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exercise price if your action would cause the Company to recognize a compensation expense (or additional</w:t>
            </w:r>
          </w:p>
        </w:tc>
      </w:tr>
      <w:tr>
        <w:trPr>
          <w:trHeight w:val="234"/>
        </w:trPr>
        <w:tc>
          <w:tcPr>
            <w:tcW w:w="2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 with respect to this Option for financial reporting purposes.</w:t>
            </w:r>
          </w:p>
        </w:tc>
      </w:tr>
      <w:tr>
        <w:trPr>
          <w:trHeight w:val="414"/>
        </w:trPr>
        <w:tc>
          <w:tcPr>
            <w:tcW w:w="222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delivery on a form approved by the Company of an irrevocable direction to a securities broker approved by</w:t>
            </w:r>
          </w:p>
        </w:tc>
      </w:tr>
      <w:tr>
        <w:trPr>
          <w:trHeight w:val="216"/>
        </w:trPr>
        <w:tc>
          <w:tcPr>
            <w:tcW w:w="2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Company to sell all or part of the Shares that are issued to you when you exercise this Option and to deliver to</w:t>
            </w:r>
          </w:p>
        </w:tc>
      </w:tr>
      <w:tr>
        <w:trPr>
          <w:trHeight w:val="216"/>
        </w:trPr>
        <w:tc>
          <w:tcPr>
            <w:tcW w:w="2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Company from the sale proceeds an amount sufficient to pay the Option exercise price and any withholding</w:t>
            </w:r>
          </w:p>
        </w:tc>
      </w:tr>
      <w:tr>
        <w:trPr>
          <w:trHeight w:val="216"/>
        </w:trPr>
        <w:tc>
          <w:tcPr>
            <w:tcW w:w="2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The balance of the sale proceeds, if any, will be delivered to you. The directions must be given by</w:t>
            </w:r>
          </w:p>
        </w:tc>
      </w:tr>
      <w:tr>
        <w:trPr>
          <w:trHeight w:val="234"/>
        </w:trPr>
        <w:tc>
          <w:tcPr>
            <w:tcW w:w="2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providing a notice of exercise form approved by the Company.</w:t>
            </w:r>
          </w:p>
        </w:tc>
      </w:tr>
      <w:tr>
        <w:trPr>
          <w:trHeight w:val="414"/>
        </w:trPr>
        <w:tc>
          <w:tcPr>
            <w:tcW w:w="222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delivery on a form approved by the Company of an irrevocable direction to a securities broker or lender</w:t>
            </w:r>
          </w:p>
        </w:tc>
      </w:tr>
      <w:tr>
        <w:trPr>
          <w:trHeight w:val="216"/>
        </w:trPr>
        <w:tc>
          <w:tcPr>
            <w:tcW w:w="2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approved by the Company to pledge Shares that are issued to you when you exercise this Option as security for a</w:t>
            </w:r>
          </w:p>
        </w:tc>
      </w:tr>
      <w:tr>
        <w:trPr>
          <w:trHeight w:val="216"/>
        </w:trPr>
        <w:tc>
          <w:tcPr>
            <w:tcW w:w="2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and to deliver to the Company from the loan proceeds an amount sufficient to pay the Option exercise price</w:t>
            </w:r>
          </w:p>
        </w:tc>
      </w:tr>
      <w:tr>
        <w:trPr>
          <w:trHeight w:val="216"/>
        </w:trPr>
        <w:tc>
          <w:tcPr>
            <w:tcW w:w="2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any withholding taxes. The directions must be given by providing a notice of exercise form approved by the</w:t>
            </w:r>
          </w:p>
        </w:tc>
      </w:tr>
      <w:tr>
        <w:trPr>
          <w:trHeight w:val="234"/>
        </w:trPr>
        <w:tc>
          <w:tcPr>
            <w:tcW w:w="2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r>
      <w:tr>
        <w:trPr>
          <w:trHeight w:val="432"/>
        </w:trPr>
        <w:tc>
          <w:tcPr>
            <w:tcW w:w="222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If permitted by the Committee, by a “net exercise” arrangement pursuant to which the number of Shares issuable</w:t>
            </w:r>
          </w:p>
        </w:tc>
      </w:tr>
    </w:tbl>
    <w:p>
      <w:pPr>
        <w:sectPr>
          <w:pgSz w:w="11900" w:h="16838" w:orient="portrait"/>
          <w:cols w:equalWidth="0" w:num="1">
            <w:col w:w="11240"/>
          </w:cols>
          <w:pgMar w:left="320" w:top="121" w:right="339" w:bottom="0" w:gutter="0" w:footer="0" w:header="0"/>
        </w:sectPr>
      </w:pPr>
    </w:p>
    <w:bookmarkStart w:id="58" w:name="page59"/>
    <w:bookmarkEnd w:id="58"/>
    <w:p>
      <w:pPr>
        <w:jc w:val="both"/>
        <w:ind w:left="3000"/>
        <w:spacing w:after="0" w:line="253" w:lineRule="auto"/>
        <w:rPr>
          <w:sz w:val="20"/>
          <w:szCs w:val="20"/>
          <w:color w:val="auto"/>
        </w:rPr>
      </w:pPr>
      <w:r>
        <w:rPr>
          <w:rFonts w:ascii="Times New Roman" w:cs="Times New Roman" w:eastAsia="Times New Roman" w:hAnsi="Times New Roman"/>
          <w:sz w:val="18"/>
          <w:szCs w:val="18"/>
          <w:color w:val="auto"/>
        </w:rPr>
        <w:t>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you in cash other form of payment permitted under this Option. The directions must be given by providing a notice of exercise form approved by the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ERACYTE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0" w:hanging="427"/>
        <w:spacing w:after="0"/>
        <w:tabs>
          <w:tab w:leader="none" w:pos="3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permitted by the Committee in its sole discretion.</w:t>
      </w:r>
    </w:p>
    <w:p>
      <w:pPr>
        <w:spacing w:after="0" w:line="27" w:lineRule="exact"/>
        <w:rPr>
          <w:sz w:val="20"/>
          <w:szCs w:val="20"/>
          <w:color w:val="auto"/>
        </w:rPr>
      </w:pPr>
    </w:p>
    <w:p>
      <w:pPr>
        <w:ind w:left="2580"/>
        <w:spacing w:after="0" w:line="250" w:lineRule="auto"/>
        <w:rPr>
          <w:sz w:val="20"/>
          <w:szCs w:val="20"/>
          <w:color w:val="auto"/>
        </w:rPr>
      </w:pPr>
      <w:r>
        <w:rPr>
          <w:rFonts w:ascii="Times New Roman" w:cs="Times New Roman" w:eastAsia="Times New Roman" w:hAnsi="Times New Roman"/>
          <w:sz w:val="18"/>
          <w:szCs w:val="18"/>
          <w:color w:val="auto"/>
        </w:rPr>
        <w:t>Notwithstanding the foregoing, payment may not be made in any form that is unlawful, as determined by the Committee in its sole discretion.</w:t>
      </w:r>
    </w:p>
    <w:p>
      <w:pPr>
        <w:spacing w:after="0" w:line="1"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Withholding Taxes and Stock</w:t>
      </w:r>
      <w:r>
        <w:rPr>
          <w:sz w:val="20"/>
          <w:szCs w:val="20"/>
          <w:color w:val="auto"/>
        </w:rPr>
        <w:tab/>
      </w:r>
      <w:r>
        <w:rPr>
          <w:rFonts w:ascii="Times New Roman" w:cs="Times New Roman" w:eastAsia="Times New Roman" w:hAnsi="Times New Roman"/>
          <w:sz w:val="18"/>
          <w:szCs w:val="18"/>
          <w:color w:val="auto"/>
        </w:rPr>
        <w:t>Regardless of any action the Company or your actual employer (the “Employer”) takes with respect to any or all</w:t>
      </w:r>
    </w:p>
    <w:p>
      <w:pPr>
        <w:spacing w:after="0" w:line="9" w:lineRule="exact"/>
        <w:rPr>
          <w:sz w:val="20"/>
          <w:szCs w:val="20"/>
          <w:color w:val="auto"/>
        </w:rPr>
      </w:pPr>
    </w:p>
    <w:p>
      <w:pPr>
        <w:jc w:val="both"/>
        <w:ind w:left="2580" w:hanging="2579"/>
        <w:spacing w:after="0" w:line="252" w:lineRule="auto"/>
        <w:tabs>
          <w:tab w:leader="none" w:pos="2560" w:val="left"/>
        </w:tabs>
        <w:rPr>
          <w:sz w:val="20"/>
          <w:szCs w:val="20"/>
          <w:color w:val="auto"/>
        </w:rPr>
      </w:pPr>
      <w:r>
        <w:rPr>
          <w:rFonts w:ascii="Times New Roman" w:cs="Times New Roman" w:eastAsia="Times New Roman" w:hAnsi="Times New Roman"/>
          <w:sz w:val="18"/>
          <w:szCs w:val="18"/>
          <w:b w:val="1"/>
          <w:bCs w:val="1"/>
          <w:color w:val="auto"/>
        </w:rPr>
        <w:t>Withholding</w:t>
      </w:r>
      <w:r>
        <w:rPr>
          <w:sz w:val="20"/>
          <w:szCs w:val="20"/>
          <w:color w:val="auto"/>
        </w:rPr>
        <w:tab/>
      </w:r>
      <w:r>
        <w:rPr>
          <w:rFonts w:ascii="Times New Roman" w:cs="Times New Roman" w:eastAsia="Times New Roman" w:hAnsi="Times New Roman"/>
          <w:sz w:val="18"/>
          <w:szCs w:val="18"/>
          <w:color w:val="auto"/>
        </w:rPr>
        <w:t>income tax, social insurance, payroll tax, payment on account or other tax-related withholding (“Tax-Related Items”), you acknowledge that the ultimate liability for all Tax-Related Items legally due by you is and remains your responsibility and that the Company and/or the Employer (1) make no representations or undertakings regarding the treatment of any Tax-Related Items in connection with any aspect of the Option grant, including the grant, vesting or exercise of the Option, the subsequent sale of Shares acquired pursuant to such exercise and the receipt of any dividends; and (2) do not commit to structure the terms of the grant or any aspect of the Option to reduce or eliminate your liability for Tax-Related Items.</w:t>
      </w:r>
    </w:p>
    <w:p>
      <w:pPr>
        <w:spacing w:after="0" w:line="18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Prior to exercise of the Option, you shall pay or make adequate arrangements satisfactory to the Company and/or the</w:t>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Employer to satisfy all Tax-Related Items.</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In this regard, you authorize the Company and/or the Employer (and their respective agents) to satisfy the obligations</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with regard to all Tax-Related Items by one or a combination of the following, as determined at the sole discretion of</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the Company and only to the extent permissible under local law: (1) withholding from your wages or other cash</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compensation paid to you by the Company and/or the Employer, (2) having the Company withhold taxes from the</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proceeds of the sale of the Shares, either through a voluntary sale or through a mandatory sale arranged by the</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Company (on your behalf pursuant to this authorization), (3) withholding Shares that otherwise would be issued to you</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when you exercise this Option, or (4) any other arrangement approved by the Committee and permitted under</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applicable law; all under such rules as may be established by the Committee and in compliance with the Company’s</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Insider Trading Policy and 10b5-1 Trading Plan Policy, if applicable.</w:t>
      </w:r>
    </w:p>
    <w:p>
      <w:pPr>
        <w:spacing w:after="0" w:line="207" w:lineRule="exact"/>
        <w:rPr>
          <w:sz w:val="20"/>
          <w:szCs w:val="20"/>
          <w:color w:val="auto"/>
        </w:rPr>
      </w:pPr>
    </w:p>
    <w:p>
      <w:pPr>
        <w:jc w:val="both"/>
        <w:ind w:left="2580"/>
        <w:spacing w:after="0" w:line="254" w:lineRule="auto"/>
        <w:rPr>
          <w:sz w:val="20"/>
          <w:szCs w:val="20"/>
          <w:color w:val="auto"/>
        </w:rPr>
      </w:pPr>
      <w:r>
        <w:rPr>
          <w:rFonts w:ascii="Times New Roman" w:cs="Times New Roman" w:eastAsia="Times New Roman" w:hAnsi="Times New Roman"/>
          <w:sz w:val="18"/>
          <w:szCs w:val="18"/>
          <w:color w:val="auto"/>
        </w:rPr>
        <w:t>If the obligation for Tax-Related Items is satisfied by withholding in Shares, for tax purposes, you are deemed to have been issued the full number of exercised Shares; notwithstanding that a number of the Shares are held back solely for the purpose of satisfying the withholding obligation for Tax-Related Items due as a result of any aspect of your participation in the Plan. The Fair Market Value of these Shares, determined as of as of the date that the taxes are required to be withheld, will be applied as a credit against the Tax-Related Items withholding. Depending on the withholding method, the Company may withhold or account for Tax-Related Items by considering applicable statutory withholding rates or other applicable withholding rates, including up to the maximum permissible statutory rate for your tax jurisdiction(s) in which case you will have no entitlement to the equivalent amount in Shares and will receive a refund of any over-withheld amount in cash in accordance with applicable law.</w:t>
      </w:r>
    </w:p>
    <w:p>
      <w:pPr>
        <w:spacing w:after="0" w:line="188" w:lineRule="exact"/>
        <w:rPr>
          <w:sz w:val="20"/>
          <w:szCs w:val="20"/>
          <w:color w:val="auto"/>
        </w:rPr>
      </w:pPr>
    </w:p>
    <w:p>
      <w:pPr>
        <w:jc w:val="both"/>
        <w:ind w:left="2580" w:hanging="2"/>
        <w:spacing w:after="0" w:line="258" w:lineRule="auto"/>
        <w:rPr>
          <w:sz w:val="20"/>
          <w:szCs w:val="20"/>
          <w:color w:val="auto"/>
        </w:rPr>
      </w:pPr>
      <w:r>
        <w:rPr>
          <w:rFonts w:ascii="Times New Roman" w:cs="Times New Roman" w:eastAsia="Times New Roman" w:hAnsi="Times New Roman"/>
          <w:sz w:val="18"/>
          <w:szCs w:val="18"/>
          <w:color w:val="auto"/>
        </w:rPr>
        <w:t>Finally, you shall pay to the Company or the Employer any amount of Tax-Related Items that the Company or the Employer may be required to withhold as a result of your participation in the Plan or your purchase of Shares that cannot be satisfied by the means previously described. The Company may refuse to honor the exercise and refuse to deliver the Shares if you fail to comply with your obligations in connection with the Tax-Related Items as described in this section.</w:t>
      </w:r>
    </w:p>
    <w:p>
      <w:pPr>
        <w:sectPr>
          <w:pgSz w:w="11900" w:h="16838" w:orient="portrait"/>
          <w:cols w:equalWidth="0" w:num="1">
            <w:col w:w="11240"/>
          </w:cols>
          <w:pgMar w:left="320" w:top="121" w:right="339" w:bottom="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agree not to sell any Shares at a time when applicable laws, Company policies or an agreement between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its underwriters prohibit a sale. This restriction will apply as long as your Service continues and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of time after the termination of your Service as the Company may specify.</w:t>
      </w:r>
    </w:p>
    <w:p>
      <w:pPr>
        <w:spacing w:after="0" w:line="1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ERACYTE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1" w:lineRule="exact"/>
        <w:rPr>
          <w:sz w:val="20"/>
          <w:szCs w:val="20"/>
          <w:color w:val="auto"/>
        </w:rPr>
      </w:pPr>
    </w:p>
    <w:p>
      <w:pPr>
        <w:sectPr>
          <w:pgSz w:w="11900" w:h="16838" w:orient="portrait"/>
          <w:cols w:equalWidth="0" w:num="2">
            <w:col w:w="1860" w:space="720"/>
            <w:col w:w="8660"/>
          </w:cols>
          <w:pgMar w:left="320" w:top="121" w:right="339" w:bottom="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1"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of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only you can exercise this Option prior to your death. You may not sell, transfer, assign, pledge or otherwise dispose of this Option (nor any right arising thereunder), other than as designated by you by will or by the laws of descent and distribution, except as provided below. For instance, you may not use this Option as security for a loan. If you attempt to do any of these things, this Option will immediately become invalid and be cancelled. You may in any event dispose of this Option in your will. Regardless of any marital property settlement agreement, the Company is not obligated to honor a notice of exercise from your former spouse, nor is the Company obligated to recognize your former spouse’s interest in your Option in any other way.</w:t>
      </w:r>
    </w:p>
    <w:p>
      <w:pPr>
        <w:spacing w:after="0" w:line="189" w:lineRule="exact"/>
        <w:rPr>
          <w:sz w:val="20"/>
          <w:szCs w:val="20"/>
          <w:color w:val="auto"/>
        </w:rPr>
      </w:pPr>
    </w:p>
    <w:p>
      <w:pPr>
        <w:sectPr>
          <w:pgSz w:w="11900" w:h="16838" w:orient="portrait"/>
          <w:cols w:equalWidth="0" w:num="2">
            <w:col w:w="1860" w:space="720"/>
            <w:col w:w="8660"/>
          </w:cols>
          <w:pgMar w:left="320" w:top="121" w:right="339" w:bottom="0" w:gutter="0" w:footer="0" w:header="0"/>
          <w:type w:val="continuous"/>
        </w:sectPr>
      </w:pPr>
    </w:p>
    <w:p>
      <w:pPr>
        <w:jc w:val="both"/>
        <w:ind w:left="2580"/>
        <w:spacing w:after="0" w:line="256" w:lineRule="auto"/>
        <w:rPr>
          <w:sz w:val="20"/>
          <w:szCs w:val="20"/>
          <w:color w:val="auto"/>
        </w:rPr>
      </w:pPr>
      <w:r>
        <w:rPr>
          <w:rFonts w:ascii="Times New Roman" w:cs="Times New Roman" w:eastAsia="Times New Roman" w:hAnsi="Times New Roman"/>
          <w:sz w:val="18"/>
          <w:szCs w:val="18"/>
          <w:color w:val="auto"/>
        </w:rPr>
        <w:t>However, if this Option is designated as a nonstatutory stock option in the Notice of Stock Option Grant, then the Committee may, in its sole discretion, allow you to transfer this Option as a gift to one or more family members. For purposes of this Agreement, “family member” means a child, stepchild, grandchild, parent, stepparent, grandparent, spouse, former spouse, sibling, niece, nephew, mother-in-law, father-in-law, son-in-law, daughter-in-law, brother-in-law, or sister-in-law (including adoptive relationships), any individual sharing your household (other than a tenant or employee), a trust in which one or more of these individuals have more than 50% of the beneficial interest, a foundation</w:t>
      </w:r>
    </w:p>
    <w:p>
      <w:pPr>
        <w:sectPr>
          <w:pgSz w:w="11900" w:h="16838" w:orient="portrait"/>
          <w:cols w:equalWidth="0" w:num="1">
            <w:col w:w="11240"/>
          </w:cols>
          <w:pgMar w:left="320" w:top="121" w:right="339" w:bottom="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which you or one or more of these persons control the management of assets, and any entity in which you or one or</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more of these persons own more than 50% of the voting interest.</w:t>
            </w:r>
          </w:p>
        </w:tc>
        <w:tc>
          <w:tcPr>
            <w:tcW w:w="0" w:type="dxa"/>
            <w:vAlign w:val="bottom"/>
          </w:tcPr>
          <w:p>
            <w:pPr>
              <w:spacing w:after="0"/>
              <w:rPr>
                <w:sz w:val="1"/>
                <w:szCs w:val="1"/>
                <w:color w:val="auto"/>
              </w:rPr>
            </w:pPr>
          </w:p>
        </w:tc>
      </w:tr>
      <w:tr>
        <w:trPr>
          <w:trHeight w:val="414"/>
        </w:trPr>
        <w:tc>
          <w:tcPr>
            <w:tcW w:w="2180" w:type="dxa"/>
            <w:vAlign w:val="bottom"/>
          </w:tcPr>
          <w:p>
            <w:pPr>
              <w:spacing w:after="0"/>
              <w:rPr>
                <w:sz w:val="24"/>
                <w:szCs w:val="24"/>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addition, if this Option is designated as a nonstatutory stock option in the Notice of Stock Option Grant, then the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Committee may, in its sole discretion, allow you to transfer this option to your spouse or former spouse pursuant to a</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domestic relations order in settlement of marital property rights.</w:t>
            </w:r>
          </w:p>
        </w:tc>
        <w:tc>
          <w:tcPr>
            <w:tcW w:w="0" w:type="dxa"/>
            <w:vAlign w:val="bottom"/>
          </w:tcPr>
          <w:p>
            <w:pPr>
              <w:spacing w:after="0"/>
              <w:rPr>
                <w:sz w:val="1"/>
                <w:szCs w:val="1"/>
                <w:color w:val="auto"/>
              </w:rPr>
            </w:pPr>
          </w:p>
        </w:tc>
      </w:tr>
      <w:tr>
        <w:trPr>
          <w:trHeight w:val="414"/>
        </w:trPr>
        <w:tc>
          <w:tcPr>
            <w:tcW w:w="2180" w:type="dxa"/>
            <w:vAlign w:val="bottom"/>
          </w:tcPr>
          <w:p>
            <w:pPr>
              <w:spacing w:after="0"/>
              <w:rPr>
                <w:sz w:val="24"/>
                <w:szCs w:val="24"/>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Committee will allow you to transfer this Option only if both you and the transferee(s) execute the forms</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prescribed by the Committee, which include the consent of the transferee(s) to be bound by this Agreement.</w:t>
            </w:r>
          </w:p>
        </w:tc>
        <w:tc>
          <w:tcPr>
            <w:tcW w:w="0" w:type="dxa"/>
            <w:vAlign w:val="bottom"/>
          </w:tcPr>
          <w:p>
            <w:pPr>
              <w:spacing w:after="0"/>
              <w:rPr>
                <w:sz w:val="1"/>
                <w:szCs w:val="1"/>
                <w:color w:val="auto"/>
              </w:rPr>
            </w:pPr>
          </w:p>
        </w:tc>
      </w:tr>
      <w:tr>
        <w:trPr>
          <w:trHeight w:val="414"/>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Retention Rights</w:t>
            </w: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Neither your Option nor this Agreement gives you the right to be employed or retained by the Company or a subsidiary</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the Company in any capacity. The Company and its subsidiaries reserve the right to terminate your Service at any</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time, with or without cause.</w:t>
            </w:r>
          </w:p>
        </w:tc>
        <w:tc>
          <w:tcPr>
            <w:tcW w:w="0" w:type="dxa"/>
            <w:vAlign w:val="bottom"/>
          </w:tcPr>
          <w:p>
            <w:pPr>
              <w:spacing w:after="0"/>
              <w:rPr>
                <w:sz w:val="1"/>
                <w:szCs w:val="1"/>
                <w:color w:val="auto"/>
              </w:rPr>
            </w:pPr>
          </w:p>
        </w:tc>
      </w:tr>
      <w:tr>
        <w:trPr>
          <w:trHeight w:val="414"/>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 Rights</w:t>
            </w: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Your Options carry neither voting rights nor rights to dividends. You, or your estate or heirs, have no rights as a</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shareholder of the Company unless and until you have exercised this Option by giving the required notice to the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and paying the exercise price. No adjustments will be made for dividends or other rights if the applicable</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record date occurs before you exercise this Option, except as described in the Plan.</w:t>
            </w:r>
          </w:p>
        </w:tc>
        <w:tc>
          <w:tcPr>
            <w:tcW w:w="0" w:type="dxa"/>
            <w:vAlign w:val="bottom"/>
          </w:tcPr>
          <w:p>
            <w:pPr>
              <w:spacing w:after="0"/>
              <w:rPr>
                <w:sz w:val="1"/>
                <w:szCs w:val="1"/>
                <w:color w:val="auto"/>
              </w:rPr>
            </w:pPr>
          </w:p>
        </w:tc>
      </w:tr>
      <w:tr>
        <w:trPr>
          <w:trHeight w:val="414"/>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number of Shares covered by this Option and the exercise price per Share shall be subject to adjustment in the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event of a stock split, a stock dividend or a similar change in Company Shares, and in other circumstances, as set forth</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the Plan.</w:t>
            </w:r>
          </w:p>
        </w:tc>
        <w:tc>
          <w:tcPr>
            <w:tcW w:w="0" w:type="dxa"/>
            <w:vAlign w:val="bottom"/>
          </w:tcPr>
          <w:p>
            <w:pPr>
              <w:spacing w:after="0"/>
              <w:rPr>
                <w:sz w:val="1"/>
                <w:szCs w:val="1"/>
                <w:color w:val="auto"/>
              </w:rPr>
            </w:pPr>
          </w:p>
        </w:tc>
      </w:tr>
      <w:tr>
        <w:trPr>
          <w:trHeight w:val="414"/>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Successors and Assigns</w:t>
            </w: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Except as otherwise provided in the Plan or this Agreement, every term of this Agreement shall be binding upon and</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inure to the benefit of the parties hereto and their respective heirs, legatees, legal representatives, successors, transferees</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assigns.</w:t>
            </w:r>
          </w:p>
        </w:tc>
        <w:tc>
          <w:tcPr>
            <w:tcW w:w="0" w:type="dxa"/>
            <w:vAlign w:val="bottom"/>
          </w:tcPr>
          <w:p>
            <w:pPr>
              <w:spacing w:after="0"/>
              <w:rPr>
                <w:sz w:val="1"/>
                <w:szCs w:val="1"/>
                <w:color w:val="auto"/>
              </w:rPr>
            </w:pPr>
          </w:p>
        </w:tc>
      </w:tr>
      <w:tr>
        <w:trPr>
          <w:trHeight w:val="414"/>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Notice</w:t>
            </w: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Any notice required or permitted under this Agreement shall be given in writing (including electronically pursuant to</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procedures the Company may establish) and shall be deemed effectively given upon the earliest of personal delivery,</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receipt or the third full day following mailing with postage and fees prepaid, addressed to the other party hereto at the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address last known in the Company’s records or at such other address as such party may designate by ten (10) days’</w:t>
            </w:r>
          </w:p>
        </w:tc>
        <w:tc>
          <w:tcPr>
            <w:tcW w:w="0" w:type="dxa"/>
            <w:vAlign w:val="bottom"/>
          </w:tcPr>
          <w:p>
            <w:pPr>
              <w:spacing w:after="0"/>
              <w:rPr>
                <w:sz w:val="1"/>
                <w:szCs w:val="1"/>
                <w:color w:val="auto"/>
              </w:rPr>
            </w:pPr>
          </w:p>
        </w:tc>
      </w:tr>
      <w:tr>
        <w:trPr>
          <w:trHeight w:val="216"/>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Applicable Law</w:t>
            </w: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advance written notice to the other party hereto.</w:t>
            </w:r>
          </w:p>
        </w:tc>
        <w:tc>
          <w:tcPr>
            <w:tcW w:w="0" w:type="dxa"/>
            <w:vAlign w:val="bottom"/>
          </w:tcPr>
          <w:p>
            <w:pPr>
              <w:spacing w:after="0"/>
              <w:rPr>
                <w:sz w:val="1"/>
                <w:szCs w:val="1"/>
                <w:color w:val="auto"/>
              </w:rPr>
            </w:pPr>
          </w:p>
        </w:tc>
      </w:tr>
      <w:tr>
        <w:trPr>
          <w:trHeight w:val="216"/>
        </w:trPr>
        <w:tc>
          <w:tcPr>
            <w:tcW w:w="2180" w:type="dxa"/>
            <w:vAlign w:val="bottom"/>
            <w:vMerge w:val="continue"/>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This Agreement will be interpreted and enforced under the laws of the State of California (without regard to their</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choice-of-law provisions).</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ERACYTE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2180" w:type="dxa"/>
            <w:vAlign w:val="bottom"/>
          </w:tcPr>
          <w:p>
            <w:pPr>
              <w:spacing w:after="0"/>
              <w:rPr>
                <w:sz w:val="17"/>
                <w:szCs w:val="17"/>
                <w:color w:val="auto"/>
              </w:rPr>
            </w:pPr>
          </w:p>
        </w:tc>
        <w:tc>
          <w:tcPr>
            <w:tcW w:w="90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tc>
        <w:tc>
          <w:tcPr>
            <w:tcW w:w="0" w:type="dxa"/>
            <w:vAlign w:val="bottom"/>
          </w:tcPr>
          <w:p>
            <w:pPr>
              <w:spacing w:after="0"/>
              <w:rPr>
                <w:sz w:val="1"/>
                <w:szCs w:val="1"/>
                <w:color w:val="auto"/>
              </w:rPr>
            </w:pPr>
          </w:p>
        </w:tc>
      </w:tr>
      <w:tr>
        <w:trPr>
          <w:trHeight w:val="282"/>
        </w:trPr>
        <w:tc>
          <w:tcPr>
            <w:tcW w:w="2180" w:type="dxa"/>
            <w:vAlign w:val="bottom"/>
          </w:tcPr>
          <w:p>
            <w:pPr>
              <w:spacing w:after="0"/>
              <w:rPr>
                <w:sz w:val="24"/>
                <w:szCs w:val="24"/>
                <w:color w:val="auto"/>
              </w:rPr>
            </w:pPr>
          </w:p>
        </w:tc>
        <w:tc>
          <w:tcPr>
            <w:tcW w:w="9060" w:type="dxa"/>
            <w:vAlign w:val="bottom"/>
          </w:tcPr>
          <w:p>
            <w:pPr>
              <w:ind w:left="3340"/>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88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You understand and acknowledge that (i) the Plan is entirely discretionary, (ii) the Company and your employer have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reserved the right to amend, suspend or terminate the Plan at any time, (iii) the grant of an option does not in any way</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create any contractual or other right to receive additional grants of options (or benefits in lieu of options) at any time or</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any amount and (iv) all determinations with respect to any additional grants, including (without limitation) the times</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when options will be granted, the number of Shares offered, the exercise price and the vesting schedule, will be at the</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sole discretion of the Company.</w:t>
            </w:r>
          </w:p>
        </w:tc>
        <w:tc>
          <w:tcPr>
            <w:tcW w:w="0" w:type="dxa"/>
            <w:vAlign w:val="bottom"/>
          </w:tcPr>
          <w:p>
            <w:pPr>
              <w:spacing w:after="0"/>
              <w:rPr>
                <w:sz w:val="1"/>
                <w:szCs w:val="1"/>
                <w:color w:val="auto"/>
              </w:rPr>
            </w:pPr>
          </w:p>
        </w:tc>
      </w:tr>
      <w:tr>
        <w:trPr>
          <w:trHeight w:val="414"/>
        </w:trPr>
        <w:tc>
          <w:tcPr>
            <w:tcW w:w="2180" w:type="dxa"/>
            <w:vAlign w:val="bottom"/>
          </w:tcPr>
          <w:p>
            <w:pPr>
              <w:spacing w:after="0"/>
              <w:rPr>
                <w:sz w:val="24"/>
                <w:szCs w:val="24"/>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The value of this Option shall be an extraordinary item of compensation outside the scope of your employment contract,</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if any, and shall not be considered a part of your normal or expected compensation for purposes of calculating</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severance, resignation, redundancy or end-of-service payments, bonuses, long-service awards, pension or retirement</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benefits or similar payments.</w:t>
            </w:r>
          </w:p>
        </w:tc>
        <w:tc>
          <w:tcPr>
            <w:tcW w:w="0" w:type="dxa"/>
            <w:vAlign w:val="bottom"/>
          </w:tcPr>
          <w:p>
            <w:pPr>
              <w:spacing w:after="0"/>
              <w:rPr>
                <w:sz w:val="1"/>
                <w:szCs w:val="1"/>
                <w:color w:val="auto"/>
              </w:rPr>
            </w:pPr>
          </w:p>
        </w:tc>
      </w:tr>
      <w:tr>
        <w:trPr>
          <w:trHeight w:val="414"/>
        </w:trPr>
        <w:tc>
          <w:tcPr>
            <w:tcW w:w="2180" w:type="dxa"/>
            <w:vAlign w:val="bottom"/>
          </w:tcPr>
          <w:p>
            <w:pPr>
              <w:spacing w:after="0"/>
              <w:rPr>
                <w:sz w:val="24"/>
                <w:szCs w:val="24"/>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You understand and acknowledge that participation in the Plan ceases upon termination of your Service for any reason,</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except as may explicitly be provided otherwise in the Plan or this Agreement.</w:t>
            </w:r>
          </w:p>
        </w:tc>
        <w:tc>
          <w:tcPr>
            <w:tcW w:w="0" w:type="dxa"/>
            <w:vAlign w:val="bottom"/>
          </w:tcPr>
          <w:p>
            <w:pPr>
              <w:spacing w:after="0"/>
              <w:rPr>
                <w:sz w:val="1"/>
                <w:szCs w:val="1"/>
                <w:color w:val="auto"/>
              </w:rPr>
            </w:pPr>
          </w:p>
        </w:tc>
      </w:tr>
      <w:tr>
        <w:trPr>
          <w:trHeight w:val="414"/>
        </w:trPr>
        <w:tc>
          <w:tcPr>
            <w:tcW w:w="2180" w:type="dxa"/>
            <w:vAlign w:val="bottom"/>
          </w:tcPr>
          <w:p>
            <w:pPr>
              <w:spacing w:after="0"/>
              <w:rPr>
                <w:sz w:val="24"/>
                <w:szCs w:val="24"/>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You hereby authorize and direct your employer to disclose to the Company or any Subsidiary any information regarding</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your employment, the nature and amount of your compensation and the fact and conditions of your participation in the</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Plan, as your employer deems necessary or appropriate to facilitate the administration of the Plan.</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580"/>
        <w:spacing w:after="0" w:line="251" w:lineRule="auto"/>
        <w:rPr>
          <w:sz w:val="20"/>
          <w:szCs w:val="20"/>
          <w:color w:val="auto"/>
        </w:rPr>
      </w:pPr>
      <w:r>
        <w:rPr>
          <w:rFonts w:ascii="Times New Roman" w:cs="Times New Roman" w:eastAsia="Times New Roman" w:hAnsi="Times New Roman"/>
          <w:sz w:val="18"/>
          <w:szCs w:val="18"/>
          <w:color w:val="auto"/>
        </w:rPr>
        <w:t>You consent to the collection, use and transfer of personal data as described in this subsection. You understand and acknowledge that the Company, your employer and the Company’s other Subsidiaries hold certain personal information regarding you for the purpose of managing and administering the Plan, including (without limitation) your name, home address, telephone number, date of birth, social insurance number, salary, nationality, job title, any Shares or directorships held in the Company and details of all options or any other entitlements to Shares awarded, canceled, exercised, vested, unvested or outstanding in the your favor (the “Data”).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or withdraw the consents set forth in this subsection by contacting the Human Resources Department of the Company in writing.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Plan and Other Agreements </w:t>
      </w:r>
      <w:r>
        <w:rPr>
          <w:rFonts w:ascii="Times New Roman" w:cs="Times New Roman" w:eastAsia="Times New Roman" w:hAnsi="Times New Roman"/>
          <w:sz w:val="18"/>
          <w:szCs w:val="18"/>
          <w:color w:val="auto"/>
        </w:rPr>
        <w:t>The text of the Plan is incorporated in this Agreement by reference. All capitalized terms in the Agreement shall have</w:t>
      </w:r>
    </w:p>
    <w:p>
      <w:pPr>
        <w:sectPr>
          <w:pgSz w:w="11900" w:h="16838" w:orient="portrait"/>
          <w:cols w:equalWidth="0" w:num="1">
            <w:col w:w="11240"/>
          </w:cols>
          <w:pgMar w:left="320" w:top="121" w:right="339" w:bottom="0" w:gutter="0" w:footer="0" w:header="0"/>
        </w:sectPr>
      </w:pPr>
    </w:p>
    <w:bookmarkStart w:id="60" w:name="page61"/>
    <w:bookmarkEnd w:id="60"/>
    <w:p>
      <w:pPr>
        <w:jc w:val="both"/>
        <w:ind w:left="2580"/>
        <w:spacing w:after="0" w:line="258" w:lineRule="auto"/>
        <w:rPr>
          <w:sz w:val="20"/>
          <w:szCs w:val="20"/>
          <w:color w:val="auto"/>
        </w:rPr>
      </w:pPr>
      <w:r>
        <w:rPr>
          <w:rFonts w:ascii="Times New Roman" w:cs="Times New Roman" w:eastAsia="Times New Roman" w:hAnsi="Times New Roman"/>
          <w:sz w:val="18"/>
          <w:szCs w:val="18"/>
          <w:color w:val="auto"/>
        </w:rPr>
        <w:t>the meanings assigned to them in the Plan. This Agreement and the Plan constitute the entire understanding between you and the Company regarding this Option. Any prior agreements, commitments or negotiations concerning this Option are superseded. This Agreement may be amended by the Committee without your consent; however, if any such amendment would materially impair your rights or obligations under the Agreement, this Agreement may be amended only by another written agreement, signed by you and the Company.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ERACYTE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b w:val="1"/>
          <w:bCs w:val="1"/>
          <w:color w:val="auto"/>
        </w:rPr>
        <w:t>Additional Terms for Participants Providing Services Outside the United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that you provide services to the Company or a Subsidiary in a country other than the United States, the Options shall be subject to additional or substitute terms as shall be set forth in Exhibit A attached hereto. If you relocate to one of the countries included in Exhibit A during the life of the Options, Exhibit A, including the provisions for such country, shall apply to you and the Options, to the extent that the Company determines that the application of such provisions is necessary or advisable in order to comply with applicable law or facilitate the administration of the Plan. In addition, the Company reserves the right to impose other requirements on the Options and the Shares issued upon exercise of the Options, to the extent that the Company determines it is necessary or advisable in order to comply with local laws or facilitate the administration of the Plan, and to require you to sign any additional agreements or undertakings that may be necessary to accomplish the foregoing.</w:t>
      </w:r>
    </w:p>
    <w:p>
      <w:pPr>
        <w:spacing w:after="0" w:line="200" w:lineRule="exact"/>
        <w:rPr>
          <w:sz w:val="20"/>
          <w:szCs w:val="20"/>
          <w:color w:val="auto"/>
        </w:rPr>
      </w:pPr>
    </w:p>
    <w:p>
      <w:pPr>
        <w:sectPr>
          <w:pgSz w:w="11900" w:h="16838" w:orient="portrait"/>
          <w:cols w:equalWidth="0" w:num="2">
            <w:col w:w="2420" w:space="160"/>
            <w:col w:w="8660"/>
          </w:cols>
          <w:pgMar w:left="320" w:top="121" w:right="339" w:bottom="0" w:gutter="0" w:footer="0" w:header="0"/>
          <w:type w:val="continuous"/>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THROUGH YOUR ELECTRONIC ACCEPTANCE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NOTICE OF STOCK OPTION GRANT,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 AGREE TO ALL OF THE TERMS AND CONDITIONS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DESCRIBED IN NOTICE OF STOCK OPTION GRANT,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AGREEMENT AND IN THE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ERACYTE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APPLICABLE TO PARTICIPANTS WHO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PROVIDE SERVICES IN THE IDENTIFIED COUNTRIES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Exhibit A, which forms part of the Agreement, includes additional terms and conditions applicable to Participants who provide services to the Company in the countries identified below. These terms and conditions are in addition to those terms set forth in the Notice of Stock Option Grant, the Stock Option Agreement and in the Plan. To the extent there are any inconsistencies between these terms and conditions and those set forth in the Notice of Stock Option Grant, Stock Option Agreement or the Plan, these terms and conditions shall prevail. Any capitalized term used in this Exhibit A without definition shall have the meaning ascribed to such term in the Plan, Notice of Stock Option Grant or Stock Option Agreement, as applicable.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Participant’s convenience and information, the Company has provided certain general information regarding some of the tax and/or exchange control requirements that may apply to the Participant in certain of the countries below. Such information is current only as of June 2020, and the Company undertakes no obligation to update any such information and does not ensure that it is complete or correct. This information may not apply to the Participant’s individual situation, and may not be current as of any particular date in the future. The absence of any information on tax or foreign exchange requirements for any particular country should not be regarded as an indication that no such requirements apply in that country. The laws, rules and regulations of any country regarding the holding of securities may be subject to frequent change. The Participant is advised to seek appropriate professional advice as to how the relevant exchange control and tax laws in the Participant’s country may apply to the Participant’s individual situation.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GLOBAL PROVISIONS APPLICABLE TO PARTICIPANTS IN ALL COUNTRIES OTHER THAN THE UNITED STATES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 Guarantee of Continued Service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vesting of the Options pursuant to the vesting schedule will occur only if the Participant continues as an Outside Director, Consultant, or Employee (as applicable) to the Company or a Subsidiary through the applicable vesting date. The Participant further acknowledges and agrees that this Agreement, the transactions contemplated hereunder and the vesting schedule do not constitute an express or implied promise or continued engagement as an Outside Director, Consultant or Employee for the vesting period, for any period, or at all, and will not interfere in any way with the Participant’s right or the right of the Company or any Subsidiary to effect a termination of Services at any time, with or without cause in compliance with applicable laws nor shall it be construed to amend or modify the terms of any consultancy, directorship, employment or other service agreement between the Participant and the Company or any Subsidiary.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Acknowledgment of Nature of Plan and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accepting the award of Options pursuant to this Agreement, the Participant acknowledges that:</w:t>
      </w:r>
    </w:p>
    <w:p>
      <w:pPr>
        <w:spacing w:after="0" w:line="225" w:lineRule="exact"/>
        <w:rPr>
          <w:sz w:val="20"/>
          <w:szCs w:val="20"/>
          <w:color w:val="auto"/>
        </w:rPr>
      </w:pPr>
    </w:p>
    <w:p>
      <w:pPr>
        <w:jc w:val="both"/>
        <w:ind w:left="660" w:hanging="328"/>
        <w:spacing w:after="0" w:line="312"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labor law purposes, Options and Shares issued upon exercise of the Options are an extraordinary item that do not constitute wages of any kind for services of any kind rendered to the Company or to the Participant’s employer, and the grant of Options is outside the scope of the Participant’s</w:t>
      </w:r>
    </w:p>
    <w:p>
      <w:pPr>
        <w:sectPr>
          <w:pgSz w:w="11900" w:h="16838" w:orient="portrait"/>
          <w:cols w:equalWidth="0" w:num="1">
            <w:col w:w="11240"/>
          </w:cols>
          <w:pgMar w:left="320" w:top="121" w:right="339" w:bottom="0" w:gutter="0" w:footer="0" w:header="0"/>
          <w:type w:val="continuous"/>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employment contract, if any;</w:t>
      </w:r>
    </w:p>
    <w:p>
      <w:pPr>
        <w:spacing w:after="0" w:line="27" w:lineRule="exact"/>
        <w:rPr>
          <w:sz w:val="20"/>
          <w:szCs w:val="20"/>
          <w:color w:val="auto"/>
        </w:rPr>
      </w:pPr>
    </w:p>
    <w:p>
      <w:pPr>
        <w:jc w:val="both"/>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labor law purposes, the grant of Options and the Shares issued upon exercise of the Options are not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or any Subsidiary;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and the Shares issued upon exercise of the Options are not intended to replace any pension rights or compensation;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ERACYTE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60" w:hanging="328"/>
        <w:spacing w:after="0" w:line="257"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grant of Options nor any provision of this Agreement, the Plan or the policies adopted pursuant to the Plan confer upon the Participant any right with respect to employment or continuation of current employment and shall not be interpreted to form an employment contract or relationship with the Company or any Subsidiary;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and cannot be predicted with certainty;</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grant of Options hereunder, no claim or entitlement to compensation or damages arises from termination of Options, and no claim or entitlement to compensation or damages shall arise from forfeiture of the Options resulting from termination of the Participant’s employment by the Company or any Subsidiary (for any reason whatsoever and whether or not in breach of local labor laws) and the Participant irrevocably releases the Company and the Participant’s employer from any such claim that may arise; if, notwithstanding the foregoing, any such claim is found by a court of competent jurisdiction to have arisen, the Participant shall be deemed irrevocably to have waived the Participant’s entitlement to pursue such claim;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the Participant’s employment (whether or not in breach of local labor laws), the Participant’s rights to exercise the Options under the Plan, if any, will terminate effective as of the date that the Participant is no longer actively employed and will not be extended by any notice period mandated under applicable local laws (e.g., active employment would not include a period of “garden leave” or similar period pursuant to applicable local laws); the Administrator shall have the exclusive discretion to determine when the Participant is no longer actively employed for purposes of Participant’s Options.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Options are not intended to be French tax-qualified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Exchange Control Information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Law</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Protection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ERACYTE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 data protection laws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French Language Provision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En signant et renvoyant ce Contrat vous confirmez ainsi avoir lu et compris les documents relatifs au Plan qui vous ont été communiqués en langue anglaise. Vous en acceptez les termes en connaissance de cause.</w:t>
      </w:r>
    </w:p>
    <w:p>
      <w:pPr>
        <w:sectPr>
          <w:pgSz w:w="11900" w:h="16838" w:orient="portrait"/>
          <w:cols w:equalWidth="0" w:num="1">
            <w:col w:w="11240"/>
          </w:cols>
          <w:pgMar w:left="320" w:top="121" w:right="339" w:bottom="0" w:gutter="0" w:footer="0" w:header="0"/>
        </w:sectPr>
      </w:pPr>
    </w:p>
    <w:bookmarkStart w:id="62" w:name="page63"/>
    <w:bookmarkEnd w:id="62"/>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Indemnity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Exchange Control Information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Protection</w:t>
      </w: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Protection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Nothing in the Notice of Stock Option Grant, Stock Option Agreement or Plan limits the obligations under the Privacy Protection Act, 5741-1981 (“PPA”) Chapter B.</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Participant acknowledges that the Company and its Subsidiaries may make the Data available to public authorities where required under locally applicable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ERACYTE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SPAIN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Withholding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 Transfer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w:t>
      </w:r>
    </w:p>
    <w:p>
      <w:pPr>
        <w:sectPr>
          <w:pgSz w:w="11900" w:h="16873" w:orient="portrait"/>
          <w:cols w:equalWidth="0" w:num="1">
            <w:col w:w="11240"/>
          </w:cols>
          <w:pgMar w:left="320" w:top="117" w:right="339" w:bottom="0" w:gutter="0" w:footer="0" w:header="0"/>
        </w:sectPr>
      </w:pPr>
    </w:p>
    <w:bookmarkStart w:id="63" w:name="page64"/>
    <w:bookmarkEnd w:id="63"/>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pledge, assign, hypothecate, transfer or otherwise dispose of 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Exchange Control and Tax Information Obligations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the Participant acquires Shares issued pursuant to the exercise of the Options, the Participant must declare the acquisition of such securities to the </w:t>
      </w:r>
      <w:r>
        <w:rPr>
          <w:rFonts w:ascii="Times New Roman" w:cs="Times New Roman" w:eastAsia="Times New Roman" w:hAnsi="Times New Roman"/>
          <w:sz w:val="18"/>
          <w:szCs w:val="18"/>
          <w:i w:val="1"/>
          <w:iCs w:val="1"/>
          <w:color w:val="auto"/>
        </w:rPr>
        <w:t>Spanish Direccion General de Política Comercial y de Inversiones Extranjeras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ERACYTE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filing the corresponding D-5 form, within the following month to the date of acquisition of the Shares. This declaration is provided to the Ministry of Economy and Competitiveness for statistical purposes only.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Times New Roman" w:cs="Times New Roman" w:eastAsia="Times New Roman" w:hAnsi="Times New Roman"/>
          <w:sz w:val="18"/>
          <w:szCs w:val="18"/>
          <w:i w:val="1"/>
          <w:iCs w:val="1"/>
          <w:color w:val="auto"/>
        </w:rPr>
        <w:t>Spanish Direccion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General de Política Comercial y de Inversiones Extranjeras </w:t>
      </w:r>
      <w:r>
        <w:rPr>
          <w:rFonts w:ascii="Times New Roman" w:cs="Times New Roman" w:eastAsia="Times New Roman" w:hAnsi="Times New Roman"/>
          <w:sz w:val="18"/>
          <w:szCs w:val="18"/>
          <w:color w:val="auto"/>
        </w:rPr>
        <w:t>about the development of the investment in non-resident entities by filing the corresponding D-8 form, within the first nine months of each calendar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Times New Roman" w:cs="Times New Roman" w:eastAsia="Times New Roman" w:hAnsi="Times New Roman"/>
          <w:sz w:val="18"/>
          <w:szCs w:val="18"/>
          <w:i w:val="1"/>
          <w:iCs w:val="1"/>
          <w:color w:val="auto"/>
        </w:rPr>
        <w:t>Impuesto sobre el Patrimonio</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Privacy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Share Scheme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 Tax Consequences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ERACYTE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discretion of the Company, the Options cannot be exercised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w:t>
      </w:r>
    </w:p>
    <w:p>
      <w:pPr>
        <w:sectPr>
          <w:pgSz w:w="11900" w:h="16954" w:orient="portrait"/>
          <w:cols w:equalWidth="0" w:num="1">
            <w:col w:w="11240"/>
          </w:cols>
          <w:pgMar w:left="320" w:top="121" w:right="339" w:bottom="0" w:gutter="0" w:footer="0" w:header="0"/>
        </w:sectPr>
      </w:pPr>
    </w:p>
    <w:bookmarkStart w:id="64" w:name="page65"/>
    <w:bookmarkEnd w:id="64"/>
    <w:p>
      <w:pPr>
        <w:jc w:val="both"/>
        <w:spacing w:after="0" w:line="254" w:lineRule="auto"/>
        <w:rPr>
          <w:sz w:val="20"/>
          <w:szCs w:val="20"/>
          <w:color w:val="auto"/>
        </w:rPr>
      </w:pPr>
      <w:r>
        <w:rPr>
          <w:rFonts w:ascii="Times New Roman" w:cs="Times New Roman" w:eastAsia="Times New Roman" w:hAnsi="Times New Roman"/>
          <w:sz w:val="18"/>
          <w:szCs w:val="18"/>
          <w:color w:val="auto"/>
        </w:rPr>
        <w:t>Shares (the “UK Tax-Related Items”) that the Participant owes due to the exercise of the Options, or the release or assignment of the Options for consideration, or the receipt of any other benefit in connection with the Options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Protection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ERACYTE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2013 STOCK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Stock Unit Award</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You have been granted the following Stock Units representing shares of Common Stock of Veracyte, Inc. (the “Company”) under the Company’s 2013 Stock Incentive Plan (the “Plan”). The Stock Units are subject to the terms and conditions set forth in this Notice of Stock Unit Award, the Stock Unit Agreement and the Additional Terms for Participants Providing Services Outside the United States attached to the Stock Unit Agreement as Exhibit A (collectively, the “Agreement”) and the Plan, which are incorporated herein by reference. Certain capitalized terms used, but not defined in this Notice of Stock Unit Award and the Agreement, are defined in the Plan.</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 of Participant: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Number of Stock Units Granted: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 of Grant: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 Commencement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 Schedule: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Stock Units subject to this Award vest when you complete each [X months]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continuous Service from the Vesting Commencement Date.] </w:t>
      </w:r>
      <w:r>
        <w:rPr>
          <w:rFonts w:ascii="Times New Roman" w:cs="Times New Roman" w:eastAsia="Times New Roman" w:hAnsi="Times New Roman"/>
          <w:sz w:val="18"/>
          <w:szCs w:val="18"/>
          <w:i w:val="1"/>
          <w:iCs w:val="1"/>
          <w:color w:val="auto"/>
        </w:rPr>
        <w:t>[Sample language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actual vesting schedule, which may be performance-based, to be inserted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approved on grant-by-grant basis.]</w:t>
      </w:r>
    </w:p>
    <w:p>
      <w:pPr>
        <w:spacing w:after="0" w:line="200" w:lineRule="exact"/>
        <w:rPr>
          <w:sz w:val="20"/>
          <w:szCs w:val="20"/>
          <w:color w:val="auto"/>
        </w:rPr>
      </w:pPr>
    </w:p>
    <w:p>
      <w:pPr>
        <w:sectPr>
          <w:pgSz w:w="11900" w:h="16838" w:orient="portrait"/>
          <w:cols w:equalWidth="0" w:num="2">
            <w:col w:w="4520" w:space="720"/>
            <w:col w:w="6000"/>
          </w:cols>
          <w:pgMar w:left="320" w:top="121" w:right="339" w:bottom="1440" w:gutter="0" w:footer="0" w:header="0"/>
          <w:type w:val="continuous"/>
        </w:sectPr>
      </w:pPr>
    </w:p>
    <w:p>
      <w:pPr>
        <w:spacing w:after="0" w:line="219"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By executing this document, which may be accomplished by e-signature or other electronic indication of acceptance, you and the Company agree that these Stock Units are granted under and governed by the terms and conditions of the Plan and the Agreement, both of which are attached to and made a part of this document.</w:t>
      </w:r>
    </w:p>
    <w:p>
      <w:pPr>
        <w:spacing w:after="0" w:line="171" w:lineRule="exact"/>
        <w:rPr>
          <w:sz w:val="20"/>
          <w:szCs w:val="20"/>
          <w:color w:val="auto"/>
        </w:rPr>
      </w:pPr>
    </w:p>
    <w:p>
      <w:pPr>
        <w:jc w:val="both"/>
        <w:ind w:right="1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By executing this document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VERACYTE, Inc.</w:t>
            </w:r>
          </w:p>
        </w:tc>
      </w:tr>
      <w:tr>
        <w:trPr>
          <w:trHeight w:val="630"/>
        </w:trPr>
        <w:tc>
          <w:tcPr>
            <w:tcW w:w="4980" w:type="dxa"/>
            <w:vAlign w:val="bottom"/>
          </w:tcPr>
          <w:p>
            <w:pPr>
              <w:spacing w:after="0"/>
              <w:rPr>
                <w:sz w:val="24"/>
                <w:szCs w:val="24"/>
                <w:color w:val="auto"/>
              </w:rPr>
            </w:pP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 __________________________________________</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Its: __________________________________________</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6260" w:type="dxa"/>
            <w:vAlign w:val="bottom"/>
          </w:tcPr>
          <w:p>
            <w:pPr>
              <w:spacing w:after="0"/>
              <w:rPr>
                <w:sz w:val="20"/>
                <w:szCs w:val="20"/>
                <w:color w:val="auto"/>
              </w:rPr>
            </w:pPr>
          </w:p>
        </w:tc>
      </w:tr>
      <w:tr>
        <w:trPr>
          <w:trHeight w:val="790"/>
        </w:trPr>
        <w:tc>
          <w:tcPr>
            <w:tcW w:w="49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2013 STOCK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UNIT AGREEMENT</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Stock Units are subject to the terms and conditions set forth in the Notice of Stock Unit Award, this Stock Unit Agreement and the Additional Terms for Participants Providing Services Outside the United States attached to this Stock Unit Agreement as Exhibit A (collectively the “Agreement”) and the Plan, which are incorporated herein by reference.</w:t>
      </w:r>
    </w:p>
    <w:p>
      <w:pPr>
        <w:spacing w:after="0" w:line="176"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terms defined in the Plan shall have the same defined meanings in the Notice of Stock Unit Award and the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Payment for Stock Units</w:t>
            </w: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 cash payment is required for the Stock Units you receive. You are receiving the Stock Units in</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consideration for Services rendered by you.</w:t>
            </w:r>
          </w:p>
        </w:tc>
        <w:tc>
          <w:tcPr>
            <w:tcW w:w="0" w:type="dxa"/>
            <w:vAlign w:val="bottom"/>
          </w:tcPr>
          <w:p>
            <w:pPr>
              <w:spacing w:after="0"/>
              <w:rPr>
                <w:sz w:val="1"/>
                <w:szCs w:val="1"/>
                <w:color w:val="auto"/>
              </w:rPr>
            </w:pPr>
          </w:p>
        </w:tc>
      </w:tr>
      <w:tr>
        <w:trPr>
          <w:trHeight w:val="414"/>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Stock Units that you are receiving will vest in installments, as shown in the Notice of Stock Unit</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Award.</w:t>
            </w:r>
          </w:p>
        </w:tc>
        <w:tc>
          <w:tcPr>
            <w:tcW w:w="0" w:type="dxa"/>
            <w:vAlign w:val="bottom"/>
          </w:tcPr>
          <w:p>
            <w:pPr>
              <w:spacing w:after="0"/>
              <w:rPr>
                <w:sz w:val="1"/>
                <w:szCs w:val="1"/>
                <w:color w:val="auto"/>
              </w:rPr>
            </w:pPr>
          </w:p>
        </w:tc>
      </w:tr>
      <w:tr>
        <w:trPr>
          <w:trHeight w:val="412"/>
        </w:trPr>
        <w:tc>
          <w:tcPr>
            <w:tcW w:w="2620" w:type="dxa"/>
            <w:vAlign w:val="bottom"/>
          </w:tcPr>
          <w:p>
            <w:pPr>
              <w:spacing w:after="0"/>
              <w:rPr>
                <w:sz w:val="24"/>
                <w:szCs w:val="24"/>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 additional Stock Units vest after your Service has terminated for any reason [, except as provided in your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xml:space="preserve">Change of Control and Severance Agreement to the extent in effect at the time of termination] </w:t>
            </w:r>
            <w:r>
              <w:rPr>
                <w:rFonts w:ascii="Times New Roman" w:cs="Times New Roman" w:eastAsia="Times New Roman" w:hAnsi="Times New Roman"/>
                <w:sz w:val="18"/>
                <w:szCs w:val="18"/>
                <w:i w:val="1"/>
                <w:iCs w:val="1"/>
                <w:color w:val="auto"/>
              </w:rPr>
              <w:t>[reference to</w:t>
            </w:r>
          </w:p>
        </w:tc>
        <w:tc>
          <w:tcPr>
            <w:tcW w:w="0" w:type="dxa"/>
            <w:vAlign w:val="bottom"/>
          </w:tcPr>
          <w:p>
            <w:pPr>
              <w:spacing w:after="0"/>
              <w:rPr>
                <w:sz w:val="1"/>
                <w:szCs w:val="1"/>
                <w:color w:val="auto"/>
              </w:rPr>
            </w:pPr>
          </w:p>
        </w:tc>
      </w:tr>
      <w:tr>
        <w:trPr>
          <w:trHeight w:val="236"/>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Forfeiture</w:t>
            </w: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i w:val="1"/>
                <w:iCs w:val="1"/>
                <w:color w:val="auto"/>
              </w:rPr>
              <w:t>Change of Control and Severance Agreement to be included only if applicable to the Participant]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vMerge w:val="continue"/>
          </w:tcPr>
          <w:p>
            <w:pPr>
              <w:spacing w:after="0"/>
              <w:rPr>
                <w:sz w:val="18"/>
                <w:szCs w:val="18"/>
                <w:color w:val="auto"/>
              </w:rPr>
            </w:pPr>
          </w:p>
        </w:tc>
        <w:tc>
          <w:tcPr>
            <w:tcW w:w="86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If your Service terminates for any reason, then your Award expires immediately as to the number of Stock</w:t>
            </w:r>
          </w:p>
        </w:tc>
        <w:tc>
          <w:tcPr>
            <w:tcW w:w="0" w:type="dxa"/>
            <w:vAlign w:val="bottom"/>
          </w:tcPr>
          <w:p>
            <w:pPr>
              <w:spacing w:after="0"/>
              <w:rPr>
                <w:sz w:val="1"/>
                <w:szCs w:val="1"/>
                <w:color w:val="auto"/>
              </w:rPr>
            </w:pPr>
          </w:p>
        </w:tc>
      </w:tr>
      <w:tr>
        <w:trPr>
          <w:trHeight w:val="198"/>
        </w:trPr>
        <w:tc>
          <w:tcPr>
            <w:tcW w:w="2620" w:type="dxa"/>
            <w:vAlign w:val="bottom"/>
          </w:tcPr>
          <w:p>
            <w:pPr>
              <w:spacing w:after="0"/>
              <w:rPr>
                <w:sz w:val="17"/>
                <w:szCs w:val="17"/>
                <w:color w:val="auto"/>
              </w:rPr>
            </w:pPr>
          </w:p>
        </w:tc>
        <w:tc>
          <w:tcPr>
            <w:tcW w:w="8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Units that have not vested before the termination date and do not vest as a result of termination.</w:t>
            </w:r>
          </w:p>
        </w:tc>
        <w:tc>
          <w:tcPr>
            <w:tcW w:w="0" w:type="dxa"/>
            <w:vAlign w:val="bottom"/>
          </w:tcPr>
          <w:p>
            <w:pPr>
              <w:spacing w:after="0"/>
              <w:rPr>
                <w:sz w:val="1"/>
                <w:szCs w:val="1"/>
                <w:color w:val="auto"/>
              </w:rPr>
            </w:pPr>
          </w:p>
        </w:tc>
      </w:tr>
      <w:tr>
        <w:trPr>
          <w:trHeight w:val="414"/>
        </w:trPr>
        <w:tc>
          <w:tcPr>
            <w:tcW w:w="2620" w:type="dxa"/>
            <w:vAlign w:val="bottom"/>
          </w:tcPr>
          <w:p>
            <w:pPr>
              <w:spacing w:after="0"/>
              <w:rPr>
                <w:sz w:val="24"/>
                <w:szCs w:val="24"/>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This means that the unvested Stock Units will immediately be cancelled. You receive no payment for Stock</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Units that are forfeited.</w:t>
            </w:r>
          </w:p>
        </w:tc>
        <w:tc>
          <w:tcPr>
            <w:tcW w:w="0" w:type="dxa"/>
            <w:vAlign w:val="bottom"/>
          </w:tcPr>
          <w:p>
            <w:pPr>
              <w:spacing w:after="0"/>
              <w:rPr>
                <w:sz w:val="1"/>
                <w:szCs w:val="1"/>
                <w:color w:val="auto"/>
              </w:rPr>
            </w:pPr>
          </w:p>
        </w:tc>
      </w:tr>
      <w:tr>
        <w:trPr>
          <w:trHeight w:val="414"/>
        </w:trPr>
        <w:tc>
          <w:tcPr>
            <w:tcW w:w="2620" w:type="dxa"/>
            <w:vAlign w:val="bottom"/>
          </w:tcPr>
          <w:p>
            <w:pPr>
              <w:spacing w:after="0"/>
              <w:rPr>
                <w:sz w:val="24"/>
                <w:szCs w:val="24"/>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Company determines when your Service terminates for this purpose and all purposes under the Plan</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and its determinations are conclusive and binding on all persons.</w:t>
            </w:r>
          </w:p>
        </w:tc>
        <w:tc>
          <w:tcPr>
            <w:tcW w:w="0" w:type="dxa"/>
            <w:vAlign w:val="bottom"/>
          </w:tcPr>
          <w:p>
            <w:pPr>
              <w:spacing w:after="0"/>
              <w:rPr>
                <w:sz w:val="1"/>
                <w:szCs w:val="1"/>
                <w:color w:val="auto"/>
              </w:rPr>
            </w:pPr>
          </w:p>
        </w:tc>
      </w:tr>
      <w:tr>
        <w:trPr>
          <w:trHeight w:val="412"/>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Leaves of Absence</w:t>
            </w: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For purposes of this Award, your Service does not terminate when you go on a military leave, a sick leave or</w:t>
            </w:r>
          </w:p>
        </w:tc>
        <w:tc>
          <w:tcPr>
            <w:tcW w:w="0" w:type="dxa"/>
            <w:vAlign w:val="bottom"/>
          </w:tcPr>
          <w:p>
            <w:pPr>
              <w:spacing w:after="0"/>
              <w:rPr>
                <w:sz w:val="1"/>
                <w:szCs w:val="1"/>
                <w:color w:val="auto"/>
              </w:rPr>
            </w:pPr>
          </w:p>
        </w:tc>
      </w:tr>
      <w:tr>
        <w:trPr>
          <w:trHeight w:val="218"/>
        </w:trPr>
        <w:tc>
          <w:tcPr>
            <w:tcW w:w="2620" w:type="dxa"/>
            <w:vAlign w:val="bottom"/>
          </w:tcPr>
          <w:p>
            <w:pPr>
              <w:spacing w:after="0"/>
              <w:rPr>
                <w:sz w:val="18"/>
                <w:szCs w:val="18"/>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xml:space="preserve">another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leave of absence, if the leave of absence was approved by the Company in writing and if</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continued crediting of Service is required by the terms of the leave or by applicable law. But your Service</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terminates when the approved leave ends, unless you immediately return to active work.</w:t>
            </w:r>
          </w:p>
        </w:tc>
        <w:tc>
          <w:tcPr>
            <w:tcW w:w="0" w:type="dxa"/>
            <w:vAlign w:val="bottom"/>
          </w:tcPr>
          <w:p>
            <w:pPr>
              <w:spacing w:after="0"/>
              <w:rPr>
                <w:sz w:val="1"/>
                <w:szCs w:val="1"/>
                <w:color w:val="auto"/>
              </w:rPr>
            </w:pPr>
          </w:p>
        </w:tc>
      </w:tr>
      <w:tr>
        <w:trPr>
          <w:trHeight w:val="414"/>
        </w:trPr>
        <w:tc>
          <w:tcPr>
            <w:tcW w:w="2620" w:type="dxa"/>
            <w:vAlign w:val="bottom"/>
          </w:tcPr>
          <w:p>
            <w:pPr>
              <w:spacing w:after="0"/>
              <w:rPr>
                <w:sz w:val="24"/>
                <w:szCs w:val="24"/>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If you go on a leave of absence, then the vesting schedule specified in the Notice of Stock Unit Award may</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be adjusted in accordance with the Company’s leave of absence policy or the terms of your leave.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Notwithstanding the foregoing, except as otherwise required by applicable laws, vesting of your Stock Units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will be suspended during any unpaid leave of absence. If you commence working on a part-time basis, then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vesting schedule specified in the Notice of Stock Unit Award may be adjusted in accordance with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Company’s part-time work policy or the terms of an agreement between you and the Company pertaining to</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your part-time schedule.</w:t>
            </w:r>
          </w:p>
        </w:tc>
        <w:tc>
          <w:tcPr>
            <w:tcW w:w="0" w:type="dxa"/>
            <w:vAlign w:val="bottom"/>
          </w:tcPr>
          <w:p>
            <w:pPr>
              <w:spacing w:after="0"/>
              <w:rPr>
                <w:sz w:val="1"/>
                <w:szCs w:val="1"/>
                <w:color w:val="auto"/>
              </w:rPr>
            </w:pPr>
          </w:p>
        </w:tc>
      </w:tr>
      <w:tr>
        <w:trPr>
          <w:trHeight w:val="414"/>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Nature of Stock Units</w:t>
            </w: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Your Stock Units are mere bookkeeping entries. They represent only the Company’s unfunded and</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unsecured promise to issue Shares on a future date. As a holder of Stock Units, you have no rights other</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than the rights of a general creditor of the Company.</w:t>
            </w:r>
          </w:p>
        </w:tc>
        <w:tc>
          <w:tcPr>
            <w:tcW w:w="0" w:type="dxa"/>
            <w:vAlign w:val="bottom"/>
          </w:tcPr>
          <w:p>
            <w:pPr>
              <w:spacing w:after="0"/>
              <w:rPr>
                <w:sz w:val="1"/>
                <w:szCs w:val="1"/>
                <w:color w:val="auto"/>
              </w:rPr>
            </w:pPr>
          </w:p>
        </w:tc>
      </w:tr>
      <w:tr>
        <w:trPr>
          <w:trHeight w:val="574"/>
        </w:trPr>
        <w:tc>
          <w:tcPr>
            <w:tcW w:w="26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No Voting Rights or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Your Stock Units are mere bookkeeping entries. They represent only the Company’s unfunded and unsecured promise to issue Shares on a future date. As a holder of Stock Units, you have no rights other than the rights of a general creditor of the Company.</w:t>
      </w:r>
    </w:p>
    <w:p>
      <w:pPr>
        <w:spacing w:after="0" w:line="172" w:lineRule="exact"/>
        <w:rPr>
          <w:sz w:val="20"/>
          <w:szCs w:val="20"/>
          <w:color w:val="auto"/>
        </w:rPr>
      </w:pPr>
    </w:p>
    <w:p>
      <w:pPr>
        <w:sectPr>
          <w:pgSz w:w="11900" w:h="16838" w:orient="portrait"/>
          <w:cols w:equalWidth="0" w:num="2">
            <w:col w:w="2640" w:space="720"/>
            <w:col w:w="7820"/>
          </w:cols>
          <w:pgMar w:left="320" w:top="819" w:right="39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Stock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Nontransferable</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not sell, transfer, assign, pledge or otherwise dispose of any Stock Units (nor any right arising thereunder). For instance, you may not use your Stock Units as security for a loan. If you attempt to do any of these things, your Stock Units will immediately become invalid and will be cancelled.</w:t>
      </w:r>
    </w:p>
    <w:p>
      <w:pPr>
        <w:spacing w:after="0" w:line="172" w:lineRule="exact"/>
        <w:rPr>
          <w:sz w:val="20"/>
          <w:szCs w:val="20"/>
          <w:color w:val="auto"/>
        </w:rPr>
      </w:pPr>
    </w:p>
    <w:p>
      <w:pPr>
        <w:sectPr>
          <w:pgSz w:w="11900" w:h="16838" w:orient="portrait"/>
          <w:cols w:equalWidth="0" w:num="2">
            <w:col w:w="2640" w:space="720"/>
            <w:col w:w="7820"/>
          </w:cols>
          <w:pgMar w:left="320" w:top="819"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Settlement of Stock Units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Each of your vested Stock Units will be settled within 30 days following the applicable date of vesting under the Vesting Schedule set forth in the Notice of Stock Unit Award.</w:t>
      </w:r>
    </w:p>
    <w:p>
      <w:pPr>
        <w:spacing w:after="0" w:line="162" w:lineRule="exact"/>
        <w:rPr>
          <w:sz w:val="20"/>
          <w:szCs w:val="20"/>
          <w:color w:val="auto"/>
        </w:rPr>
      </w:pPr>
    </w:p>
    <w:p>
      <w:pPr>
        <w:sectPr>
          <w:pgSz w:w="11900" w:h="16838" w:orient="portrait"/>
          <w:cols w:equalWidth="0" w:num="2">
            <w:col w:w="2640" w:space="720"/>
            <w:col w:w="7820"/>
          </w:cols>
          <w:pgMar w:left="320" w:top="819" w:right="399" w:bottom="1440" w:gutter="0" w:footer="0" w:header="0"/>
          <w:type w:val="continuous"/>
        </w:sectPr>
      </w:pPr>
    </w:p>
    <w:p>
      <w:pPr>
        <w:jc w:val="both"/>
        <w:ind w:left="3360"/>
        <w:spacing w:after="0" w:line="258" w:lineRule="auto"/>
        <w:rPr>
          <w:sz w:val="20"/>
          <w:szCs w:val="20"/>
          <w:color w:val="auto"/>
        </w:rPr>
      </w:pPr>
      <w:r>
        <w:rPr>
          <w:rFonts w:ascii="Times New Roman" w:cs="Times New Roman" w:eastAsia="Times New Roman" w:hAnsi="Times New Roman"/>
          <w:sz w:val="18"/>
          <w:szCs w:val="18"/>
          <w:color w:val="auto"/>
        </w:rPr>
        <w:t>At the time of settlement, you will receive one Share for each vested Stock Unit; provided, however, that no fractional Shares will be issued or delivered pursuant to the Plan or this Agreement, and the Committee will determine whether cash will be paid in lieu of any fractional Share or whether such fractional Share and any rights thereto will be canceled, terminated or otherwise eliminated. In addition, the Shares are issued to you subject to the condition that the issuance of the Shares not violate any law or regulation.</w:t>
      </w:r>
    </w:p>
    <w:p>
      <w:pPr>
        <w:sectPr>
          <w:pgSz w:w="11900" w:h="16838" w:orient="portrait"/>
          <w:cols w:equalWidth="0" w:num="1">
            <w:col w:w="11180"/>
          </w:cols>
          <w:pgMar w:left="320" w:top="819" w:right="399" w:bottom="1440" w:gutter="0" w:footer="0" w:header="0"/>
          <w:type w:val="continuous"/>
        </w:sectPr>
      </w:pPr>
    </w:p>
    <w:p>
      <w:pPr>
        <w:spacing w:after="0" w:line="179" w:lineRule="exact"/>
        <w:rPr>
          <w:sz w:val="20"/>
          <w:szCs w:val="20"/>
          <w:color w:val="auto"/>
        </w:rPr>
      </w:pPr>
    </w:p>
    <w:p>
      <w:pPr>
        <w:jc w:val="both"/>
        <w:ind w:left="3360" w:hanging="334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Withholding Taxes and Stock Withholding </w:t>
      </w:r>
      <w:r>
        <w:rPr>
          <w:rFonts w:ascii="Times New Roman" w:cs="Times New Roman" w:eastAsia="Times New Roman" w:hAnsi="Times New Roman"/>
          <w:sz w:val="18"/>
          <w:szCs w:val="18"/>
          <w:color w:val="auto"/>
        </w:rPr>
        <w:t>Regardless of any action the Company or your actual employer (the “Employer”) takes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all income tax, social insurance, payroll tax, payment on account or other tax-related withholding (“Tax-Related Items”), you acknowledge that the ultimate liability for all Tax-Related Items legally due by you is and remains your responsibility and that the Company and/or the Employer (1) make no representations or undertakings regarding the treatment of any Tax-Related Items in connection with any aspect of the Award, including the settlement of the Stock Units, the subsequent sale of Shares acquired pursuant to such settlement and the receipt of any dividends; and (2) do not commit to structure the terms of the Award or any aspect of the Stock Units to reduce or eliminate your liability for Tax-Related Items.</w:t>
      </w:r>
    </w:p>
    <w:p>
      <w:pPr>
        <w:spacing w:after="0" w:line="189" w:lineRule="exact"/>
        <w:rPr>
          <w:sz w:val="20"/>
          <w:szCs w:val="20"/>
          <w:color w:val="auto"/>
        </w:rPr>
      </w:pPr>
    </w:p>
    <w:p>
      <w:pPr>
        <w:jc w:val="both"/>
        <w:ind w:left="3360"/>
        <w:spacing w:after="0" w:line="266" w:lineRule="auto"/>
        <w:rPr>
          <w:sz w:val="20"/>
          <w:szCs w:val="20"/>
          <w:color w:val="auto"/>
        </w:rPr>
      </w:pPr>
      <w:r>
        <w:rPr>
          <w:rFonts w:ascii="Times New Roman" w:cs="Times New Roman" w:eastAsia="Times New Roman" w:hAnsi="Times New Roman"/>
          <w:sz w:val="18"/>
          <w:szCs w:val="18"/>
          <w:color w:val="auto"/>
        </w:rPr>
        <w:t>Prior to any relevant taxable or tax withholding event, as applicable, you shall pay or make adequate arrangements satisfactory to the Company and/or the Employer, as applicable, to satisfy all Tax-Related Items.</w:t>
      </w:r>
    </w:p>
    <w:p>
      <w:pPr>
        <w:spacing w:after="0" w:line="176" w:lineRule="exact"/>
        <w:rPr>
          <w:sz w:val="20"/>
          <w:szCs w:val="20"/>
          <w:color w:val="auto"/>
        </w:rPr>
      </w:pPr>
    </w:p>
    <w:p>
      <w:pPr>
        <w:jc w:val="both"/>
        <w:ind w:left="3360"/>
        <w:spacing w:after="0" w:line="253" w:lineRule="auto"/>
        <w:rPr>
          <w:sz w:val="20"/>
          <w:szCs w:val="20"/>
          <w:color w:val="auto"/>
        </w:rPr>
      </w:pPr>
      <w:r>
        <w:rPr>
          <w:rFonts w:ascii="Times New Roman" w:cs="Times New Roman" w:eastAsia="Times New Roman" w:hAnsi="Times New Roman"/>
          <w:sz w:val="18"/>
          <w:szCs w:val="18"/>
          <w:color w:val="auto"/>
        </w:rPr>
        <w:t>In this regard, you authorize the Company and/or the Employer (and their respective agents) to satisfy the obligations with regard to all Tax-Related Items by one or a combination of the following, as determined at the sole discretion of the Company and only to the extent permissible under local law: (1) withholding from your wages or other cash compensation paid to you by the Company and/or the Employer; (2) withholding from proceeds of the sale of Shares acquired upon settlement of the Stock Units either through a voluntary sale or through a mandatory sale arranged by the Company (on your behalf pursuant to this authorization);</w:t>
      </w:r>
    </w:p>
    <w:p>
      <w:pPr>
        <w:spacing w:after="0" w:line="5" w:lineRule="exact"/>
        <w:rPr>
          <w:sz w:val="20"/>
          <w:szCs w:val="20"/>
          <w:color w:val="auto"/>
        </w:rPr>
      </w:pPr>
    </w:p>
    <w:p>
      <w:pPr>
        <w:jc w:val="both"/>
        <w:ind w:left="3360" w:right="20" w:hanging="4"/>
        <w:spacing w:after="0" w:line="252" w:lineRule="auto"/>
        <w:tabs>
          <w:tab w:leader="none" w:pos="3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of Shares to otherwise be issued upon settlement of the Stock Units; or (4) any other arrangement approved by the Committee and permitted under applicable law; all under such rules as may be established by the Committee and in compliance with the Company’s Insider Trading Policy and 10b5-1 Trading Plan Policy, if applicable; provided, however, that the Committee shall establish the method prior to the Tax-Related Items withholding event and, unless determined otherwise by the Committee in advance of a Tax-Related Items withholding event, the method of withholding for this Stock Unit will be (3) above.</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If the obligation for Tax-Related Items is satisfied by withholding in Shares, for tax purposes, you are</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deemed to have been issued the full number of Shares subject to the vested Stock Units, notwithstanding</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that a number of the Shares are held back solely for the purpose of paying the Tax-Related Items due as a</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result of any aspect of your participation in the Plan. The Fair Market Value of these Shares, determined as</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as of the date that the taxes are required to be withheld, will be applied as a credit against the Tax-Related</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Items withholding. Depending on the withholding method, the Company may withhold or account for Tax-</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Related Items by considering applicable statutory withholding rates or other applicable withholding rates,</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including up to the maximum permissible statutory rate for your tax jurisdiction(s) in which case you will</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have no entitlement to the equivalent amount in Shares and will receive a refund of any over-withheld</w:t>
            </w:r>
          </w:p>
        </w:tc>
      </w:tr>
      <w:tr>
        <w:trPr>
          <w:trHeight w:val="234"/>
        </w:trPr>
        <w:tc>
          <w:tcPr>
            <w:tcW w:w="3100" w:type="dxa"/>
            <w:vAlign w:val="bottom"/>
          </w:tcPr>
          <w:p>
            <w:pPr>
              <w:spacing w:after="0"/>
              <w:rPr>
                <w:sz w:val="20"/>
                <w:szCs w:val="20"/>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amount in cash in accordance with applicable law.</w:t>
            </w:r>
          </w:p>
        </w:tc>
      </w:tr>
      <w:tr>
        <w:trPr>
          <w:trHeight w:val="414"/>
        </w:trPr>
        <w:tc>
          <w:tcPr>
            <w:tcW w:w="3100" w:type="dxa"/>
            <w:vAlign w:val="bottom"/>
          </w:tcPr>
          <w:p>
            <w:pPr>
              <w:spacing w:after="0"/>
              <w:rPr>
                <w:sz w:val="24"/>
                <w:szCs w:val="24"/>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Finally, you shall pay to the Company or the Employer any amount of Tax-Related Items that the Company</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 the Employer may be required to withhold as a result of your participation in the Plan or your purchase of</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that cannot be satisfied by the means previously described. The Company may refuse to deliver the</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if you fail to comply with your obligations in connection with the Tax-Related Items as described in</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this section, and your rights to the Shares shall be forfeited if you do not comply with such obligations on or</w:t>
            </w:r>
          </w:p>
        </w:tc>
      </w:tr>
      <w:tr>
        <w:trPr>
          <w:trHeight w:val="234"/>
        </w:trPr>
        <w:tc>
          <w:tcPr>
            <w:tcW w:w="3100" w:type="dxa"/>
            <w:vAlign w:val="bottom"/>
          </w:tcPr>
          <w:p>
            <w:pPr>
              <w:spacing w:after="0"/>
              <w:rPr>
                <w:sz w:val="20"/>
                <w:szCs w:val="20"/>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before the scheduled settlement deadline.</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Restrictions on Resale</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You agree not to sell any Shares at a time when applicable laws, Company policies or an agreement between</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Company and its underwriters prohibit a sale. This restriction will apply as long as your Service</w:t>
            </w:r>
          </w:p>
        </w:tc>
      </w:tr>
      <w:tr>
        <w:trPr>
          <w:trHeight w:val="234"/>
        </w:trPr>
        <w:tc>
          <w:tcPr>
            <w:tcW w:w="3100" w:type="dxa"/>
            <w:vAlign w:val="bottom"/>
          </w:tcPr>
          <w:p>
            <w:pPr>
              <w:spacing w:after="0"/>
              <w:rPr>
                <w:sz w:val="20"/>
                <w:szCs w:val="20"/>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continues and for such period of time after the termination of your Service as the Company may specify.</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Retention Rights</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Neither your Award nor this Agreement gives you the right to be employed or retained by the Company or a</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subsidiary of the Company in any capacity. The Company and its subsidiaries reserve the right to terminate</w:t>
            </w:r>
          </w:p>
        </w:tc>
      </w:tr>
      <w:tr>
        <w:trPr>
          <w:trHeight w:val="234"/>
        </w:trPr>
        <w:tc>
          <w:tcPr>
            <w:tcW w:w="3100" w:type="dxa"/>
            <w:vAlign w:val="bottom"/>
          </w:tcPr>
          <w:p>
            <w:pPr>
              <w:spacing w:after="0"/>
              <w:rPr>
                <w:sz w:val="20"/>
                <w:szCs w:val="20"/>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your Service at any time, with or without cause.</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number of Stock Units covered by this Award shall be subject to adjustment in the event of a stock</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split, a stock dividend or a similar change in Company Shares, and in other circumstances, as set forth in the</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Plan. The forfeiture provisions and restrictions provided for in this Agreement will apply to all new,</w:t>
            </w:r>
          </w:p>
        </w:tc>
      </w:tr>
      <w:tr>
        <w:trPr>
          <w:trHeight w:val="234"/>
        </w:trPr>
        <w:tc>
          <w:tcPr>
            <w:tcW w:w="3100" w:type="dxa"/>
            <w:vAlign w:val="bottom"/>
          </w:tcPr>
          <w:p>
            <w:pPr>
              <w:spacing w:after="0"/>
              <w:rPr>
                <w:sz w:val="20"/>
                <w:szCs w:val="20"/>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substitute or additional Stock Units or securities to which you are entitled by reason of this Award.</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Successors and Assigns</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Except as otherwise provided in the Plan or this Agreement, every term of this Agreement shall be binding</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upon and inure to the benefit of the parties hereto and their respective heirs, legatees, legal representatives,</w:t>
            </w:r>
          </w:p>
        </w:tc>
      </w:tr>
      <w:tr>
        <w:trPr>
          <w:trHeight w:val="234"/>
        </w:trPr>
        <w:tc>
          <w:tcPr>
            <w:tcW w:w="3100" w:type="dxa"/>
            <w:vAlign w:val="bottom"/>
          </w:tcPr>
          <w:p>
            <w:pPr>
              <w:spacing w:after="0"/>
              <w:rPr>
                <w:sz w:val="20"/>
                <w:szCs w:val="20"/>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successors, transferees and assigns.</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Notice</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Any notice required or permitted under this Agreement shall be given in writing and shall be deemed</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effectively given upon the earliest of personal delivery, receipt or the third full day following mailing with</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postage and fees prepaid, addressed to the other party hereto at the address last known in the Company’s</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records or at such other address as such party may designate by ten (10) days’ advance written notice to the</w:t>
            </w:r>
          </w:p>
        </w:tc>
      </w:tr>
      <w:tr>
        <w:trPr>
          <w:trHeight w:val="234"/>
        </w:trPr>
        <w:tc>
          <w:tcPr>
            <w:tcW w:w="3100" w:type="dxa"/>
            <w:vAlign w:val="bottom"/>
          </w:tcPr>
          <w:p>
            <w:pPr>
              <w:spacing w:after="0"/>
              <w:rPr>
                <w:sz w:val="20"/>
                <w:szCs w:val="20"/>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party hereto.</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Applicable Law and Choice of Venue</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This Agreement will be interpreted and enforced under the laws of the State of California (without regard to</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their choice-of-law provisions). For purposes of litigating any dispute that arises directly or indirectly from</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relationship of the parties evidenced by this Award or the Agreement, the parties hereby submit to and</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consent to the exclusive jurisdiction of the State of California and agree that such litigation shall be</w:t>
            </w:r>
          </w:p>
        </w:tc>
      </w:tr>
      <w:tr>
        <w:trPr>
          <w:trHeight w:val="216"/>
        </w:trPr>
        <w:tc>
          <w:tcPr>
            <w:tcW w:w="3100" w:type="dxa"/>
            <w:vAlign w:val="bottom"/>
          </w:tcPr>
          <w:p>
            <w:pPr>
              <w:spacing w:after="0"/>
              <w:rPr>
                <w:sz w:val="18"/>
                <w:szCs w:val="18"/>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conducted only in the courts of San Mateo County, California, or the federal courts for the United States for</w:t>
            </w:r>
          </w:p>
        </w:tc>
      </w:tr>
      <w:tr>
        <w:trPr>
          <w:trHeight w:val="234"/>
        </w:trPr>
        <w:tc>
          <w:tcPr>
            <w:tcW w:w="3100" w:type="dxa"/>
            <w:vAlign w:val="bottom"/>
          </w:tcPr>
          <w:p>
            <w:pPr>
              <w:spacing w:after="0"/>
              <w:rPr>
                <w:sz w:val="20"/>
                <w:szCs w:val="20"/>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Northern District of California, and no other courts, were this grant is made and/or to be performed.</w:t>
            </w:r>
          </w:p>
        </w:tc>
      </w:tr>
      <w:tr>
        <w:trPr>
          <w:trHeight w:val="471"/>
        </w:trPr>
        <w:tc>
          <w:tcPr>
            <w:tcW w:w="3100" w:type="dxa"/>
            <w:vAlign w:val="bottom"/>
          </w:tcPr>
          <w:p>
            <w:pPr>
              <w:spacing w:after="0"/>
              <w:rPr>
                <w:sz w:val="24"/>
                <w:szCs w:val="24"/>
                <w:color w:val="auto"/>
              </w:rPr>
            </w:pPr>
          </w:p>
        </w:tc>
        <w:tc>
          <w:tcPr>
            <w:tcW w:w="8140" w:type="dxa"/>
            <w:vAlign w:val="bottom"/>
          </w:tcPr>
          <w:p>
            <w:pPr>
              <w:ind w:left="2480"/>
              <w:spacing w:after="0"/>
              <w:rPr>
                <w:sz w:val="20"/>
                <w:szCs w:val="20"/>
                <w:color w:val="auto"/>
              </w:rPr>
            </w:pPr>
            <w:r>
              <w:rPr>
                <w:rFonts w:ascii="Times New Roman" w:cs="Times New Roman" w:eastAsia="Times New Roman" w:hAnsi="Times New Roman"/>
                <w:sz w:val="22"/>
                <w:szCs w:val="22"/>
                <w:color w:val="auto"/>
              </w:rPr>
              <w:t>3</w:t>
            </w:r>
          </w:p>
        </w:tc>
      </w:tr>
      <w:tr>
        <w:trPr>
          <w:trHeight w:val="103"/>
        </w:trPr>
        <w:tc>
          <w:tcPr>
            <w:tcW w:w="3100" w:type="dxa"/>
            <w:vAlign w:val="bottom"/>
            <w:tcBorders>
              <w:bottom w:val="single" w:sz="8" w:color="auto"/>
            </w:tcBorders>
          </w:tcPr>
          <w:p>
            <w:pPr>
              <w:spacing w:after="0"/>
              <w:rPr>
                <w:sz w:val="8"/>
                <w:szCs w:val="8"/>
                <w:color w:val="auto"/>
              </w:rPr>
            </w:pPr>
          </w:p>
        </w:tc>
        <w:tc>
          <w:tcPr>
            <w:tcW w:w="81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823"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You understand and acknowledge that (i) the Plan is entirely discretionary, (ii) the Company and your</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employer have reserved the right to amend, suspend or terminate the Plan at any time, (iii) the grant of your</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Award does not in any way create any contractual or other right to receive additional grants of awards (or</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benefits in lieu of awards) at any time or in any amount and (iv) all determinations with respect to any</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additional grants, including (without limitation) the times when awards will be granted, the number of</w:t>
            </w:r>
          </w:p>
        </w:tc>
      </w:tr>
      <w:tr>
        <w:trPr>
          <w:trHeight w:val="234"/>
        </w:trPr>
        <w:tc>
          <w:tcPr>
            <w:tcW w:w="2920" w:type="dxa"/>
            <w:vAlign w:val="bottom"/>
          </w:tcPr>
          <w:p>
            <w:pPr>
              <w:spacing w:after="0"/>
              <w:rPr>
                <w:sz w:val="20"/>
                <w:szCs w:val="20"/>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subject to the awards, and the vesting schedule, will be at the sole discretion of the Company.</w:t>
            </w:r>
          </w:p>
        </w:tc>
      </w:tr>
      <w:tr>
        <w:trPr>
          <w:trHeight w:val="414"/>
        </w:trPr>
        <w:tc>
          <w:tcPr>
            <w:tcW w:w="2920" w:type="dxa"/>
            <w:vAlign w:val="bottom"/>
          </w:tcPr>
          <w:p>
            <w:pPr>
              <w:spacing w:after="0"/>
              <w:rPr>
                <w:sz w:val="24"/>
                <w:szCs w:val="24"/>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value of this Award shall be an extraordinary item of compensation outside the scope of your</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employment contract, if any, and shall not be considered a part of your normal or expected compensation for</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purposes of calculating severance, resignation, redundancy or end-of-service payments, bonuses, long-</w:t>
            </w:r>
          </w:p>
        </w:tc>
      </w:tr>
      <w:tr>
        <w:trPr>
          <w:trHeight w:val="234"/>
        </w:trPr>
        <w:tc>
          <w:tcPr>
            <w:tcW w:w="2920" w:type="dxa"/>
            <w:vAlign w:val="bottom"/>
          </w:tcPr>
          <w:p>
            <w:pPr>
              <w:spacing w:after="0"/>
              <w:rPr>
                <w:sz w:val="20"/>
                <w:szCs w:val="20"/>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service awards, pension or retirement benefits or similar payments.</w:t>
            </w:r>
          </w:p>
        </w:tc>
      </w:tr>
      <w:tr>
        <w:trPr>
          <w:trHeight w:val="414"/>
        </w:trPr>
        <w:tc>
          <w:tcPr>
            <w:tcW w:w="2920" w:type="dxa"/>
            <w:vAlign w:val="bottom"/>
          </w:tcPr>
          <w:p>
            <w:pPr>
              <w:spacing w:after="0"/>
              <w:rPr>
                <w:sz w:val="24"/>
                <w:szCs w:val="24"/>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You understand and acknowledge that participation in the Plan ceases upon termination of your Service for</w:t>
            </w:r>
          </w:p>
        </w:tc>
      </w:tr>
      <w:tr>
        <w:trPr>
          <w:trHeight w:val="234"/>
        </w:trPr>
        <w:tc>
          <w:tcPr>
            <w:tcW w:w="2920" w:type="dxa"/>
            <w:vAlign w:val="bottom"/>
          </w:tcPr>
          <w:p>
            <w:pPr>
              <w:spacing w:after="0"/>
              <w:rPr>
                <w:sz w:val="20"/>
                <w:szCs w:val="20"/>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any reason, except as may explicitly be provided otherwise in the Plan or this Agreement.</w:t>
            </w:r>
          </w:p>
        </w:tc>
      </w:tr>
      <w:tr>
        <w:trPr>
          <w:trHeight w:val="414"/>
        </w:trPr>
        <w:tc>
          <w:tcPr>
            <w:tcW w:w="2920" w:type="dxa"/>
            <w:vAlign w:val="bottom"/>
          </w:tcPr>
          <w:p>
            <w:pPr>
              <w:spacing w:after="0"/>
              <w:rPr>
                <w:sz w:val="24"/>
                <w:szCs w:val="24"/>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You hereby authorize and direct your employer to disclose to the Company or any Subsidiary any</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information regarding your employment, the nature and amount of your compensation and the fact and</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conditions of your participation in the Plan, as your employer deems necessary or appropriate to facilitate</w:t>
            </w:r>
          </w:p>
        </w:tc>
      </w:tr>
      <w:tr>
        <w:trPr>
          <w:trHeight w:val="234"/>
        </w:trPr>
        <w:tc>
          <w:tcPr>
            <w:tcW w:w="2920" w:type="dxa"/>
            <w:vAlign w:val="bottom"/>
          </w:tcPr>
          <w:p>
            <w:pPr>
              <w:spacing w:after="0"/>
              <w:rPr>
                <w:sz w:val="20"/>
                <w:szCs w:val="20"/>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administration of the Plan.</w:t>
            </w:r>
          </w:p>
        </w:tc>
      </w:tr>
      <w:tr>
        <w:trPr>
          <w:trHeight w:val="414"/>
        </w:trPr>
        <w:tc>
          <w:tcPr>
            <w:tcW w:w="2920" w:type="dxa"/>
            <w:vAlign w:val="bottom"/>
          </w:tcPr>
          <w:p>
            <w:pPr>
              <w:spacing w:after="0"/>
              <w:rPr>
                <w:sz w:val="24"/>
                <w:szCs w:val="24"/>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You consent to the collection, use and transfer of personal data as described in this subsection. You</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understand and acknowledge that the Company, your employer and the Company’s other Subsidiaries hold</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certain personal information regarding you for the purpose of managing and administering the Plan,</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including (without limitation) your name, home address, telephone number, date of birth, social insurance</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number, salary, nationality, job title, any Shares or directorships held in the Company and details of all</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awards or any other entitlements to Shares awarded, canceled, exercised, vested, unvested or outstanding in</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your favor (the “Data”). You further understand and acknowledge that the Company and/or its Subsidiaries</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will transfer Data among themselves as necessary for the purpose of implementation, administration and</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management of your participation in the Plan and that the Company and/or any Subsidiary may each further</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transfer Data to any third party assisting the Company in the implementation, administration and</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management of the Plan. You understand and acknowledge that the recipients of Data may be located in the</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States or elsewhere. You authorize such recipients to receive, possess, use, retain and transfer Data,</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 electronic or other form, for the purpose of administering your participation in the Plan, including a</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transfer to any broker or other third party with whom you elect to deposit Shares acquired under the Plan of</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such Data as may be required for the administration of the Plan and/or the subsequent holding of Shares on</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your behalf. You may, at any time, view the Data, require any necessary modifications of Data or withdraw</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consents set forth in this subsection by contacting the Human Resources Department of the Company in</w:t>
            </w:r>
          </w:p>
        </w:tc>
      </w:tr>
      <w:tr>
        <w:trPr>
          <w:trHeight w:val="234"/>
        </w:trPr>
        <w:tc>
          <w:tcPr>
            <w:tcW w:w="2920" w:type="dxa"/>
            <w:vAlign w:val="bottom"/>
          </w:tcPr>
          <w:p>
            <w:pPr>
              <w:spacing w:after="0"/>
              <w:rPr>
                <w:sz w:val="20"/>
                <w:szCs w:val="20"/>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writing.</w:t>
            </w:r>
          </w:p>
        </w:tc>
      </w:tr>
      <w:tr>
        <w:trPr>
          <w:trHeight w:val="414"/>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Plan and Other Agreements</w:t>
            </w: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text of the Plan is incorporated in this Agreement by reference. All capitalized terms in this Agreement</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shall have the meanings assigned to them in the Plan. This Agreement and the Plan constitute the entire</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understanding between you and the Company regarding this Award. Any prior agreements, commitments or</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negotiations concerning this Award are superseded. This Agreement may be amended by the Committee</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without our consent, however, if any such amendment would materially impair your rights under this</w:t>
            </w:r>
          </w:p>
        </w:tc>
      </w:tr>
      <w:tr>
        <w:trPr>
          <w:trHeight w:val="216"/>
        </w:trPr>
        <w:tc>
          <w:tcPr>
            <w:tcW w:w="2920" w:type="dxa"/>
            <w:vAlign w:val="bottom"/>
          </w:tcPr>
          <w:p>
            <w:pPr>
              <w:spacing w:after="0"/>
              <w:rPr>
                <w:sz w:val="18"/>
                <w:szCs w:val="18"/>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Agreement, this Agreement may be amended on by another written agreement, signed by you and the</w:t>
            </w:r>
          </w:p>
        </w:tc>
      </w:tr>
      <w:tr>
        <w:trPr>
          <w:trHeight w:val="234"/>
        </w:trPr>
        <w:tc>
          <w:tcPr>
            <w:tcW w:w="2920" w:type="dxa"/>
            <w:vAlign w:val="bottom"/>
          </w:tcPr>
          <w:p>
            <w:pPr>
              <w:spacing w:after="0"/>
              <w:rPr>
                <w:sz w:val="20"/>
                <w:szCs w:val="20"/>
                <w:color w:val="auto"/>
              </w:rPr>
            </w:pPr>
          </w:p>
        </w:tc>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Company.</w:t>
            </w:r>
          </w:p>
        </w:tc>
      </w:tr>
      <w:tr>
        <w:trPr>
          <w:trHeight w:val="471"/>
        </w:trPr>
        <w:tc>
          <w:tcPr>
            <w:tcW w:w="2920" w:type="dxa"/>
            <w:vAlign w:val="bottom"/>
          </w:tcPr>
          <w:p>
            <w:pPr>
              <w:spacing w:after="0"/>
              <w:rPr>
                <w:sz w:val="24"/>
                <w:szCs w:val="24"/>
                <w:color w:val="auto"/>
              </w:rPr>
            </w:pPr>
          </w:p>
        </w:tc>
        <w:tc>
          <w:tcPr>
            <w:tcW w:w="8320" w:type="dxa"/>
            <w:vAlign w:val="bottom"/>
          </w:tcPr>
          <w:p>
            <w:pPr>
              <w:ind w:left="2660"/>
              <w:spacing w:after="0"/>
              <w:rPr>
                <w:sz w:val="20"/>
                <w:szCs w:val="20"/>
                <w:color w:val="auto"/>
              </w:rPr>
            </w:pPr>
            <w:r>
              <w:rPr>
                <w:rFonts w:ascii="Times New Roman" w:cs="Times New Roman" w:eastAsia="Times New Roman" w:hAnsi="Times New Roman"/>
                <w:sz w:val="22"/>
                <w:szCs w:val="22"/>
                <w:color w:val="auto"/>
              </w:rPr>
              <w:t>4</w:t>
            </w:r>
          </w:p>
        </w:tc>
      </w:tr>
      <w:tr>
        <w:trPr>
          <w:trHeight w:val="103"/>
        </w:trPr>
        <w:tc>
          <w:tcPr>
            <w:tcW w:w="2920" w:type="dxa"/>
            <w:vAlign w:val="bottom"/>
            <w:tcBorders>
              <w:bottom w:val="single" w:sz="8" w:color="auto"/>
            </w:tcBorders>
          </w:tcPr>
          <w:p>
            <w:pPr>
              <w:spacing w:after="0"/>
              <w:rPr>
                <w:sz w:val="8"/>
                <w:szCs w:val="8"/>
                <w:color w:val="auto"/>
              </w:rPr>
            </w:pPr>
          </w:p>
        </w:tc>
        <w:tc>
          <w:tcPr>
            <w:tcW w:w="83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819" w:right="339" w:bottom="1440" w:gutter="0" w:footer="0" w:header="0"/>
        </w:sectPr>
      </w:pPr>
    </w:p>
    <w:bookmarkStart w:id="70" w:name="page71"/>
    <w:bookmarkEnd w:id="70"/>
    <w:p>
      <w:pPr>
        <w:spacing w:after="0" w:line="268" w:lineRule="auto"/>
        <w:rPr>
          <w:sz w:val="20"/>
          <w:szCs w:val="20"/>
          <w:color w:val="auto"/>
        </w:rPr>
      </w:pPr>
      <w:r>
        <w:rPr>
          <w:rFonts w:ascii="Times New Roman" w:cs="Times New Roman" w:eastAsia="Times New Roman" w:hAnsi="Times New Roman"/>
          <w:sz w:val="18"/>
          <w:szCs w:val="18"/>
          <w:b w:val="1"/>
          <w:bCs w:val="1"/>
          <w:color w:val="auto"/>
        </w:rPr>
        <w:t>Additional Terms for Participants Providing Services Outside the United States</w:t>
      </w:r>
    </w:p>
    <w:p>
      <w:pPr>
        <w:spacing w:after="0" w:line="20" w:lineRule="exact"/>
        <w:rPr>
          <w:sz w:val="20"/>
          <w:szCs w:val="20"/>
          <w:color w:val="auto"/>
        </w:rPr>
      </w:pPr>
      <w:r>
        <w:rPr>
          <w:sz w:val="20"/>
          <w:szCs w:val="20"/>
          <w:color w:val="auto"/>
        </w:rPr>
        <w:br w:type="column"/>
      </w: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To the extent that you provide services to the Company or a Subsidiary in a country other than the United States, the Stock Units shall be subject to additional or substitute terms as shall be set forth in Exhibit A attached hereto. If you relocate to one of the countries included in Exhibit A during the life of the Stock Units, Exhibit A, including the provisions for such country, shall apply to you and the Stock Units, to the extent that the Company determines that the application of such provisions is necessary or advisable in order to comply with applicable law or facilitate the administration of the Plan. In addition, the Company reserves the right to impose other requirements on the Stock Units and the Shares issued upon vesting of the Stock Units, to the extent that the Company determines it is necessary or advisable in order to comply with local laws or facilitate the administration of the Plan, and to require you to sign any additional agreements or undertakings that may be necessary to accomplish the foregoing.</w:t>
      </w:r>
    </w:p>
    <w:p>
      <w:pPr>
        <w:spacing w:after="0" w:line="190"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THROUGH YOUR ELECTRONIC ACCEPTANCE</w:t>
      </w:r>
    </w:p>
    <w:p>
      <w:pPr>
        <w:spacing w:after="0" w:line="31"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OF THE NOTICE OF STOCK UNITS GRANT,</w:t>
      </w:r>
    </w:p>
    <w:p>
      <w:pPr>
        <w:spacing w:after="0" w:line="9" w:lineRule="exact"/>
        <w:rPr>
          <w:sz w:val="20"/>
          <w:szCs w:val="20"/>
          <w:color w:val="auto"/>
        </w:rPr>
      </w:pPr>
    </w:p>
    <w:p>
      <w:pPr>
        <w:jc w:val="center"/>
        <w:ind w:right="3140"/>
        <w:spacing w:after="0" w:line="255" w:lineRule="auto"/>
        <w:rPr>
          <w:sz w:val="20"/>
          <w:szCs w:val="20"/>
          <w:color w:val="auto"/>
        </w:rPr>
      </w:pPr>
      <w:r>
        <w:rPr>
          <w:rFonts w:ascii="Times New Roman" w:cs="Times New Roman" w:eastAsia="Times New Roman" w:hAnsi="Times New Roman"/>
          <w:sz w:val="18"/>
          <w:szCs w:val="18"/>
          <w:b w:val="1"/>
          <w:bCs w:val="1"/>
          <w:color w:val="auto"/>
        </w:rPr>
        <w:t>YOU AGREE TO ALL OF THE TERMS AND CONDITIONS DESCRIBED IN NOTICE OF STOCK UNITS GRANT, THE AGREEMENT AND IN THE PLAN.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489585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940" w:space="260"/>
            <w:col w:w="7980"/>
          </w:cols>
          <w:pgMar w:left="320" w:top="819" w:right="39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APPLICABLE TO PARTICIPANTS WHO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PROVIDE SERVICES IN THE IDENTIFIED COUNTRIES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Exhibit A, which forms part of the Agreement, includes additional terms and conditions applicable to Participants who provide services to the Company in the countries identified below. These terms and conditions are in addition to those terms set forth in the Notice of Stock Unit Award, the Stock Unit Agreement and in the Plan. To the extent there are any inconsistencies between these terms and conditions and those set forth in the Notice of Stock Unit Award, the Stock Unit Agreement or the Plan, these terms and conditions shall prevail. Any capitalized term used in this Exhibit A without definition shall have the meaning ascribed to such term in the Plan, Notice of Stock Unit Award or the Stock Unit Agreement, as applicable.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Participant’s convenience and information, the Company has provided certain general information regarding some of the tax and/or exchange control requirements that may apply to the Participant in certain of the countries below. Such information is current only as of June 2020, and the Company undertakes no obligation to update any such information and does not ensure that it is complete or correct. This information may not apply to the Participant’s individual situation, and may not be current as of any particular date in the future. The absence of any information on tax or foreign exchange requirements for any particular country should not be regarded as an indication that no such requirements apply in that country. The laws, rules and regulations of any country regarding the holding of securities may be subject to frequent change. The Participant is advised to seek appropriate professional advice as to how the relevant exchange control and tax laws in the Participant’s country may apply to the Participant’s individual situation.</w:t>
      </w:r>
    </w:p>
    <w:p>
      <w:pPr>
        <w:spacing w:after="0" w:line="18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GLOBAL PROVISIONS APPLICABLE TO PARTICIPANTS IN ALL COUNTRIES OTHER THAN THE UNITED STATES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 Guarantee of Continued Service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vesting of the Stock Units pursuant to the vesting schedule will occur only if the Participant continues as an Outside Director, Consultant, or Employee (as applicable) to the Company or a Subsidiary through the applicable vesting date. The Participant further acknowledges and agrees that this Agreement, the transactions contemplated hereunder and the vesting schedule do not constitute an express or implied promise or continued engagement as an Outside Director, Consultant or Employee for the vesting period, for any period, or at all, and will not interfere in any way with the Participant’s right or the right of the Company or any Subsidiary to effect a termination of Services at any time, with or without cause in compliance with applicable laws nor shall it be construed to amend or modify the terms of any consultancy, directorship, employment or other service agreement between the Participant and the Company or any Subsidiary.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Acknowledgment of Nature of Plan and Stock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accepting the award of Stock Units pursuant to this Agreement, the Participant acknowledges that:</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labor law purposes, Stock Units and Shares issued upon vesting thereof are an extraordinary item that do not constitute wages of any kind for services of any kind rendered to the Company or to the Participant’s employer, and the grant of Stock Units is outside the scope of the Participant’s employment contract, if 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labor law purposes, the grant of Stock Units and the Shares issued upon vesting thereof are not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or any Subsidiary;</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Units and the Shares issued upon vesting thereof are not intended to replace any pension rights 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2" w:name="page73"/>
    <w:bookmarkEnd w:id="72"/>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grant of Stock Units nor any provision of this Agreement, the Plan or the policies adopted pursuant to the Plan confer upon the Participant any right with respect to employment or continuation of current employment and shall not be interpreted to form an employment contract or relationship with the Company or any Subsidiary;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and cannot be predicted with certainty;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grant of Stock Units hereunder, no claim or entitlement to compensation or damages arises from termination of Stock Units, and no claim or entitlement to compensation or damages shall arise from forfeiture of the Stock Units resulting from termination of the Participant’s employment by the Company or any Subsidiary (for any reason whatsoever and whether or not in breach of local labor laws) and the Participant irrevocably releases the Company and the Participant’s employer from any such claim that may arise; if, notwithstanding the foregoing, any such claim is found by a court of competent jurisdiction to have arisen, the Participant shall be deemed irrevocably to have waived the Participant’s entitlement to pursue such claim; and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the Participant’s employment (whether or not in breach of local labor laws), the Participant’s rights to vest in the Stock Units under the Plan, if any, will terminate effective as of the date that the Participant is no longer actively employed and will not be extended by any notice period mandated under applicable local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active employment would not include a period of “garden leave” or similar period pursuant to applicable local laws); the administrator of the Plan shall have the exclusive discretion to determine when the Participant is no longer actively employed for purposes of Participant’s Stock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Rights as Stockholder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the Participant nor any person claiming under or through the Participant will have any of the rights or privileges of a stockholder of the Company in respect of any Shares that may become deliverable hereunder unless and until such Shares have been issued, recorded on the records of the Company or its transfer agents or registrars, and delivered in certificate or book entry form to the Participant. For the avoidance of doubt, neither the Participant nor any person claiming under or through the Participant will have no right to receive any dividend equivalent, or similar right, nor any economic right, in respect of the Stock Units awarded to the Participant.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Units are not intended to be French tax-qualified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Exchange Control Information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Law</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18"/>
          <w:szCs w:val="18"/>
          <w:color w:val="auto"/>
        </w:rPr>
        <w:t>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Protection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 data protection laws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French Language Provision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French translation: </w:t>
      </w:r>
      <w:r>
        <w:rPr>
          <w:rFonts w:ascii="Times New Roman" w:cs="Times New Roman" w:eastAsia="Times New Roman" w:hAnsi="Times New Roman"/>
          <w:sz w:val="18"/>
          <w:szCs w:val="18"/>
          <w:i w:val="1"/>
          <w:iCs w:val="1"/>
          <w:color w:val="auto"/>
        </w:rPr>
        <w:t>En signant et renvoyant ce Contrat vous confirmez ainsi avoir lu et compris les documents relatifs au Plan qui vous ont été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communiqués en langue anglaise. Vous en acceptez les termes en connaissance de cause.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Indemnity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Exchange Control Information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Protection</w:t>
      </w: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Protection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in this Agreement or the Plan limits the obligations under the Privacy Protection Act, 5741-1981 (“PPA”) Chapter B.</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Participant acknowledges that the Company and its Subsidiaries may make the Data available to public authorities where required under locally applicable law.</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SPAIN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Withholding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Exchange Control and Tax Information Obligations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5" w:name="page76"/>
    <w:bookmarkEnd w:id="75"/>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If the Participant acquires Shares issued pursuant to the Stock Units, the Participant must declare the acquisition of such securities to the Spanish </w:t>
      </w:r>
      <w:r>
        <w:rPr>
          <w:rFonts w:ascii="Times New Roman" w:cs="Times New Roman" w:eastAsia="Times New Roman" w:hAnsi="Times New Roman"/>
          <w:sz w:val="18"/>
          <w:szCs w:val="18"/>
          <w:i w:val="1"/>
          <w:iCs w:val="1"/>
          <w:color w:val="auto"/>
        </w:rPr>
        <w:t>Direccion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de Política Comercial y de Inversiones Extranjeras</w:t>
      </w:r>
      <w:r>
        <w:rPr>
          <w:rFonts w:ascii="Times New Roman" w:cs="Times New Roman" w:eastAsia="Times New Roman" w:hAnsi="Times New Roman"/>
          <w:sz w:val="18"/>
          <w:szCs w:val="18"/>
          <w:color w:val="auto"/>
        </w:rPr>
        <w:t>, by filing the corresponding D-5 form, within the following month to the date of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This declaration is provided to the Ministry of Economy and Competitiveness for statistical purposes only.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Times New Roman" w:cs="Times New Roman" w:eastAsia="Times New Roman" w:hAnsi="Times New Roman"/>
          <w:sz w:val="18"/>
          <w:szCs w:val="18"/>
          <w:i w:val="1"/>
          <w:iCs w:val="1"/>
          <w:color w:val="auto"/>
        </w:rPr>
        <w:t>Direccion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General de Política Comercial y de Inversiones Extranjeras </w:t>
      </w:r>
      <w:r>
        <w:rPr>
          <w:rFonts w:ascii="Times New Roman" w:cs="Times New Roman" w:eastAsia="Times New Roman" w:hAnsi="Times New Roman"/>
          <w:sz w:val="18"/>
          <w:szCs w:val="18"/>
          <w:color w:val="auto"/>
        </w:rPr>
        <w:t>about the development of the investment in non-resident entities by filing the corresponding D-8 form, within the first nine months of each calendar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Times New Roman" w:cs="Times New Roman" w:eastAsia="Times New Roman" w:hAnsi="Times New Roman"/>
          <w:sz w:val="18"/>
          <w:szCs w:val="18"/>
          <w:i w:val="1"/>
          <w:iCs w:val="1"/>
          <w:color w:val="auto"/>
        </w:rPr>
        <w:t>Impuesto sobre el Patrimonio</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Privacy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Share Scheme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 Tax Consequences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 (1) the grant or settlement of, or any benefit derived by the Participant from, the Stock Units, (2) the acquisition by the Participant of the Shares on the settlement of the Stock Units, or (3) the disposal of any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 contributions arising in respect of the granting, vesting, settlement of or other dealing in the Stock Units, or the acquisition of Shares on the settlement of the Stock Units, is transferred to and met by the Participant.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ectPr>
          <w:pgSz w:w="11900" w:h="16838" w:orient="portrait"/>
          <w:cols w:equalWidth="0" w:num="1">
            <w:col w:w="11240"/>
          </w:cols>
          <w:pgMar w:left="320" w:top="578" w:right="339" w:bottom="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auto"/>
        </w:rPr>
        <w:t>Data Privacy</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September 30, 2020;</w:t>
      </w:r>
    </w:p>
    <w:p>
      <w:pPr>
        <w:spacing w:after="0" w:line="225"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1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00" w:firstLine="656"/>
        <w:spacing w:after="0" w:line="282" w:lineRule="auto"/>
        <w:tabs>
          <w:tab w:leader="none" w:pos="1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20" w:firstLine="656"/>
        <w:spacing w:after="0" w:line="276" w:lineRule="auto"/>
        <w:tabs>
          <w:tab w:leader="none" w:pos="131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660" w:right="160" w:firstLine="689"/>
        <w:spacing w:after="0" w:line="266" w:lineRule="auto"/>
        <w:tabs>
          <w:tab w:leader="none" w:pos="19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180" w:firstLine="689"/>
        <w:spacing w:after="0" w:line="266" w:lineRule="auto"/>
        <w:tabs>
          <w:tab w:leader="none" w:pos="19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firstLine="689"/>
        <w:spacing w:after="0" w:line="312" w:lineRule="auto"/>
        <w:tabs>
          <w:tab w:leader="none" w:pos="1988"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600" w:firstLine="689"/>
        <w:spacing w:after="0" w:line="266" w:lineRule="auto"/>
        <w:tabs>
          <w:tab w:leader="none" w:pos="19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656"/>
        <w:spacing w:after="0" w:line="312" w:lineRule="auto"/>
        <w:tabs>
          <w:tab w:leader="none" w:pos="131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660" w:right="40" w:firstLine="689"/>
        <w:spacing w:after="0" w:line="282" w:lineRule="auto"/>
        <w:tabs>
          <w:tab w:leader="none" w:pos="197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60" w:firstLine="689"/>
        <w:spacing w:after="0" w:line="282" w:lineRule="auto"/>
        <w:tabs>
          <w:tab w:leader="none" w:pos="19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 2020</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5715</wp:posOffset>
            </wp:positionV>
            <wp:extent cx="35579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33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Kennedy, certify that:</w:t>
      </w:r>
    </w:p>
    <w:p>
      <w:pPr>
        <w:spacing w:after="0" w:line="225" w:lineRule="exact"/>
        <w:rPr>
          <w:sz w:val="20"/>
          <w:szCs w:val="20"/>
          <w:color w:val="auto"/>
        </w:rPr>
      </w:pPr>
    </w:p>
    <w:p>
      <w:pPr>
        <w:ind w:left="1380" w:hanging="724"/>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September 30, 2020;</w:t>
      </w:r>
    </w:p>
    <w:p>
      <w:pPr>
        <w:spacing w:after="0" w:line="225"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13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13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80" w:firstLine="656"/>
        <w:spacing w:after="0" w:line="276" w:lineRule="auto"/>
        <w:tabs>
          <w:tab w:leader="none" w:pos="136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660" w:right="20" w:firstLine="734"/>
        <w:spacing w:after="0" w:line="266" w:lineRule="auto"/>
        <w:tabs>
          <w:tab w:leader="none" w:pos="212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40" w:firstLine="734"/>
        <w:spacing w:after="0" w:line="266" w:lineRule="auto"/>
        <w:tabs>
          <w:tab w:leader="none" w:pos="213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140" w:firstLine="734"/>
        <w:spacing w:after="0" w:line="312" w:lineRule="auto"/>
        <w:tabs>
          <w:tab w:leader="none" w:pos="2123"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660" w:right="600" w:firstLine="734"/>
        <w:spacing w:after="0" w:line="266" w:lineRule="auto"/>
        <w:tabs>
          <w:tab w:leader="none" w:pos="213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00" w:firstLine="656"/>
        <w:spacing w:after="0" w:line="312" w:lineRule="auto"/>
        <w:tabs>
          <w:tab w:leader="none" w:pos="136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660" w:right="400" w:firstLine="734"/>
        <w:spacing w:after="0" w:line="312" w:lineRule="auto"/>
        <w:tabs>
          <w:tab w:leader="none" w:pos="2113"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660" w:right="760" w:firstLine="734"/>
        <w:spacing w:after="0" w:line="282" w:lineRule="auto"/>
        <w:tabs>
          <w:tab w:leader="none" w:pos="212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 2020</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5715</wp:posOffset>
            </wp:positionV>
            <wp:extent cx="35579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Keith Kennedy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33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September 30, 2020,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960" w:hanging="656"/>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 2020</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579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5790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33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September 30, 2020,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960" w:hanging="656"/>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 2020</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579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Keith Kennedy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lvl w:ilvl="1">
      <w:lvlJc w:val="left"/>
      <w:lvlText w:val="◦"/>
      <w:numFmt w:val="bullet"/>
      <w:start w:val="1"/>
    </w:lvl>
  </w:abstractNum>
  <w:abstractNum w:abstractNumId="10">
    <w:nsid w:val="8EDBDAB"/>
    <w:multiLevelType w:val="hybridMultilevel"/>
    <w:lvl w:ilvl="0">
      <w:lvlJc w:val="left"/>
      <w:lvlText w:val="•"/>
      <w:numFmt w:val="bullet"/>
      <w:start w:val="1"/>
    </w:lvl>
    <w:lvl w:ilvl="1">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2"/>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2"/>
    </w:lvl>
  </w:abstractNum>
  <w:abstractNum w:abstractNumId="30">
    <w:nsid w:val="419AC241"/>
    <w:multiLevelType w:val="hybridMultilevel"/>
    <w:lvl w:ilvl="0">
      <w:lvlJc w:val="left"/>
      <w:lvlText w:val="%1)"/>
      <w:numFmt w:val="lowerLetter"/>
      <w:start w:val="4"/>
    </w:lvl>
  </w:abstractNum>
  <w:abstractNum w:abstractNumId="31">
    <w:nsid w:val="5577F8E1"/>
    <w:multiLevelType w:val="hybridMultilevel"/>
    <w:lvl w:ilvl="0">
      <w:lvlJc w:val="left"/>
      <w:lvlText w:val="(%1)"/>
      <w:numFmt w:val="decimal"/>
      <w:start w:val="3"/>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4"/>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2020-11-02T15:32:38Z</dcterms:created>
  <dcterms:modified xsi:type="dcterms:W3CDTF">2020-11-02T15:32:38Z</dcterms:modified>
</cp:coreProperties>
</file>