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UNITED STATES</w:t>
      </w:r>
    </w:p>
    <w:p>
      <w:pPr>
        <w:spacing w:after="0" w:line="3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2463165</wp:posOffset>
            </wp:positionH>
            <wp:positionV relativeFrom="paragraph">
              <wp:posOffset>73660</wp:posOffset>
            </wp:positionV>
            <wp:extent cx="22167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308"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140335</wp:posOffset>
            </wp:positionV>
            <wp:extent cx="22167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284"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(Mark One)</w:t>
      </w:r>
    </w:p>
    <w:p>
      <w:pPr>
        <w:spacing w:after="0" w:line="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OR</w:t>
      </w:r>
    </w:p>
    <w:p>
      <w:pPr>
        <w:spacing w:after="0" w:line="126"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92" w:lineRule="exact"/>
        <w:rPr>
          <w:sz w:val="24"/>
          <w:szCs w:val="24"/>
          <w:color w:val="auto"/>
        </w:rPr>
      </w:pPr>
    </w:p>
    <w:tbl>
      <w:tblPr>
        <w:tblLayout w:type="fixed"/>
        <w:tblInd w:w="3880" w:type="dxa"/>
        <w:tblCellMar>
          <w:top w:w="0" w:type="dxa"/>
          <w:left w:w="0" w:type="dxa"/>
          <w:bottom w:w="0" w:type="dxa"/>
          <w:right w:w="0" w:type="dxa"/>
        </w:tblCellMar>
      </w:tblPr>
      <w:tr>
        <w:trPr>
          <w:trHeight w:val="217"/>
        </w:trPr>
        <w:tc>
          <w:tcPr>
            <w:tcW w:w="2560" w:type="dxa"/>
            <w:vAlign w:val="bottom"/>
          </w:tcPr>
          <w:p>
            <w:pPr>
              <w:ind w:left="140"/>
              <w:spacing w:after="0"/>
              <w:rPr>
                <w:sz w:val="20"/>
                <w:szCs w:val="20"/>
                <w:color w:val="auto"/>
              </w:rPr>
            </w:pPr>
            <w:r>
              <w:rPr>
                <w:rFonts w:ascii="Arial" w:cs="Arial" w:eastAsia="Arial" w:hAnsi="Arial"/>
                <w:sz w:val="17"/>
                <w:szCs w:val="17"/>
                <w:b w:val="1"/>
                <w:bCs w:val="1"/>
                <w:color w:val="auto"/>
              </w:rPr>
              <w:t>For the transition period from</w:t>
            </w:r>
          </w:p>
        </w:tc>
        <w:tc>
          <w:tcPr>
            <w:tcW w:w="920" w:type="dxa"/>
            <w:vAlign w:val="bottom"/>
          </w:tcPr>
          <w:p>
            <w:pPr>
              <w:ind w:left="260"/>
              <w:spacing w:after="0"/>
              <w:rPr>
                <w:sz w:val="20"/>
                <w:szCs w:val="20"/>
                <w:color w:val="auto"/>
              </w:rPr>
            </w:pPr>
            <w:r>
              <w:rPr>
                <w:rFonts w:ascii="Arial" w:cs="Arial" w:eastAsia="Arial" w:hAnsi="Arial"/>
                <w:sz w:val="17"/>
                <w:szCs w:val="17"/>
                <w:b w:val="1"/>
                <w:bCs w:val="1"/>
                <w:color w:val="auto"/>
              </w:rPr>
              <w:t>to</w:t>
            </w:r>
          </w:p>
        </w:tc>
      </w:tr>
      <w:tr>
        <w:trPr>
          <w:trHeight w:val="400"/>
        </w:trPr>
        <w:tc>
          <w:tcPr>
            <w:tcW w:w="3480" w:type="dxa"/>
            <w:vAlign w:val="bottom"/>
            <w:gridSpan w:val="2"/>
          </w:tcPr>
          <w:p>
            <w:pPr>
              <w:ind w:left="540"/>
              <w:spacing w:after="0"/>
              <w:rPr>
                <w:sz w:val="20"/>
                <w:szCs w:val="20"/>
                <w:color w:val="auto"/>
              </w:rPr>
            </w:pPr>
            <w:r>
              <w:rPr>
                <w:rFonts w:ascii="Arial" w:cs="Arial" w:eastAsia="Arial" w:hAnsi="Arial"/>
                <w:sz w:val="17"/>
                <w:szCs w:val="17"/>
                <w:b w:val="1"/>
                <w:bCs w:val="1"/>
                <w:color w:val="auto"/>
              </w:rPr>
              <w:t>Commission file number 001-36156</w:t>
            </w:r>
          </w:p>
        </w:tc>
      </w:tr>
      <w:tr>
        <w:trPr>
          <w:trHeight w:val="100"/>
        </w:trPr>
        <w:tc>
          <w:tcPr>
            <w:tcW w:w="25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pacing w:after="0" w:line="195" w:lineRule="exact"/>
        <w:rPr>
          <w:sz w:val="24"/>
          <w:szCs w:val="24"/>
          <w:color w:val="auto"/>
        </w:rPr>
      </w:pPr>
    </w:p>
    <w:tbl>
      <w:tblPr>
        <w:tblLayout w:type="fixed"/>
        <w:tblInd w:w="860" w:type="dxa"/>
        <w:tblCellMar>
          <w:top w:w="0" w:type="dxa"/>
          <w:left w:w="0" w:type="dxa"/>
          <w:bottom w:w="0" w:type="dxa"/>
          <w:right w:w="0" w:type="dxa"/>
        </w:tblCellMar>
      </w:tblPr>
      <w:tr>
        <w:trPr>
          <w:trHeight w:val="330"/>
        </w:trPr>
        <w:tc>
          <w:tcPr>
            <w:tcW w:w="3020" w:type="dxa"/>
            <w:vAlign w:val="bottom"/>
          </w:tcPr>
          <w:p>
            <w:pPr>
              <w:spacing w:after="0"/>
              <w:rPr>
                <w:sz w:val="24"/>
                <w:szCs w:val="24"/>
                <w:color w:val="auto"/>
              </w:rPr>
            </w:pPr>
          </w:p>
        </w:tc>
        <w:tc>
          <w:tcPr>
            <w:tcW w:w="6080" w:type="dxa"/>
            <w:vAlign w:val="bottom"/>
            <w:gridSpan w:val="2"/>
          </w:tcPr>
          <w:p>
            <w:pPr>
              <w:jc w:val="center"/>
              <w:ind w:right="2397"/>
              <w:spacing w:after="0"/>
              <w:rPr>
                <w:sz w:val="20"/>
                <w:szCs w:val="20"/>
                <w:color w:val="auto"/>
              </w:rPr>
            </w:pPr>
            <w:r>
              <w:rPr>
                <w:rFonts w:ascii="Arial" w:cs="Arial" w:eastAsia="Arial" w:hAnsi="Arial"/>
                <w:sz w:val="27"/>
                <w:szCs w:val="27"/>
                <w:b w:val="1"/>
                <w:bCs w:val="1"/>
                <w:color w:val="auto"/>
              </w:rPr>
              <w:t>VERACYTE, INC.</w:t>
            </w:r>
          </w:p>
        </w:tc>
      </w:tr>
      <w:tr>
        <w:trPr>
          <w:trHeight w:val="213"/>
        </w:trPr>
        <w:tc>
          <w:tcPr>
            <w:tcW w:w="3020" w:type="dxa"/>
            <w:vAlign w:val="bottom"/>
          </w:tcPr>
          <w:p>
            <w:pPr>
              <w:spacing w:after="0"/>
              <w:rPr>
                <w:sz w:val="18"/>
                <w:szCs w:val="18"/>
                <w:color w:val="auto"/>
              </w:rPr>
            </w:pPr>
          </w:p>
        </w:tc>
        <w:tc>
          <w:tcPr>
            <w:tcW w:w="6080" w:type="dxa"/>
            <w:vAlign w:val="bottom"/>
            <w:gridSpan w:val="2"/>
          </w:tcPr>
          <w:p>
            <w:pPr>
              <w:jc w:val="center"/>
              <w:ind w:right="2397"/>
              <w:spacing w:after="0"/>
              <w:rPr>
                <w:sz w:val="20"/>
                <w:szCs w:val="20"/>
                <w:color w:val="auto"/>
              </w:rPr>
            </w:pPr>
            <w:r>
              <w:rPr>
                <w:rFonts w:ascii="Arial" w:cs="Arial" w:eastAsia="Arial" w:hAnsi="Arial"/>
                <w:sz w:val="17"/>
                <w:szCs w:val="17"/>
                <w:color w:val="auto"/>
                <w:w w:val="88"/>
              </w:rPr>
              <w:t>(Exact name of registrant as specified in its charter)</w:t>
            </w:r>
          </w:p>
        </w:tc>
      </w:tr>
      <w:tr>
        <w:trPr>
          <w:trHeight w:val="263"/>
        </w:trPr>
        <w:tc>
          <w:tcPr>
            <w:tcW w:w="3020" w:type="dxa"/>
            <w:vAlign w:val="bottom"/>
          </w:tcPr>
          <w:p>
            <w:pPr>
              <w:spacing w:after="0"/>
              <w:rPr>
                <w:sz w:val="22"/>
                <w:szCs w:val="22"/>
                <w:color w:val="auto"/>
              </w:rPr>
            </w:pPr>
          </w:p>
        </w:tc>
        <w:tc>
          <w:tcPr>
            <w:tcW w:w="3480" w:type="dxa"/>
            <w:vAlign w:val="bottom"/>
            <w:tcBorders>
              <w:bottom w:val="single" w:sz="8" w:color="auto"/>
            </w:tcBorders>
          </w:tcPr>
          <w:p>
            <w:pPr>
              <w:spacing w:after="0"/>
              <w:rPr>
                <w:sz w:val="22"/>
                <w:szCs w:val="22"/>
                <w:color w:val="auto"/>
              </w:rPr>
            </w:pPr>
          </w:p>
        </w:tc>
        <w:tc>
          <w:tcPr>
            <w:tcW w:w="2600" w:type="dxa"/>
            <w:vAlign w:val="bottom"/>
          </w:tcPr>
          <w:p>
            <w:pPr>
              <w:spacing w:after="0"/>
              <w:rPr>
                <w:sz w:val="22"/>
                <w:szCs w:val="22"/>
                <w:color w:val="auto"/>
              </w:rPr>
            </w:pPr>
          </w:p>
        </w:tc>
      </w:tr>
      <w:tr>
        <w:trPr>
          <w:trHeight w:val="305"/>
        </w:trPr>
        <w:tc>
          <w:tcPr>
            <w:tcW w:w="3020" w:type="dxa"/>
            <w:vAlign w:val="bottom"/>
          </w:tcPr>
          <w:p>
            <w:pPr>
              <w:jc w:val="center"/>
              <w:ind w:right="937"/>
              <w:spacing w:after="0"/>
              <w:rPr>
                <w:sz w:val="20"/>
                <w:szCs w:val="20"/>
                <w:color w:val="auto"/>
              </w:rPr>
            </w:pPr>
            <w:r>
              <w:rPr>
                <w:rFonts w:ascii="Arial" w:cs="Arial" w:eastAsia="Arial" w:hAnsi="Arial"/>
                <w:sz w:val="17"/>
                <w:szCs w:val="17"/>
                <w:b w:val="1"/>
                <w:bCs w:val="1"/>
                <w:color w:val="auto"/>
                <w:w w:val="91"/>
              </w:rPr>
              <w:t>Delaware</w:t>
            </w:r>
          </w:p>
        </w:tc>
        <w:tc>
          <w:tcPr>
            <w:tcW w:w="6080" w:type="dxa"/>
            <w:vAlign w:val="bottom"/>
            <w:gridSpan w:val="2"/>
          </w:tcPr>
          <w:p>
            <w:pPr>
              <w:jc w:val="center"/>
              <w:ind w:left="4750"/>
              <w:spacing w:after="0"/>
              <w:rPr>
                <w:sz w:val="20"/>
                <w:szCs w:val="20"/>
                <w:color w:val="auto"/>
              </w:rPr>
            </w:pPr>
            <w:r>
              <w:rPr>
                <w:rFonts w:ascii="Arial" w:cs="Arial" w:eastAsia="Arial" w:hAnsi="Arial"/>
                <w:sz w:val="17"/>
                <w:szCs w:val="17"/>
                <w:b w:val="1"/>
                <w:bCs w:val="1"/>
                <w:color w:val="auto"/>
                <w:w w:val="88"/>
              </w:rPr>
              <w:t>20-5455398</w:t>
            </w:r>
          </w:p>
        </w:tc>
      </w:tr>
      <w:tr>
        <w:trPr>
          <w:trHeight w:val="213"/>
        </w:trPr>
        <w:tc>
          <w:tcPr>
            <w:tcW w:w="3020" w:type="dxa"/>
            <w:vAlign w:val="bottom"/>
          </w:tcPr>
          <w:p>
            <w:pPr>
              <w:jc w:val="center"/>
              <w:ind w:right="937"/>
              <w:spacing w:after="0"/>
              <w:rPr>
                <w:sz w:val="20"/>
                <w:szCs w:val="20"/>
                <w:color w:val="auto"/>
              </w:rPr>
            </w:pPr>
            <w:r>
              <w:rPr>
                <w:rFonts w:ascii="Arial" w:cs="Arial" w:eastAsia="Arial" w:hAnsi="Arial"/>
                <w:sz w:val="17"/>
                <w:szCs w:val="17"/>
                <w:color w:val="auto"/>
                <w:w w:val="90"/>
              </w:rPr>
              <w:t>(State or other jurisdiction of</w:t>
            </w:r>
          </w:p>
        </w:tc>
        <w:tc>
          <w:tcPr>
            <w:tcW w:w="3480" w:type="dxa"/>
            <w:vAlign w:val="bottom"/>
          </w:tcPr>
          <w:p>
            <w:pPr>
              <w:spacing w:after="0"/>
              <w:rPr>
                <w:sz w:val="18"/>
                <w:szCs w:val="18"/>
                <w:color w:val="auto"/>
              </w:rPr>
            </w:pPr>
          </w:p>
        </w:tc>
        <w:tc>
          <w:tcPr>
            <w:tcW w:w="2600" w:type="dxa"/>
            <w:vAlign w:val="bottom"/>
          </w:tcPr>
          <w:p>
            <w:pPr>
              <w:jc w:val="center"/>
              <w:ind w:left="1297"/>
              <w:spacing w:after="0"/>
              <w:rPr>
                <w:sz w:val="20"/>
                <w:szCs w:val="20"/>
                <w:color w:val="auto"/>
              </w:rPr>
            </w:pPr>
            <w:r>
              <w:rPr>
                <w:rFonts w:ascii="Arial" w:cs="Arial" w:eastAsia="Arial" w:hAnsi="Arial"/>
                <w:sz w:val="17"/>
                <w:szCs w:val="17"/>
                <w:color w:val="auto"/>
                <w:w w:val="91"/>
              </w:rPr>
              <w:t>(I.R.S. Employer</w:t>
            </w:r>
          </w:p>
        </w:tc>
      </w:tr>
      <w:tr>
        <w:trPr>
          <w:trHeight w:val="213"/>
        </w:trPr>
        <w:tc>
          <w:tcPr>
            <w:tcW w:w="3020" w:type="dxa"/>
            <w:vAlign w:val="bottom"/>
          </w:tcPr>
          <w:p>
            <w:pPr>
              <w:jc w:val="center"/>
              <w:ind w:right="937"/>
              <w:spacing w:after="0"/>
              <w:rPr>
                <w:sz w:val="20"/>
                <w:szCs w:val="20"/>
                <w:color w:val="auto"/>
              </w:rPr>
            </w:pPr>
            <w:r>
              <w:rPr>
                <w:rFonts w:ascii="Arial" w:cs="Arial" w:eastAsia="Arial" w:hAnsi="Arial"/>
                <w:sz w:val="17"/>
                <w:szCs w:val="17"/>
                <w:color w:val="auto"/>
                <w:w w:val="90"/>
              </w:rPr>
              <w:t>incorporation or organization)</w:t>
            </w:r>
          </w:p>
        </w:tc>
        <w:tc>
          <w:tcPr>
            <w:tcW w:w="3480" w:type="dxa"/>
            <w:vAlign w:val="bottom"/>
          </w:tcPr>
          <w:p>
            <w:pPr>
              <w:spacing w:after="0"/>
              <w:rPr>
                <w:sz w:val="18"/>
                <w:szCs w:val="18"/>
                <w:color w:val="auto"/>
              </w:rPr>
            </w:pPr>
          </w:p>
        </w:tc>
        <w:tc>
          <w:tcPr>
            <w:tcW w:w="2600" w:type="dxa"/>
            <w:vAlign w:val="bottom"/>
          </w:tcPr>
          <w:p>
            <w:pPr>
              <w:jc w:val="center"/>
              <w:ind w:left="1277"/>
              <w:spacing w:after="0"/>
              <w:rPr>
                <w:sz w:val="20"/>
                <w:szCs w:val="20"/>
                <w:color w:val="auto"/>
              </w:rPr>
            </w:pPr>
            <w:r>
              <w:rPr>
                <w:rFonts w:ascii="Arial" w:cs="Arial" w:eastAsia="Arial" w:hAnsi="Arial"/>
                <w:sz w:val="17"/>
                <w:szCs w:val="17"/>
                <w:color w:val="auto"/>
                <w:w w:val="93"/>
              </w:rPr>
              <w:t>Identification No.)</w:t>
            </w:r>
          </w:p>
        </w:tc>
      </w:tr>
      <w:tr>
        <w:trPr>
          <w:trHeight w:val="472"/>
        </w:trPr>
        <w:tc>
          <w:tcPr>
            <w:tcW w:w="3020" w:type="dxa"/>
            <w:vAlign w:val="bottom"/>
          </w:tcPr>
          <w:p>
            <w:pPr>
              <w:spacing w:after="0"/>
              <w:rPr>
                <w:sz w:val="24"/>
                <w:szCs w:val="24"/>
                <w:color w:val="auto"/>
              </w:rPr>
            </w:pPr>
          </w:p>
        </w:tc>
        <w:tc>
          <w:tcPr>
            <w:tcW w:w="6080" w:type="dxa"/>
            <w:vAlign w:val="bottom"/>
            <w:gridSpan w:val="2"/>
          </w:tcPr>
          <w:p>
            <w:pPr>
              <w:jc w:val="center"/>
              <w:ind w:right="2397"/>
              <w:spacing w:after="0"/>
              <w:rPr>
                <w:sz w:val="20"/>
                <w:szCs w:val="20"/>
                <w:color w:val="auto"/>
              </w:rPr>
            </w:pPr>
            <w:r>
              <w:rPr>
                <w:rFonts w:ascii="Arial" w:cs="Arial" w:eastAsia="Arial" w:hAnsi="Arial"/>
                <w:sz w:val="17"/>
                <w:szCs w:val="17"/>
                <w:b w:val="1"/>
                <w:bCs w:val="1"/>
                <w:color w:val="auto"/>
                <w:w w:val="88"/>
              </w:rPr>
              <w:t>6000 Shoreline Court, Suite 300</w:t>
            </w:r>
          </w:p>
        </w:tc>
      </w:tr>
      <w:tr>
        <w:trPr>
          <w:trHeight w:val="204"/>
        </w:trPr>
        <w:tc>
          <w:tcPr>
            <w:tcW w:w="3020" w:type="dxa"/>
            <w:vAlign w:val="bottom"/>
          </w:tcPr>
          <w:p>
            <w:pPr>
              <w:spacing w:after="0"/>
              <w:rPr>
                <w:sz w:val="17"/>
                <w:szCs w:val="17"/>
                <w:color w:val="auto"/>
              </w:rPr>
            </w:pPr>
          </w:p>
        </w:tc>
        <w:tc>
          <w:tcPr>
            <w:tcW w:w="6080" w:type="dxa"/>
            <w:vAlign w:val="bottom"/>
            <w:gridSpan w:val="2"/>
          </w:tcPr>
          <w:p>
            <w:pPr>
              <w:jc w:val="center"/>
              <w:ind w:right="2397"/>
              <w:spacing w:after="0"/>
              <w:rPr>
                <w:sz w:val="20"/>
                <w:szCs w:val="20"/>
                <w:color w:val="auto"/>
              </w:rPr>
            </w:pPr>
            <w:r>
              <w:rPr>
                <w:rFonts w:ascii="Arial" w:cs="Arial" w:eastAsia="Arial" w:hAnsi="Arial"/>
                <w:sz w:val="17"/>
                <w:szCs w:val="17"/>
                <w:b w:val="1"/>
                <w:bCs w:val="1"/>
                <w:color w:val="auto"/>
                <w:w w:val="88"/>
              </w:rPr>
              <w:t>South San Francisco, California 94080</w:t>
            </w:r>
          </w:p>
        </w:tc>
      </w:tr>
      <w:tr>
        <w:trPr>
          <w:trHeight w:val="213"/>
        </w:trPr>
        <w:tc>
          <w:tcPr>
            <w:tcW w:w="3020" w:type="dxa"/>
            <w:vAlign w:val="bottom"/>
          </w:tcPr>
          <w:p>
            <w:pPr>
              <w:spacing w:after="0"/>
              <w:rPr>
                <w:sz w:val="18"/>
                <w:szCs w:val="18"/>
                <w:color w:val="auto"/>
              </w:rPr>
            </w:pPr>
          </w:p>
        </w:tc>
        <w:tc>
          <w:tcPr>
            <w:tcW w:w="6080" w:type="dxa"/>
            <w:vAlign w:val="bottom"/>
            <w:gridSpan w:val="2"/>
          </w:tcPr>
          <w:p>
            <w:pPr>
              <w:jc w:val="center"/>
              <w:ind w:right="2397"/>
              <w:spacing w:after="0"/>
              <w:rPr>
                <w:sz w:val="20"/>
                <w:szCs w:val="20"/>
                <w:color w:val="auto"/>
              </w:rPr>
            </w:pPr>
            <w:r>
              <w:rPr>
                <w:rFonts w:ascii="Arial" w:cs="Arial" w:eastAsia="Arial" w:hAnsi="Arial"/>
                <w:sz w:val="17"/>
                <w:szCs w:val="17"/>
                <w:color w:val="auto"/>
                <w:w w:val="90"/>
              </w:rPr>
              <w:t>(Address of principal executive offices, zip code)</w:t>
            </w:r>
          </w:p>
        </w:tc>
      </w:tr>
      <w:tr>
        <w:trPr>
          <w:trHeight w:val="388"/>
        </w:trPr>
        <w:tc>
          <w:tcPr>
            <w:tcW w:w="3020" w:type="dxa"/>
            <w:vAlign w:val="bottom"/>
          </w:tcPr>
          <w:p>
            <w:pPr>
              <w:spacing w:after="0"/>
              <w:rPr>
                <w:sz w:val="24"/>
                <w:szCs w:val="24"/>
                <w:color w:val="auto"/>
              </w:rPr>
            </w:pPr>
          </w:p>
        </w:tc>
        <w:tc>
          <w:tcPr>
            <w:tcW w:w="3480" w:type="dxa"/>
            <w:vAlign w:val="bottom"/>
          </w:tcPr>
          <w:p>
            <w:pPr>
              <w:jc w:val="center"/>
              <w:ind w:left="30"/>
              <w:spacing w:after="0"/>
              <w:rPr>
                <w:sz w:val="20"/>
                <w:szCs w:val="20"/>
                <w:color w:val="auto"/>
              </w:rPr>
            </w:pPr>
            <w:r>
              <w:rPr>
                <w:rFonts w:ascii="Arial" w:cs="Arial" w:eastAsia="Arial" w:hAnsi="Arial"/>
                <w:sz w:val="17"/>
                <w:szCs w:val="17"/>
                <w:b w:val="1"/>
                <w:bCs w:val="1"/>
                <w:color w:val="auto"/>
                <w:w w:val="92"/>
              </w:rPr>
              <w:t>(650) 243-6300</w:t>
            </w:r>
          </w:p>
        </w:tc>
        <w:tc>
          <w:tcPr>
            <w:tcW w:w="2600" w:type="dxa"/>
            <w:vAlign w:val="bottom"/>
          </w:tcPr>
          <w:p>
            <w:pPr>
              <w:spacing w:after="0"/>
              <w:rPr>
                <w:sz w:val="24"/>
                <w:szCs w:val="24"/>
                <w:color w:val="auto"/>
              </w:rPr>
            </w:pPr>
          </w:p>
        </w:tc>
      </w:tr>
      <w:tr>
        <w:trPr>
          <w:trHeight w:val="213"/>
        </w:trPr>
        <w:tc>
          <w:tcPr>
            <w:tcW w:w="3020" w:type="dxa"/>
            <w:vAlign w:val="bottom"/>
          </w:tcPr>
          <w:p>
            <w:pPr>
              <w:spacing w:after="0"/>
              <w:rPr>
                <w:sz w:val="18"/>
                <w:szCs w:val="18"/>
                <w:color w:val="auto"/>
              </w:rPr>
            </w:pPr>
          </w:p>
        </w:tc>
        <w:tc>
          <w:tcPr>
            <w:tcW w:w="6080" w:type="dxa"/>
            <w:vAlign w:val="bottom"/>
            <w:gridSpan w:val="2"/>
          </w:tcPr>
          <w:p>
            <w:pPr>
              <w:jc w:val="center"/>
              <w:ind w:right="2397"/>
              <w:spacing w:after="0"/>
              <w:rPr>
                <w:sz w:val="20"/>
                <w:szCs w:val="20"/>
                <w:color w:val="auto"/>
              </w:rPr>
            </w:pPr>
            <w:r>
              <w:rPr>
                <w:rFonts w:ascii="Arial" w:cs="Arial" w:eastAsia="Arial" w:hAnsi="Arial"/>
                <w:sz w:val="17"/>
                <w:szCs w:val="17"/>
                <w:color w:val="auto"/>
                <w:w w:val="8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2463165</wp:posOffset>
            </wp:positionH>
            <wp:positionV relativeFrom="paragraph">
              <wp:posOffset>167005</wp:posOffset>
            </wp:positionV>
            <wp:extent cx="22167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Securities registered pursuant to Section 12(b) of the Act:</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Title of each class</w:t>
            </w:r>
          </w:p>
        </w:tc>
        <w:tc>
          <w:tcPr>
            <w:tcW w:w="10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Trading Symbol(s)</w:t>
            </w:r>
          </w:p>
        </w:tc>
        <w:tc>
          <w:tcPr>
            <w:tcW w:w="10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Name of each exchange on which registered</w:t>
            </w:r>
          </w:p>
        </w:tc>
      </w:tr>
      <w:tr>
        <w:trPr>
          <w:trHeight w:val="205"/>
        </w:trPr>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Common Stock, par value, $0.001 per share</w:t>
            </w:r>
          </w:p>
        </w:tc>
        <w:tc>
          <w:tcPr>
            <w:tcW w:w="378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VCYT</w:t>
            </w:r>
          </w:p>
        </w:tc>
        <w:tc>
          <w:tcPr>
            <w:tcW w:w="3680" w:type="dxa"/>
            <w:vAlign w:val="bottom"/>
          </w:tcPr>
          <w:p>
            <w:pPr>
              <w:jc w:val="center"/>
              <w:spacing w:after="0"/>
              <w:rPr>
                <w:sz w:val="20"/>
                <w:szCs w:val="20"/>
                <w:color w:val="auto"/>
              </w:rPr>
            </w:pPr>
            <w:r>
              <w:rPr>
                <w:rFonts w:ascii="Arial" w:cs="Arial" w:eastAsia="Arial" w:hAnsi="Arial"/>
                <w:sz w:val="17"/>
                <w:szCs w:val="17"/>
                <w:color w:val="auto"/>
                <w:w w:val="90"/>
              </w:rPr>
              <w:t>The Nasdaq Stock Market LLC</w:t>
            </w:r>
          </w:p>
        </w:tc>
      </w:tr>
    </w:tbl>
    <w:p>
      <w:pPr>
        <w:spacing w:after="0" w:line="275" w:lineRule="exact"/>
        <w:rPr>
          <w:sz w:val="24"/>
          <w:szCs w:val="24"/>
          <w:color w:val="auto"/>
        </w:rPr>
      </w:pPr>
    </w:p>
    <w:p>
      <w:pPr>
        <w:ind w:right="40" w:firstLine="413"/>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70" w:lineRule="exact"/>
        <w:rPr>
          <w:sz w:val="24"/>
          <w:szCs w:val="24"/>
          <w:color w:val="auto"/>
        </w:rPr>
      </w:pPr>
    </w:p>
    <w:p>
      <w:pPr>
        <w:ind w:right="100" w:firstLine="413"/>
        <w:spacing w:after="0" w:line="21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619760</wp:posOffset>
            </wp:positionV>
            <wp:extent cx="716788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ind w:firstLine="413"/>
        <w:spacing w:after="0" w:line="25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0"/>
          <w:szCs w:val="20"/>
          <w:color w:val="auto"/>
        </w:rPr>
      </w:pPr>
    </w:p>
    <w:tbl>
      <w:tblPr>
        <w:tblLayout w:type="fixed"/>
        <w:tblInd w:w="1220" w:type="dxa"/>
        <w:tblCellMar>
          <w:top w:w="0" w:type="dxa"/>
          <w:left w:w="0" w:type="dxa"/>
          <w:bottom w:w="0" w:type="dxa"/>
          <w:right w:w="0" w:type="dxa"/>
        </w:tblCellMar>
      </w:tblPr>
      <w:tr>
        <w:trPr>
          <w:trHeight w:val="213"/>
        </w:trPr>
        <w:tc>
          <w:tcPr>
            <w:tcW w:w="2160" w:type="dxa"/>
            <w:vAlign w:val="bottom"/>
          </w:tcPr>
          <w:p>
            <w:pPr>
              <w:jc w:val="center"/>
              <w:ind w:right="577"/>
              <w:spacing w:after="0"/>
              <w:rPr>
                <w:sz w:val="20"/>
                <w:szCs w:val="20"/>
                <w:color w:val="auto"/>
              </w:rPr>
            </w:pPr>
            <w:r>
              <w:rPr>
                <w:rFonts w:ascii="Arial" w:cs="Arial" w:eastAsia="Arial" w:hAnsi="Arial"/>
                <w:sz w:val="17"/>
                <w:szCs w:val="17"/>
                <w:color w:val="auto"/>
                <w:w w:val="89"/>
              </w:rPr>
              <w:t>Large accelerated filer</w:t>
            </w:r>
          </w:p>
        </w:tc>
        <w:tc>
          <w:tcPr>
            <w:tcW w:w="2700" w:type="dxa"/>
            <w:vAlign w:val="bottom"/>
          </w:tcPr>
          <w:p>
            <w:pPr>
              <w:jc w:val="center"/>
              <w:ind w:right="1097"/>
              <w:spacing w:after="0"/>
              <w:rPr>
                <w:sz w:val="20"/>
                <w:szCs w:val="20"/>
                <w:color w:val="auto"/>
              </w:rPr>
            </w:pPr>
            <w:r>
              <w:rPr>
                <w:rFonts w:ascii="Arial" w:cs="Arial" w:eastAsia="Arial" w:hAnsi="Arial"/>
                <w:sz w:val="17"/>
                <w:szCs w:val="17"/>
                <w:color w:val="auto"/>
                <w:w w:val="93"/>
              </w:rPr>
              <w:t>x</w:t>
            </w:r>
          </w:p>
        </w:tc>
        <w:tc>
          <w:tcPr>
            <w:tcW w:w="4300" w:type="dxa"/>
            <w:vAlign w:val="bottom"/>
          </w:tcPr>
          <w:p>
            <w:pPr>
              <w:jc w:val="center"/>
              <w:ind w:left="1237"/>
              <w:spacing w:after="0"/>
              <w:rPr>
                <w:sz w:val="20"/>
                <w:szCs w:val="20"/>
                <w:color w:val="auto"/>
              </w:rPr>
            </w:pPr>
            <w:r>
              <w:rPr>
                <w:rFonts w:ascii="Arial" w:cs="Arial" w:eastAsia="Arial" w:hAnsi="Arial"/>
                <w:sz w:val="17"/>
                <w:szCs w:val="17"/>
                <w:color w:val="auto"/>
                <w:w w:val="90"/>
              </w:rPr>
              <w:t>Accelerated filer</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3"/>
        </w:trPr>
        <w:tc>
          <w:tcPr>
            <w:tcW w:w="2160" w:type="dxa"/>
            <w:vAlign w:val="bottom"/>
          </w:tcPr>
          <w:p>
            <w:pPr>
              <w:jc w:val="center"/>
              <w:ind w:right="557"/>
              <w:spacing w:after="0"/>
              <w:rPr>
                <w:sz w:val="20"/>
                <w:szCs w:val="20"/>
                <w:color w:val="auto"/>
              </w:rPr>
            </w:pPr>
            <w:r>
              <w:rPr>
                <w:rFonts w:ascii="Arial" w:cs="Arial" w:eastAsia="Arial" w:hAnsi="Arial"/>
                <w:sz w:val="17"/>
                <w:szCs w:val="17"/>
                <w:color w:val="auto"/>
                <w:w w:val="89"/>
              </w:rPr>
              <w:t>Non-accelerated filer</w:t>
            </w:r>
          </w:p>
        </w:tc>
        <w:tc>
          <w:tcPr>
            <w:tcW w:w="2700" w:type="dxa"/>
            <w:vAlign w:val="bottom"/>
          </w:tcPr>
          <w:p>
            <w:pPr>
              <w:jc w:val="center"/>
              <w:ind w:right="1117"/>
              <w:spacing w:after="0" w:line="171" w:lineRule="exact"/>
              <w:rPr>
                <w:sz w:val="20"/>
                <w:szCs w:val="20"/>
                <w:color w:val="auto"/>
              </w:rPr>
            </w:pPr>
            <w:r>
              <w:rPr>
                <w:rFonts w:ascii="MS PGothic" w:cs="MS PGothic" w:eastAsia="MS PGothic" w:hAnsi="MS PGothic"/>
                <w:sz w:val="17"/>
                <w:szCs w:val="17"/>
                <w:color w:val="auto"/>
                <w:w w:val="82"/>
              </w:rPr>
              <w:t>☐</w:t>
            </w:r>
          </w:p>
        </w:tc>
        <w:tc>
          <w:tcPr>
            <w:tcW w:w="4300" w:type="dxa"/>
            <w:vAlign w:val="bottom"/>
          </w:tcPr>
          <w:p>
            <w:pPr>
              <w:jc w:val="center"/>
              <w:ind w:left="1197"/>
              <w:spacing w:after="0"/>
              <w:rPr>
                <w:sz w:val="20"/>
                <w:szCs w:val="20"/>
                <w:color w:val="auto"/>
              </w:rPr>
            </w:pPr>
            <w:r>
              <w:rPr>
                <w:rFonts w:ascii="Arial" w:cs="Arial" w:eastAsia="Arial" w:hAnsi="Arial"/>
                <w:sz w:val="17"/>
                <w:szCs w:val="17"/>
                <w:color w:val="auto"/>
                <w:w w:val="89"/>
              </w:rPr>
              <w:t>Smaller reporting company</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1"/>
        </w:trPr>
        <w:tc>
          <w:tcPr>
            <w:tcW w:w="21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300" w:type="dxa"/>
            <w:vAlign w:val="bottom"/>
          </w:tcPr>
          <w:p>
            <w:pPr>
              <w:jc w:val="center"/>
              <w:ind w:left="1197"/>
              <w:spacing w:after="0"/>
              <w:rPr>
                <w:sz w:val="20"/>
                <w:szCs w:val="20"/>
                <w:color w:val="auto"/>
              </w:rPr>
            </w:pPr>
            <w:r>
              <w:rPr>
                <w:rFonts w:ascii="Arial" w:cs="Arial" w:eastAsia="Arial" w:hAnsi="Arial"/>
                <w:sz w:val="17"/>
                <w:szCs w:val="17"/>
                <w:color w:val="auto"/>
                <w:w w:val="89"/>
              </w:rPr>
              <w:t>Emerging growth company</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45" w:lineRule="exact"/>
        <w:rPr>
          <w:sz w:val="20"/>
          <w:szCs w:val="20"/>
          <w:color w:val="auto"/>
        </w:rPr>
      </w:pPr>
    </w:p>
    <w:p>
      <w:pPr>
        <w:ind w:right="420" w:firstLine="338"/>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0" w:lineRule="exact"/>
        <w:rPr>
          <w:sz w:val="20"/>
          <w:szCs w:val="20"/>
          <w:color w:val="auto"/>
        </w:rPr>
      </w:pPr>
    </w:p>
    <w:p>
      <w:pPr>
        <w:ind w:left="340" w:right="2820"/>
        <w:spacing w:after="0" w:line="2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April 26, 2022, there were 71,445,343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800735</wp:posOffset>
            </wp:positionV>
            <wp:extent cx="716788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VERACYTE, INC.</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INDEX</w:t>
      </w:r>
    </w:p>
    <w:p>
      <w:pPr>
        <w:spacing w:after="0" w:line="310" w:lineRule="exact"/>
        <w:rPr>
          <w:sz w:val="20"/>
          <w:szCs w:val="20"/>
          <w:color w:val="auto"/>
        </w:rPr>
      </w:pPr>
    </w:p>
    <w:tbl>
      <w:tblPr>
        <w:tblLayout w:type="fixed"/>
        <w:tblInd w:w="136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gridSpan w:val="4"/>
          </w:tcPr>
          <w:p>
            <w:pPr>
              <w:jc w:val="right"/>
              <w:ind w:right="5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7"/>
                <w:szCs w:val="17"/>
                <w:b w:val="1"/>
                <w:bCs w:val="1"/>
                <w:color w:val="auto"/>
              </w:rPr>
              <w:t>No.</w:t>
            </w:r>
          </w:p>
        </w:tc>
        <w:tc>
          <w:tcPr>
            <w:tcW w:w="0" w:type="dxa"/>
            <w:vAlign w:val="bottom"/>
          </w:tcPr>
          <w:p>
            <w:pPr>
              <w:spacing w:after="0"/>
              <w:rPr>
                <w:sz w:val="1"/>
                <w:szCs w:val="1"/>
                <w:color w:val="auto"/>
              </w:rPr>
            </w:pPr>
          </w:p>
        </w:tc>
      </w:tr>
      <w:tr>
        <w:trPr>
          <w:trHeight w:val="193"/>
        </w:trPr>
        <w:tc>
          <w:tcPr>
            <w:tcW w:w="3060" w:type="dxa"/>
            <w:vAlign w:val="bottom"/>
            <w:tcBorders>
              <w:bottom w:val="single" w:sz="8" w:color="0000FF"/>
            </w:tcBorders>
            <w:gridSpan w:val="13"/>
          </w:tcPr>
          <w:p>
            <w:pPr>
              <w:spacing w:after="0" w:line="193" w:lineRule="exact"/>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PART I. — FINANCIAL INFORMATION</w:t>
              </w:r>
            </w:hyperlink>
          </w:p>
        </w:tc>
        <w:tc>
          <w:tcPr>
            <w:tcW w:w="4040" w:type="dxa"/>
            <w:vAlign w:val="bottom"/>
            <w:gridSpan w:val="10"/>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980" w:type="dxa"/>
            <w:vAlign w:val="bottom"/>
            <w:gridSpan w:val="22"/>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Item 1. Condensed Consolidated Financial Statements (Unaudited)</w:t>
              </w:r>
            </w:hyperlink>
          </w:p>
        </w:tc>
        <w:tc>
          <w:tcPr>
            <w:tcW w:w="1440" w:type="dxa"/>
            <w:vAlign w:val="bottom"/>
            <w:gridSpan w:val="4"/>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0" w:type="dxa"/>
            <w:vAlign w:val="bottom"/>
            <w:gridSpan w:val="21"/>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Balance Sheets as of March 31, 2022 and December 31,</w:t>
              </w:r>
            </w:hyperlink>
          </w:p>
        </w:tc>
        <w:tc>
          <w:tcPr>
            <w:tcW w:w="1440" w:type="dxa"/>
            <w:vAlign w:val="bottom"/>
            <w:gridSpan w:val="4"/>
            <w:vMerge w:val="restart"/>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1</w:t>
              </w:r>
            </w:hyperlink>
          </w:p>
        </w:tc>
        <w:tc>
          <w:tcPr>
            <w:tcW w:w="0" w:type="dxa"/>
            <w:vAlign w:val="bottom"/>
          </w:tcPr>
          <w:p>
            <w:pPr>
              <w:spacing w:after="0"/>
              <w:rPr>
                <w:sz w:val="1"/>
                <w:szCs w:val="1"/>
                <w:color w:val="auto"/>
              </w:rPr>
            </w:pPr>
          </w:p>
        </w:tc>
      </w:tr>
      <w:tr>
        <w:trPr>
          <w:trHeight w:val="143"/>
        </w:trPr>
        <w:tc>
          <w:tcPr>
            <w:tcW w:w="300" w:type="dxa"/>
            <w:vAlign w:val="bottom"/>
            <w:gridSpan w:val="2"/>
          </w:tcPr>
          <w:p>
            <w:pPr>
              <w:spacing w:after="0"/>
              <w:rPr>
                <w:sz w:val="12"/>
                <w:szCs w:val="12"/>
                <w:color w:val="auto"/>
              </w:rPr>
            </w:pPr>
          </w:p>
        </w:tc>
        <w:tc>
          <w:tcPr>
            <w:tcW w:w="340" w:type="dxa"/>
            <w:vAlign w:val="bottom"/>
            <w:tcBorders>
              <w:top w:val="single" w:sz="8" w:color="0000FF"/>
            </w:tcBorders>
          </w:tcPr>
          <w:p>
            <w:pPr>
              <w:spacing w:after="0" w:line="143" w:lineRule="exact"/>
              <w:rPr>
                <w:rFonts w:ascii="Arial" w:cs="Arial" w:eastAsia="Arial" w:hAnsi="Arial"/>
                <w:sz w:val="16"/>
                <w:szCs w:val="16"/>
                <w:color w:val="0000FF"/>
                <w:w w:val="89"/>
              </w:rPr>
            </w:pPr>
            <w:hyperlink w:anchor="page5">
              <w:r>
                <w:rPr>
                  <w:rFonts w:ascii="Arial" w:cs="Arial" w:eastAsia="Arial" w:hAnsi="Arial"/>
                  <w:sz w:val="16"/>
                  <w:szCs w:val="16"/>
                  <w:color w:val="0000FF"/>
                  <w:w w:val="89"/>
                </w:rPr>
                <w:t>2021</w:t>
              </w:r>
            </w:hyperlink>
          </w:p>
        </w:tc>
        <w:tc>
          <w:tcPr>
            <w:tcW w:w="2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gridSpan w:val="21"/>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Operations for the Three Month Periods</w:t>
              </w:r>
            </w:hyperlink>
          </w:p>
        </w:tc>
        <w:tc>
          <w:tcPr>
            <w:tcW w:w="1440" w:type="dxa"/>
            <w:vAlign w:val="bottom"/>
            <w:gridSpan w:val="4"/>
            <w:vMerge w:val="restart"/>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2</w:t>
              </w:r>
            </w:hyperlink>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0" w:type="dxa"/>
            <w:vAlign w:val="bottom"/>
            <w:tcBorders>
              <w:top w:val="single" w:sz="8" w:color="0000FF"/>
            </w:tcBorders>
            <w:gridSpan w:val="8"/>
          </w:tcPr>
          <w:p>
            <w:pPr>
              <w:spacing w:after="0" w:line="143" w:lineRule="exact"/>
              <w:rPr>
                <w:rFonts w:ascii="Arial" w:cs="Arial" w:eastAsia="Arial" w:hAnsi="Arial"/>
                <w:sz w:val="16"/>
                <w:szCs w:val="16"/>
                <w:color w:val="0000FF"/>
                <w:w w:val="93"/>
              </w:rPr>
            </w:pPr>
            <w:hyperlink w:anchor="page5">
              <w:r>
                <w:rPr>
                  <w:rFonts w:ascii="Arial" w:cs="Arial" w:eastAsia="Arial" w:hAnsi="Arial"/>
                  <w:sz w:val="16"/>
                  <w:szCs w:val="16"/>
                  <w:color w:val="0000FF"/>
                  <w:w w:val="93"/>
                </w:rPr>
                <w:t>Ended March 31, 2022 and 2021</w:t>
              </w:r>
            </w:hyperlink>
          </w:p>
        </w:tc>
        <w:tc>
          <w:tcPr>
            <w:tcW w:w="314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gridSpan w:val="21"/>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Comprehensive Loss for the Three Month</w:t>
              </w:r>
            </w:hyperlink>
          </w:p>
        </w:tc>
        <w:tc>
          <w:tcPr>
            <w:tcW w:w="1440" w:type="dxa"/>
            <w:vAlign w:val="bottom"/>
            <w:gridSpan w:val="4"/>
            <w:vMerge w:val="restart"/>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40" w:type="dxa"/>
            <w:vAlign w:val="bottom"/>
            <w:tcBorders>
              <w:top w:val="single" w:sz="8" w:color="0000FF"/>
            </w:tcBorders>
            <w:gridSpan w:val="10"/>
          </w:tcPr>
          <w:p>
            <w:pPr>
              <w:spacing w:after="0" w:line="143" w:lineRule="exact"/>
              <w:rPr>
                <w:rFonts w:ascii="Arial" w:cs="Arial" w:eastAsia="Arial" w:hAnsi="Arial"/>
                <w:sz w:val="16"/>
                <w:szCs w:val="16"/>
                <w:color w:val="0000FF"/>
                <w:w w:val="93"/>
              </w:rPr>
            </w:pPr>
            <w:hyperlink w:anchor="page6">
              <w:r>
                <w:rPr>
                  <w:rFonts w:ascii="Arial" w:cs="Arial" w:eastAsia="Arial" w:hAnsi="Arial"/>
                  <w:sz w:val="16"/>
                  <w:szCs w:val="16"/>
                  <w:color w:val="0000FF"/>
                  <w:w w:val="93"/>
                </w:rPr>
                <w:t xml:space="preserve">Periods Ended </w:t>
              </w:r>
            </w:hyperlink>
            <w:hyperlink w:anchor="page5">
              <w:r>
                <w:rPr>
                  <w:rFonts w:ascii="Arial" w:cs="Arial" w:eastAsia="Arial" w:hAnsi="Arial"/>
                  <w:sz w:val="16"/>
                  <w:szCs w:val="16"/>
                  <w:color w:val="0000FF"/>
                  <w:w w:val="93"/>
                </w:rPr>
                <w:t>March 31, 2022 and 2021</w:t>
              </w:r>
            </w:hyperlink>
          </w:p>
        </w:tc>
        <w:tc>
          <w:tcPr>
            <w:tcW w:w="2740" w:type="dxa"/>
            <w:vAlign w:val="bottom"/>
            <w:tcBorders>
              <w:top w:val="single" w:sz="8" w:color="0000FF"/>
            </w:tcBorders>
            <w:gridSpan w:val="9"/>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0" w:type="dxa"/>
            <w:vAlign w:val="bottom"/>
            <w:gridSpan w:val="21"/>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Stockholders' Equity for the Three Month</w:t>
              </w:r>
            </w:hyperlink>
          </w:p>
        </w:tc>
        <w:tc>
          <w:tcPr>
            <w:tcW w:w="1440" w:type="dxa"/>
            <w:vAlign w:val="bottom"/>
            <w:gridSpan w:val="4"/>
            <w:vMerge w:val="restart"/>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40" w:type="dxa"/>
            <w:vAlign w:val="bottom"/>
            <w:tcBorders>
              <w:top w:val="single" w:sz="8" w:color="0000FF"/>
            </w:tcBorders>
            <w:gridSpan w:val="10"/>
          </w:tcPr>
          <w:p>
            <w:pPr>
              <w:spacing w:after="0" w:line="143" w:lineRule="exact"/>
              <w:rPr>
                <w:rFonts w:ascii="Arial" w:cs="Arial" w:eastAsia="Arial" w:hAnsi="Arial"/>
                <w:sz w:val="16"/>
                <w:szCs w:val="16"/>
                <w:color w:val="0000FF"/>
                <w:w w:val="93"/>
              </w:rPr>
            </w:pPr>
            <w:hyperlink w:anchor="page7">
              <w:r>
                <w:rPr>
                  <w:rFonts w:ascii="Arial" w:cs="Arial" w:eastAsia="Arial" w:hAnsi="Arial"/>
                  <w:sz w:val="16"/>
                  <w:szCs w:val="16"/>
                  <w:color w:val="0000FF"/>
                  <w:w w:val="93"/>
                </w:rPr>
                <w:t xml:space="preserve">Periods Ended </w:t>
              </w:r>
            </w:hyperlink>
            <w:hyperlink w:anchor="page5">
              <w:r>
                <w:rPr>
                  <w:rFonts w:ascii="Arial" w:cs="Arial" w:eastAsia="Arial" w:hAnsi="Arial"/>
                  <w:sz w:val="16"/>
                  <w:szCs w:val="16"/>
                  <w:color w:val="0000FF"/>
                  <w:w w:val="93"/>
                </w:rPr>
                <w:t>March 31, 2022 and 2021</w:t>
              </w:r>
            </w:hyperlink>
          </w:p>
        </w:tc>
        <w:tc>
          <w:tcPr>
            <w:tcW w:w="2720" w:type="dxa"/>
            <w:vAlign w:val="bottom"/>
            <w:tcBorders>
              <w:top w:val="single" w:sz="8" w:color="0000FF"/>
            </w:tcBorders>
            <w:gridSpan w:val="8"/>
          </w:tcPr>
          <w:p>
            <w:pPr>
              <w:spacing w:after="0"/>
              <w:rPr>
                <w:sz w:val="12"/>
                <w:szCs w:val="12"/>
                <w:color w:val="auto"/>
              </w:rPr>
            </w:pPr>
          </w:p>
        </w:tc>
        <w:tc>
          <w:tcPr>
            <w:tcW w:w="80" w:type="dxa"/>
            <w:vAlign w:val="bottom"/>
            <w:gridSpan w:val="2"/>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gridSpan w:val="21"/>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Condensed Consolidated Statements of Cash Flows for the Three Month Periods</w:t>
              </w:r>
            </w:hyperlink>
          </w:p>
        </w:tc>
        <w:tc>
          <w:tcPr>
            <w:tcW w:w="1440" w:type="dxa"/>
            <w:vAlign w:val="bottom"/>
            <w:gridSpan w:val="4"/>
            <w:vMerge w:val="restart"/>
          </w:tcPr>
          <w:p>
            <w:pPr>
              <w:jc w:val="right"/>
              <w:ind w:right="20"/>
              <w:spacing w:after="0"/>
              <w:rPr>
                <w:rFonts w:ascii="Arial" w:cs="Arial" w:eastAsia="Arial" w:hAnsi="Arial"/>
                <w:sz w:val="17"/>
                <w:szCs w:val="17"/>
                <w:color w:val="0000FF"/>
              </w:rPr>
            </w:pPr>
            <w:hyperlink w:anchor="page8">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tcBorders>
              <w:top w:val="single" w:sz="8" w:color="0000FF"/>
            </w:tcBorders>
            <w:gridSpan w:val="9"/>
          </w:tcPr>
          <w:p>
            <w:pPr>
              <w:spacing w:after="0" w:line="143" w:lineRule="exact"/>
              <w:rPr>
                <w:rFonts w:ascii="Arial" w:cs="Arial" w:eastAsia="Arial" w:hAnsi="Arial"/>
                <w:sz w:val="16"/>
                <w:szCs w:val="16"/>
                <w:color w:val="0000FF"/>
              </w:rPr>
            </w:pPr>
            <w:hyperlink w:anchor="page8">
              <w:r>
                <w:rPr>
                  <w:rFonts w:ascii="Arial" w:cs="Arial" w:eastAsia="Arial" w:hAnsi="Arial"/>
                  <w:sz w:val="16"/>
                  <w:szCs w:val="16"/>
                  <w:color w:val="0000FF"/>
                </w:rPr>
                <w:t xml:space="preserve">Ended </w:t>
              </w:r>
            </w:hyperlink>
            <w:hyperlink w:anchor="page5">
              <w:r>
                <w:rPr>
                  <w:rFonts w:ascii="Arial" w:cs="Arial" w:eastAsia="Arial" w:hAnsi="Arial"/>
                  <w:sz w:val="16"/>
                  <w:szCs w:val="16"/>
                  <w:color w:val="0000FF"/>
                </w:rPr>
                <w:t>March 31, 2022 and 2021</w:t>
              </w:r>
            </w:hyperlink>
          </w:p>
        </w:tc>
        <w:tc>
          <w:tcPr>
            <w:tcW w:w="2900" w:type="dxa"/>
            <w:vAlign w:val="bottom"/>
            <w:tcBorders>
              <w:top w:val="single" w:sz="8" w:color="0000FF"/>
            </w:tcBorders>
            <w:gridSpan w:val="7"/>
          </w:tcPr>
          <w:p>
            <w:pPr>
              <w:spacing w:after="0"/>
              <w:rPr>
                <w:sz w:val="12"/>
                <w:szCs w:val="12"/>
                <w:color w:val="auto"/>
              </w:rPr>
            </w:pPr>
          </w:p>
        </w:tc>
        <w:tc>
          <w:tcPr>
            <w:tcW w:w="160" w:type="dxa"/>
            <w:vAlign w:val="bottom"/>
            <w:gridSpan w:val="4"/>
          </w:tcPr>
          <w:p>
            <w:pPr>
              <w:spacing w:after="0"/>
              <w:rPr>
                <w:sz w:val="12"/>
                <w:szCs w:val="12"/>
                <w:color w:val="auto"/>
              </w:rPr>
            </w:pPr>
          </w:p>
        </w:tc>
        <w:tc>
          <w:tcPr>
            <w:tcW w:w="126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gridSpan w:val="21"/>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w:t>
              </w:r>
            </w:hyperlink>
          </w:p>
        </w:tc>
        <w:tc>
          <w:tcPr>
            <w:tcW w:w="1440" w:type="dxa"/>
            <w:vAlign w:val="bottom"/>
            <w:gridSpan w:val="4"/>
          </w:tcPr>
          <w:p>
            <w:pPr>
              <w:jc w:val="right"/>
              <w:ind w:right="20"/>
              <w:spacing w:after="0"/>
              <w:rPr>
                <w:rFonts w:ascii="Arial" w:cs="Arial" w:eastAsia="Arial" w:hAnsi="Arial"/>
                <w:sz w:val="17"/>
                <w:szCs w:val="17"/>
                <w:color w:val="0000FF"/>
              </w:rPr>
            </w:pPr>
            <w:hyperlink w:anchor="page9">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6980" w:type="dxa"/>
            <w:vAlign w:val="bottom"/>
            <w:gridSpan w:val="22"/>
          </w:tcPr>
          <w:p>
            <w:pPr>
              <w:spacing w:after="0"/>
              <w:rPr>
                <w:rFonts w:ascii="Arial" w:cs="Arial" w:eastAsia="Arial" w:hAnsi="Arial"/>
                <w:sz w:val="17"/>
                <w:szCs w:val="17"/>
                <w:color w:val="0000FF"/>
              </w:rPr>
            </w:pPr>
            <w:hyperlink w:anchor="page22">
              <w:r>
                <w:rPr>
                  <w:rFonts w:ascii="Arial" w:cs="Arial" w:eastAsia="Arial" w:hAnsi="Arial"/>
                  <w:sz w:val="17"/>
                  <w:szCs w:val="17"/>
                  <w:color w:val="0000FF"/>
                </w:rPr>
                <w:t>Item 2. Management’s Discussion and Analysis of Financial Condition and Results of</w:t>
              </w:r>
            </w:hyperlink>
          </w:p>
        </w:tc>
        <w:tc>
          <w:tcPr>
            <w:tcW w:w="1420" w:type="dxa"/>
            <w:vAlign w:val="bottom"/>
            <w:gridSpan w:val="3"/>
            <w:vMerge w:val="restart"/>
          </w:tcPr>
          <w:p>
            <w:pPr>
              <w:jc w:val="right"/>
              <w:spacing w:after="0"/>
              <w:rPr>
                <w:rFonts w:ascii="Arial" w:cs="Arial" w:eastAsia="Arial" w:hAnsi="Arial"/>
                <w:sz w:val="17"/>
                <w:szCs w:val="17"/>
                <w:color w:val="0000FF"/>
              </w:rPr>
            </w:pPr>
            <w:hyperlink w:anchor="page22">
              <w:r>
                <w:rPr>
                  <w:rFonts w:ascii="Arial" w:cs="Arial" w:eastAsia="Arial" w:hAnsi="Arial"/>
                  <w:sz w:val="17"/>
                  <w:szCs w:val="17"/>
                  <w:color w:val="0000FF"/>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740" w:type="dxa"/>
            <w:vAlign w:val="bottom"/>
            <w:tcBorders>
              <w:top w:val="single" w:sz="8" w:color="0000FF"/>
            </w:tcBorders>
            <w:gridSpan w:val="3"/>
          </w:tcPr>
          <w:p>
            <w:pPr>
              <w:spacing w:after="0" w:line="143" w:lineRule="exact"/>
              <w:rPr>
                <w:rFonts w:ascii="Arial" w:cs="Arial" w:eastAsia="Arial" w:hAnsi="Arial"/>
                <w:sz w:val="16"/>
                <w:szCs w:val="16"/>
                <w:color w:val="0000FF"/>
                <w:w w:val="91"/>
              </w:rPr>
            </w:pPr>
            <w:hyperlink w:anchor="page22">
              <w:r>
                <w:rPr>
                  <w:rFonts w:ascii="Arial" w:cs="Arial" w:eastAsia="Arial" w:hAnsi="Arial"/>
                  <w:sz w:val="16"/>
                  <w:szCs w:val="16"/>
                  <w:color w:val="0000FF"/>
                  <w:w w:val="91"/>
                </w:rPr>
                <w:t>Operations</w:t>
              </w:r>
            </w:hyperlink>
          </w:p>
        </w:tc>
        <w:tc>
          <w:tcPr>
            <w:tcW w:w="4980" w:type="dxa"/>
            <w:vAlign w:val="bottom"/>
            <w:tcBorders>
              <w:top w:val="single" w:sz="8" w:color="0000FF"/>
            </w:tcBorders>
            <w:gridSpan w:val="18"/>
          </w:tcPr>
          <w:p>
            <w:pPr>
              <w:spacing w:after="0"/>
              <w:rPr>
                <w:sz w:val="12"/>
                <w:szCs w:val="12"/>
                <w:color w:val="auto"/>
              </w:rPr>
            </w:pPr>
          </w:p>
        </w:tc>
        <w:tc>
          <w:tcPr>
            <w:tcW w:w="12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540" w:type="dxa"/>
            <w:vAlign w:val="bottom"/>
            <w:gridSpan w:val="15"/>
          </w:tcPr>
          <w:p>
            <w:pPr>
              <w:spacing w:after="0"/>
              <w:rPr>
                <w:rFonts w:ascii="Arial" w:cs="Arial" w:eastAsia="Arial" w:hAnsi="Arial"/>
                <w:sz w:val="17"/>
                <w:szCs w:val="17"/>
                <w:color w:val="0000FF"/>
                <w:w w:val="89"/>
              </w:rPr>
            </w:pPr>
            <w:hyperlink w:anchor="page36">
              <w:r>
                <w:rPr>
                  <w:rFonts w:ascii="Arial" w:cs="Arial" w:eastAsia="Arial" w:hAnsi="Arial"/>
                  <w:sz w:val="17"/>
                  <w:szCs w:val="17"/>
                  <w:color w:val="0000FF"/>
                  <w:w w:val="89"/>
                </w:rPr>
                <w:t>Item 3. Quantitative and Qualitative Disclosures About Market Risk</w:t>
              </w:r>
            </w:hyperlink>
          </w:p>
        </w:tc>
        <w:tc>
          <w:tcPr>
            <w:tcW w:w="2440" w:type="dxa"/>
            <w:vAlign w:val="bottom"/>
            <w:gridSpan w:val="7"/>
          </w:tcPr>
          <w:p>
            <w:pPr>
              <w:spacing w:after="0"/>
              <w:rPr>
                <w:sz w:val="20"/>
                <w:szCs w:val="20"/>
                <w:color w:val="auto"/>
              </w:rPr>
            </w:pPr>
          </w:p>
        </w:tc>
        <w:tc>
          <w:tcPr>
            <w:tcW w:w="1420" w:type="dxa"/>
            <w:vAlign w:val="bottom"/>
            <w:gridSpan w:val="3"/>
          </w:tcPr>
          <w:p>
            <w:pPr>
              <w:jc w:val="right"/>
              <w:spacing w:after="0"/>
              <w:rPr>
                <w:rFonts w:ascii="Arial" w:cs="Arial" w:eastAsia="Arial" w:hAnsi="Arial"/>
                <w:sz w:val="17"/>
                <w:szCs w:val="17"/>
                <w:color w:val="0000FF"/>
              </w:rPr>
            </w:pPr>
            <w:hyperlink w:anchor="page36">
              <w:r>
                <w:rPr>
                  <w:rFonts w:ascii="Arial" w:cs="Arial" w:eastAsia="Arial" w:hAnsi="Arial"/>
                  <w:sz w:val="17"/>
                  <w:szCs w:val="17"/>
                  <w:color w:val="0000FF"/>
                </w:rPr>
                <w:t>32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440" w:type="dxa"/>
            <w:vAlign w:val="bottom"/>
            <w:tcBorders>
              <w:left w:val="single" w:sz="8" w:color="0000FF"/>
            </w:tcBorders>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2160" w:type="dxa"/>
            <w:vAlign w:val="bottom"/>
            <w:gridSpan w:val="8"/>
          </w:tcPr>
          <w:p>
            <w:pPr>
              <w:spacing w:after="0"/>
              <w:rPr>
                <w:rFonts w:ascii="Arial" w:cs="Arial" w:eastAsia="Arial" w:hAnsi="Arial"/>
                <w:sz w:val="17"/>
                <w:szCs w:val="17"/>
                <w:color w:val="0000FF"/>
                <w:w w:val="87"/>
              </w:rPr>
            </w:pPr>
            <w:hyperlink w:anchor="page36">
              <w:r>
                <w:rPr>
                  <w:rFonts w:ascii="Arial" w:cs="Arial" w:eastAsia="Arial" w:hAnsi="Arial"/>
                  <w:sz w:val="17"/>
                  <w:szCs w:val="17"/>
                  <w:color w:val="0000FF"/>
                  <w:w w:val="87"/>
                </w:rPr>
                <w:t>Item 4. Controls and Procedures</w:t>
              </w:r>
            </w:hyperlink>
          </w:p>
        </w:tc>
        <w:tc>
          <w:tcPr>
            <w:tcW w:w="2380" w:type="dxa"/>
            <w:vAlign w:val="bottom"/>
            <w:gridSpan w:val="7"/>
          </w:tcPr>
          <w:p>
            <w:pPr>
              <w:spacing w:after="0"/>
              <w:rPr>
                <w:sz w:val="20"/>
                <w:szCs w:val="20"/>
                <w:color w:val="auto"/>
              </w:rPr>
            </w:pPr>
          </w:p>
        </w:tc>
        <w:tc>
          <w:tcPr>
            <w:tcW w:w="2440" w:type="dxa"/>
            <w:vAlign w:val="bottom"/>
            <w:gridSpan w:val="7"/>
          </w:tcPr>
          <w:p>
            <w:pPr>
              <w:spacing w:after="0"/>
              <w:rPr>
                <w:sz w:val="20"/>
                <w:szCs w:val="20"/>
                <w:color w:val="auto"/>
              </w:rPr>
            </w:pPr>
          </w:p>
        </w:tc>
        <w:tc>
          <w:tcPr>
            <w:tcW w:w="1420" w:type="dxa"/>
            <w:vAlign w:val="bottom"/>
            <w:gridSpan w:val="3"/>
          </w:tcPr>
          <w:p>
            <w:pPr>
              <w:jc w:val="right"/>
              <w:spacing w:after="0"/>
              <w:rPr>
                <w:rFonts w:ascii="Arial" w:cs="Arial" w:eastAsia="Arial" w:hAnsi="Arial"/>
                <w:sz w:val="17"/>
                <w:szCs w:val="17"/>
                <w:color w:val="0000FF"/>
              </w:rPr>
            </w:pPr>
            <w:hyperlink w:anchor="page36">
              <w:r>
                <w:rPr>
                  <w:rFonts w:ascii="Arial" w:cs="Arial" w:eastAsia="Arial" w:hAnsi="Arial"/>
                  <w:sz w:val="17"/>
                  <w:szCs w:val="17"/>
                  <w:color w:val="0000FF"/>
                </w:rPr>
                <w:t>32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780" w:type="dxa"/>
            <w:vAlign w:val="bottom"/>
            <w:tcBorders>
              <w:bottom w:val="single" w:sz="8" w:color="0000FF"/>
            </w:tcBorders>
            <w:gridSpan w:val="11"/>
          </w:tcPr>
          <w:p>
            <w:pPr>
              <w:spacing w:after="0"/>
              <w:rPr>
                <w:rFonts w:ascii="Arial" w:cs="Arial" w:eastAsia="Arial" w:hAnsi="Arial"/>
                <w:sz w:val="17"/>
                <w:szCs w:val="17"/>
                <w:b w:val="1"/>
                <w:bCs w:val="1"/>
                <w:color w:val="0000FF"/>
              </w:rPr>
            </w:pPr>
            <w:hyperlink w:anchor="page36">
              <w:r>
                <w:rPr>
                  <w:rFonts w:ascii="Arial" w:cs="Arial" w:eastAsia="Arial" w:hAnsi="Arial"/>
                  <w:sz w:val="17"/>
                  <w:szCs w:val="17"/>
                  <w:b w:val="1"/>
                  <w:bCs w:val="1"/>
                  <w:color w:val="0000FF"/>
                </w:rPr>
                <w:t>PART II. — OTHER INFORMATION</w:t>
              </w:r>
            </w:hyperlink>
          </w:p>
        </w:tc>
        <w:tc>
          <w:tcPr>
            <w:tcW w:w="4320" w:type="dxa"/>
            <w:vAlign w:val="bottom"/>
            <w:gridSpan w:val="12"/>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480" w:type="dxa"/>
            <w:vAlign w:val="bottom"/>
            <w:gridSpan w:val="6"/>
          </w:tcPr>
          <w:p>
            <w:pPr>
              <w:spacing w:after="0"/>
              <w:rPr>
                <w:rFonts w:ascii="Arial" w:cs="Arial" w:eastAsia="Arial" w:hAnsi="Arial"/>
                <w:sz w:val="17"/>
                <w:szCs w:val="17"/>
                <w:color w:val="0000FF"/>
                <w:w w:val="89"/>
              </w:rPr>
            </w:pPr>
            <w:hyperlink w:anchor="page37">
              <w:r>
                <w:rPr>
                  <w:rFonts w:ascii="Arial" w:cs="Arial" w:eastAsia="Arial" w:hAnsi="Arial"/>
                  <w:sz w:val="17"/>
                  <w:szCs w:val="17"/>
                  <w:color w:val="0000FF"/>
                  <w:w w:val="89"/>
                </w:rPr>
                <w:t>Item 1A. Risk Factors</w:t>
              </w:r>
            </w:hyperlink>
          </w:p>
        </w:tc>
        <w:tc>
          <w:tcPr>
            <w:tcW w:w="5500" w:type="dxa"/>
            <w:vAlign w:val="bottom"/>
            <w:gridSpan w:val="16"/>
          </w:tcPr>
          <w:p>
            <w:pPr>
              <w:spacing w:after="0"/>
              <w:rPr>
                <w:sz w:val="20"/>
                <w:szCs w:val="20"/>
                <w:color w:val="auto"/>
              </w:rPr>
            </w:pPr>
          </w:p>
        </w:tc>
        <w:tc>
          <w:tcPr>
            <w:tcW w:w="1420" w:type="dxa"/>
            <w:vAlign w:val="bottom"/>
            <w:gridSpan w:val="3"/>
          </w:tcPr>
          <w:p>
            <w:pPr>
              <w:jc w:val="right"/>
              <w:spacing w:after="0"/>
              <w:rPr>
                <w:rFonts w:ascii="Arial" w:cs="Arial" w:eastAsia="Arial" w:hAnsi="Arial"/>
                <w:sz w:val="17"/>
                <w:szCs w:val="17"/>
                <w:color w:val="0000FF"/>
              </w:rPr>
            </w:pPr>
            <w:hyperlink w:anchor="page37">
              <w:r>
                <w:rPr>
                  <w:rFonts w:ascii="Arial" w:cs="Arial" w:eastAsia="Arial" w:hAnsi="Arial"/>
                  <w:sz w:val="17"/>
                  <w:szCs w:val="17"/>
                  <w:color w:val="0000FF"/>
                </w:rPr>
                <w:t>33</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6980" w:type="dxa"/>
            <w:vAlign w:val="bottom"/>
            <w:gridSpan w:val="22"/>
          </w:tcPr>
          <w:p>
            <w:pPr>
              <w:spacing w:after="0"/>
              <w:rPr>
                <w:rFonts w:ascii="Arial" w:cs="Arial" w:eastAsia="Arial" w:hAnsi="Arial"/>
                <w:sz w:val="17"/>
                <w:szCs w:val="17"/>
                <w:color w:val="0000FF"/>
              </w:rPr>
            </w:pPr>
            <w:hyperlink w:anchor="page76">
              <w:r>
                <w:rPr>
                  <w:rFonts w:ascii="Arial" w:cs="Arial" w:eastAsia="Arial" w:hAnsi="Arial"/>
                  <w:sz w:val="17"/>
                  <w:szCs w:val="17"/>
                  <w:color w:val="0000FF"/>
                </w:rPr>
                <w:t>Item 2. Unregistered Sales of Equity Securities and Use of Proceeds</w:t>
              </w:r>
            </w:hyperlink>
          </w:p>
        </w:tc>
        <w:tc>
          <w:tcPr>
            <w:tcW w:w="1420" w:type="dxa"/>
            <w:vAlign w:val="bottom"/>
            <w:gridSpan w:val="3"/>
          </w:tcPr>
          <w:p>
            <w:pPr>
              <w:jc w:val="right"/>
              <w:spacing w:after="0"/>
              <w:rPr>
                <w:rFonts w:ascii="Arial" w:cs="Arial" w:eastAsia="Arial" w:hAnsi="Arial"/>
                <w:sz w:val="17"/>
                <w:szCs w:val="17"/>
                <w:color w:val="0000FF"/>
              </w:rPr>
            </w:pPr>
            <w:hyperlink w:anchor="page76">
              <w:r>
                <w:rPr>
                  <w:rFonts w:ascii="Arial" w:cs="Arial" w:eastAsia="Arial" w:hAnsi="Arial"/>
                  <w:sz w:val="17"/>
                  <w:szCs w:val="17"/>
                  <w:color w:val="0000FF"/>
                </w:rPr>
                <w:t>72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4540" w:type="dxa"/>
            <w:vAlign w:val="bottom"/>
            <w:gridSpan w:val="15"/>
          </w:tcPr>
          <w:p>
            <w:pPr>
              <w:spacing w:after="0"/>
              <w:rPr>
                <w:rFonts w:ascii="Arial" w:cs="Arial" w:eastAsia="Arial" w:hAnsi="Arial"/>
                <w:sz w:val="17"/>
                <w:szCs w:val="17"/>
                <w:color w:val="0000FF"/>
              </w:rPr>
            </w:pPr>
            <w:hyperlink w:anchor="page76">
              <w:r>
                <w:rPr>
                  <w:rFonts w:ascii="Arial" w:cs="Arial" w:eastAsia="Arial" w:hAnsi="Arial"/>
                  <w:sz w:val="17"/>
                  <w:szCs w:val="17"/>
                  <w:color w:val="0000FF"/>
                </w:rPr>
                <w:t>Item 3. Defaults Upon Senior Securities</w:t>
              </w:r>
            </w:hyperlink>
          </w:p>
        </w:tc>
        <w:tc>
          <w:tcPr>
            <w:tcW w:w="2440" w:type="dxa"/>
            <w:vAlign w:val="bottom"/>
            <w:gridSpan w:val="7"/>
          </w:tcPr>
          <w:p>
            <w:pPr>
              <w:spacing w:after="0"/>
              <w:rPr>
                <w:sz w:val="20"/>
                <w:szCs w:val="20"/>
                <w:color w:val="auto"/>
              </w:rPr>
            </w:pPr>
          </w:p>
        </w:tc>
        <w:tc>
          <w:tcPr>
            <w:tcW w:w="1420" w:type="dxa"/>
            <w:vAlign w:val="bottom"/>
            <w:gridSpan w:val="3"/>
          </w:tcPr>
          <w:p>
            <w:pPr>
              <w:jc w:val="right"/>
              <w:spacing w:after="0"/>
              <w:rPr>
                <w:rFonts w:ascii="Arial" w:cs="Arial" w:eastAsia="Arial" w:hAnsi="Arial"/>
                <w:sz w:val="17"/>
                <w:szCs w:val="17"/>
                <w:color w:val="0000FF"/>
              </w:rPr>
            </w:pPr>
            <w:hyperlink w:anchor="page76">
              <w:r>
                <w:rPr>
                  <w:rFonts w:ascii="Arial" w:cs="Arial" w:eastAsia="Arial" w:hAnsi="Arial"/>
                  <w:sz w:val="17"/>
                  <w:szCs w:val="17"/>
                  <w:color w:val="0000FF"/>
                </w:rPr>
                <w:t>72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32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2160" w:type="dxa"/>
            <w:vAlign w:val="bottom"/>
            <w:gridSpan w:val="8"/>
          </w:tcPr>
          <w:p>
            <w:pPr>
              <w:spacing w:after="0"/>
              <w:rPr>
                <w:rFonts w:ascii="Arial" w:cs="Arial" w:eastAsia="Arial" w:hAnsi="Arial"/>
                <w:sz w:val="17"/>
                <w:szCs w:val="17"/>
                <w:color w:val="0000FF"/>
                <w:w w:val="89"/>
              </w:rPr>
            </w:pPr>
            <w:hyperlink w:anchor="page76">
              <w:r>
                <w:rPr>
                  <w:rFonts w:ascii="Arial" w:cs="Arial" w:eastAsia="Arial" w:hAnsi="Arial"/>
                  <w:sz w:val="17"/>
                  <w:szCs w:val="17"/>
                  <w:color w:val="0000FF"/>
                  <w:w w:val="89"/>
                </w:rPr>
                <w:t>Item 4. Mine Safety Disclosures</w:t>
              </w:r>
            </w:hyperlink>
          </w:p>
        </w:tc>
        <w:tc>
          <w:tcPr>
            <w:tcW w:w="500" w:type="dxa"/>
            <w:vAlign w:val="bottom"/>
            <w:gridSpan w:val="2"/>
          </w:tcPr>
          <w:p>
            <w:pPr>
              <w:spacing w:after="0"/>
              <w:rPr>
                <w:sz w:val="20"/>
                <w:szCs w:val="20"/>
                <w:color w:val="auto"/>
              </w:rPr>
            </w:pPr>
          </w:p>
        </w:tc>
        <w:tc>
          <w:tcPr>
            <w:tcW w:w="4320" w:type="dxa"/>
            <w:vAlign w:val="bottom"/>
            <w:gridSpan w:val="12"/>
          </w:tcPr>
          <w:p>
            <w:pPr>
              <w:spacing w:after="0"/>
              <w:rPr>
                <w:sz w:val="20"/>
                <w:szCs w:val="20"/>
                <w:color w:val="auto"/>
              </w:rPr>
            </w:pPr>
          </w:p>
        </w:tc>
        <w:tc>
          <w:tcPr>
            <w:tcW w:w="1420" w:type="dxa"/>
            <w:vAlign w:val="bottom"/>
            <w:gridSpan w:val="3"/>
          </w:tcPr>
          <w:p>
            <w:pPr>
              <w:jc w:val="right"/>
              <w:spacing w:after="0"/>
              <w:rPr>
                <w:rFonts w:ascii="Arial" w:cs="Arial" w:eastAsia="Arial" w:hAnsi="Arial"/>
                <w:sz w:val="17"/>
                <w:szCs w:val="17"/>
                <w:color w:val="0000FF"/>
              </w:rPr>
            </w:pPr>
            <w:hyperlink w:anchor="page76">
              <w:r>
                <w:rPr>
                  <w:rFonts w:ascii="Arial" w:cs="Arial" w:eastAsia="Arial" w:hAnsi="Arial"/>
                  <w:sz w:val="17"/>
                  <w:szCs w:val="17"/>
                  <w:color w:val="0000FF"/>
                </w:rPr>
                <w:t>72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1740" w:type="dxa"/>
            <w:vAlign w:val="bottom"/>
            <w:gridSpan w:val="7"/>
          </w:tcPr>
          <w:p>
            <w:pPr>
              <w:spacing w:after="0"/>
              <w:rPr>
                <w:rFonts w:ascii="Arial" w:cs="Arial" w:eastAsia="Arial" w:hAnsi="Arial"/>
                <w:sz w:val="17"/>
                <w:szCs w:val="17"/>
                <w:color w:val="0000FF"/>
                <w:w w:val="90"/>
              </w:rPr>
            </w:pPr>
            <w:hyperlink w:anchor="page76">
              <w:r>
                <w:rPr>
                  <w:rFonts w:ascii="Arial" w:cs="Arial" w:eastAsia="Arial" w:hAnsi="Arial"/>
                  <w:sz w:val="17"/>
                  <w:szCs w:val="17"/>
                  <w:color w:val="0000FF"/>
                  <w:w w:val="90"/>
                </w:rPr>
                <w:t>Item 5. Other Information</w:t>
              </w:r>
            </w:hyperlink>
          </w:p>
        </w:tc>
        <w:tc>
          <w:tcPr>
            <w:tcW w:w="420" w:type="dxa"/>
            <w:vAlign w:val="bottom"/>
          </w:tcPr>
          <w:p>
            <w:pPr>
              <w:spacing w:after="0"/>
              <w:rPr>
                <w:sz w:val="20"/>
                <w:szCs w:val="20"/>
                <w:color w:val="auto"/>
              </w:rPr>
            </w:pPr>
          </w:p>
        </w:tc>
        <w:tc>
          <w:tcPr>
            <w:tcW w:w="4820" w:type="dxa"/>
            <w:vAlign w:val="bottom"/>
            <w:gridSpan w:val="14"/>
          </w:tcPr>
          <w:p>
            <w:pPr>
              <w:spacing w:after="0"/>
              <w:rPr>
                <w:sz w:val="20"/>
                <w:szCs w:val="20"/>
                <w:color w:val="auto"/>
              </w:rPr>
            </w:pPr>
          </w:p>
        </w:tc>
        <w:tc>
          <w:tcPr>
            <w:tcW w:w="1420" w:type="dxa"/>
            <w:vAlign w:val="bottom"/>
            <w:gridSpan w:val="3"/>
          </w:tcPr>
          <w:p>
            <w:pPr>
              <w:jc w:val="right"/>
              <w:spacing w:after="0"/>
              <w:rPr>
                <w:rFonts w:ascii="Arial" w:cs="Arial" w:eastAsia="Arial" w:hAnsi="Arial"/>
                <w:sz w:val="17"/>
                <w:szCs w:val="17"/>
                <w:color w:val="0000FF"/>
              </w:rPr>
            </w:pPr>
            <w:hyperlink w:anchor="page76">
              <w:r>
                <w:rPr>
                  <w:rFonts w:ascii="Arial" w:cs="Arial" w:eastAsia="Arial" w:hAnsi="Arial"/>
                  <w:sz w:val="17"/>
                  <w:szCs w:val="17"/>
                  <w:color w:val="0000FF"/>
                </w:rPr>
                <w:t>72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24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1080" w:type="dxa"/>
            <w:vAlign w:val="bottom"/>
            <w:gridSpan w:val="5"/>
          </w:tcPr>
          <w:p>
            <w:pPr>
              <w:spacing w:after="0"/>
              <w:rPr>
                <w:rFonts w:ascii="Arial" w:cs="Arial" w:eastAsia="Arial" w:hAnsi="Arial"/>
                <w:sz w:val="17"/>
                <w:szCs w:val="17"/>
                <w:color w:val="0000FF"/>
                <w:w w:val="91"/>
              </w:rPr>
            </w:pPr>
            <w:hyperlink w:anchor="page76">
              <w:r>
                <w:rPr>
                  <w:rFonts w:ascii="Arial" w:cs="Arial" w:eastAsia="Arial" w:hAnsi="Arial"/>
                  <w:sz w:val="17"/>
                  <w:szCs w:val="17"/>
                  <w:color w:val="0000FF"/>
                  <w:w w:val="91"/>
                </w:rPr>
                <w:t>Item 6. Exhibits</w:t>
              </w:r>
            </w:hyperlink>
          </w:p>
        </w:tc>
        <w:tc>
          <w:tcPr>
            <w:tcW w:w="660" w:type="dxa"/>
            <w:vAlign w:val="bottom"/>
            <w:gridSpan w:val="2"/>
          </w:tcPr>
          <w:p>
            <w:pPr>
              <w:spacing w:after="0"/>
              <w:rPr>
                <w:sz w:val="20"/>
                <w:szCs w:val="20"/>
                <w:color w:val="auto"/>
              </w:rPr>
            </w:pPr>
          </w:p>
        </w:tc>
        <w:tc>
          <w:tcPr>
            <w:tcW w:w="5240" w:type="dxa"/>
            <w:vAlign w:val="bottom"/>
            <w:gridSpan w:val="15"/>
          </w:tcPr>
          <w:p>
            <w:pPr>
              <w:spacing w:after="0"/>
              <w:rPr>
                <w:sz w:val="20"/>
                <w:szCs w:val="20"/>
                <w:color w:val="auto"/>
              </w:rPr>
            </w:pPr>
          </w:p>
        </w:tc>
        <w:tc>
          <w:tcPr>
            <w:tcW w:w="1420" w:type="dxa"/>
            <w:vAlign w:val="bottom"/>
            <w:gridSpan w:val="3"/>
          </w:tcPr>
          <w:p>
            <w:pPr>
              <w:jc w:val="right"/>
              <w:spacing w:after="0"/>
              <w:rPr>
                <w:rFonts w:ascii="Arial" w:cs="Arial" w:eastAsia="Arial" w:hAnsi="Arial"/>
                <w:sz w:val="17"/>
                <w:szCs w:val="17"/>
                <w:color w:val="0000FF"/>
              </w:rPr>
            </w:pPr>
            <w:hyperlink w:anchor="page76">
              <w:r>
                <w:rPr>
                  <w:rFonts w:ascii="Arial" w:cs="Arial" w:eastAsia="Arial" w:hAnsi="Arial"/>
                  <w:sz w:val="17"/>
                  <w:szCs w:val="17"/>
                  <w:color w:val="0000FF"/>
                </w:rPr>
                <w:t>72</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900" w:type="dxa"/>
            <w:vAlign w:val="bottom"/>
            <w:gridSpan w:val="1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gridSpan w:val="23"/>
          </w:tcPr>
          <w:p>
            <w:pPr>
              <w:spacing w:after="0"/>
              <w:rPr>
                <w:rFonts w:ascii="Arial" w:cs="Arial" w:eastAsia="Arial" w:hAnsi="Arial"/>
                <w:sz w:val="17"/>
                <w:szCs w:val="17"/>
                <w:color w:val="0000FF"/>
              </w:rPr>
            </w:pPr>
            <w:hyperlink w:anchor="page77">
              <w:r>
                <w:rPr>
                  <w:rFonts w:ascii="Arial" w:cs="Arial" w:eastAsia="Arial" w:hAnsi="Arial"/>
                  <w:sz w:val="17"/>
                  <w:szCs w:val="17"/>
                  <w:color w:val="0000FF"/>
                </w:rPr>
                <w:t>SIGNATURES</w:t>
              </w:r>
            </w:hyperlink>
          </w:p>
        </w:tc>
        <w:tc>
          <w:tcPr>
            <w:tcW w:w="1420" w:type="dxa"/>
            <w:vAlign w:val="bottom"/>
            <w:gridSpan w:val="3"/>
          </w:tcPr>
          <w:p>
            <w:pPr>
              <w:jc w:val="right"/>
              <w:spacing w:after="0"/>
              <w:rPr>
                <w:rFonts w:ascii="Arial" w:cs="Arial" w:eastAsia="Arial" w:hAnsi="Arial"/>
                <w:sz w:val="17"/>
                <w:szCs w:val="17"/>
                <w:color w:val="0000FF"/>
              </w:rPr>
            </w:pPr>
            <w:hyperlink w:anchor="page77">
              <w:r>
                <w:rPr>
                  <w:rFonts w:ascii="Arial" w:cs="Arial" w:eastAsia="Arial" w:hAnsi="Arial"/>
                  <w:sz w:val="17"/>
                  <w:szCs w:val="17"/>
                  <w:color w:val="0000FF"/>
                </w:rPr>
                <w:t>74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1" w:lineRule="exact"/>
        <w:rPr>
          <w:sz w:val="20"/>
          <w:szCs w:val="20"/>
          <w:color w:val="auto"/>
        </w:rPr>
      </w:pPr>
    </w:p>
    <w:p>
      <w:pPr>
        <w:jc w:val="both"/>
        <w:ind w:firstLine="375"/>
        <w:spacing w:after="0" w:line="263"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83" w:lineRule="exact"/>
        <w:rPr>
          <w:sz w:val="20"/>
          <w:szCs w:val="20"/>
          <w:color w:val="auto"/>
        </w:rPr>
      </w:pPr>
    </w:p>
    <w:p>
      <w:pPr>
        <w:jc w:val="both"/>
        <w:ind w:firstLine="375"/>
        <w:spacing w:after="0"/>
        <w:rPr>
          <w:sz w:val="20"/>
          <w:szCs w:val="20"/>
          <w:color w:val="auto"/>
        </w:rPr>
      </w:pPr>
      <w:r>
        <w:rPr>
          <w:rFonts w:ascii="Arial" w:cs="Arial" w:eastAsia="Arial" w:hAnsi="Arial"/>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227" w:lineRule="exact"/>
        <w:rPr>
          <w:sz w:val="20"/>
          <w:szCs w:val="20"/>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total revenue and testing volume;</w:t>
      </w:r>
    </w:p>
    <w:p>
      <w:pPr>
        <w:spacing w:after="0" w:line="54" w:lineRule="exact"/>
        <w:rPr>
          <w:rFonts w:ascii="Arial" w:cs="Arial" w:eastAsia="Arial" w:hAnsi="Arial"/>
          <w:sz w:val="17"/>
          <w:szCs w:val="17"/>
          <w:color w:val="auto"/>
        </w:rPr>
      </w:pPr>
    </w:p>
    <w:p>
      <w:pPr>
        <w:ind w:left="600" w:right="120" w:hanging="300"/>
        <w:spacing w:after="0" w:line="307" w:lineRule="auto"/>
        <w:tabs>
          <w:tab w:leader="none" w:pos="5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with respect to our future research and development, general and administrative and selling and marketing expenses and our anticipated uses of our funds;</w:t>
      </w: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COVID-19 pandemic on our business and the U.S. and global economy;</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return to pre-COVID-19 volume and revenue levels;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continue to successfully integrate HalioDx, Decipher Biosciences. and the assets acquired from NanoString Technologies, Inc. into our business;</w:t>
      </w:r>
    </w:p>
    <w:p>
      <w:pPr>
        <w:spacing w:after="0" w:line="77" w:lineRule="exact"/>
        <w:rPr>
          <w:rFonts w:ascii="Arial" w:cs="Arial" w:eastAsia="Arial" w:hAnsi="Arial"/>
          <w:sz w:val="15"/>
          <w:szCs w:val="15"/>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deploy the nCounter Analysis System successfully and run our tests on this platform worldwide;</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diagnostic company partnerships;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anticipated cash needs and our estimates regarding our capital requirements;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success of our transition to a single platform for all of our classifiers and tests;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Medicare coverage for each of our tests;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the market opportunity for our tests;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sales, marketing and distribution capabilities and strategy;</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intellectual property position;</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government laws and regulations; and</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position.</w:t>
      </w:r>
    </w:p>
    <w:p>
      <w:pPr>
        <w:spacing w:after="0" w:line="30"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5"/>
          <w:szCs w:val="15"/>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PART I. — FINANCIAL INFORMATION</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1. Condensed Consolidated Financial Statements-(Unaudited)</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VERACYTE,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2022</w:t>
            </w:r>
          </w:p>
        </w:tc>
        <w:tc>
          <w:tcPr>
            <w:tcW w:w="200" w:type="dxa"/>
            <w:vAlign w:val="bottom"/>
          </w:tcPr>
          <w:p>
            <w:pPr>
              <w:spacing w:after="0"/>
              <w:rPr>
                <w:sz w:val="17"/>
                <w:szCs w:val="17"/>
                <w:color w:val="auto"/>
              </w:rPr>
            </w:pPr>
          </w:p>
        </w:tc>
        <w:tc>
          <w:tcPr>
            <w:tcW w:w="1660" w:type="dxa"/>
            <w:vAlign w:val="bottom"/>
          </w:tcPr>
          <w:p>
            <w:pPr>
              <w:jc w:val="right"/>
              <w:ind w:right="245"/>
              <w:spacing w:after="0"/>
              <w:rPr>
                <w:sz w:val="20"/>
                <w:szCs w:val="20"/>
                <w:color w:val="auto"/>
              </w:rPr>
            </w:pPr>
            <w:r>
              <w:rPr>
                <w:rFonts w:ascii="Arial" w:cs="Arial" w:eastAsia="Arial" w:hAnsi="Arial"/>
                <w:sz w:val="15"/>
                <w:szCs w:val="15"/>
                <w:b w:val="1"/>
                <w:bCs w:val="1"/>
                <w:color w:val="auto"/>
                <w:w w:val="97"/>
              </w:rPr>
              <w:t>December 31, 2021</w:t>
            </w:r>
          </w:p>
        </w:tc>
        <w:tc>
          <w:tcPr>
            <w:tcW w:w="0" w:type="dxa"/>
            <w:vAlign w:val="bottom"/>
          </w:tcPr>
          <w:p>
            <w:pPr>
              <w:spacing w:after="0"/>
              <w:rPr>
                <w:sz w:val="1"/>
                <w:szCs w:val="1"/>
                <w:color w:val="auto"/>
              </w:rPr>
            </w:pPr>
          </w:p>
        </w:tc>
      </w:tr>
      <w:tr>
        <w:trPr>
          <w:trHeight w:val="193"/>
        </w:trPr>
        <w:tc>
          <w:tcPr>
            <w:tcW w:w="74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(See Note 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163,615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173,197</w:t>
            </w:r>
          </w:p>
        </w:tc>
        <w:tc>
          <w:tcPr>
            <w:tcW w:w="0" w:type="dxa"/>
            <w:vAlign w:val="bottom"/>
          </w:tcPr>
          <w:p>
            <w:pPr>
              <w:spacing w:after="0"/>
              <w:rPr>
                <w:sz w:val="1"/>
                <w:szCs w:val="1"/>
                <w:color w:val="auto"/>
              </w:rPr>
            </w:pPr>
          </w:p>
        </w:tc>
      </w:tr>
      <w:tr>
        <w:trPr>
          <w:trHeight w:val="197"/>
        </w:trPr>
        <w:tc>
          <w:tcPr>
            <w:tcW w:w="7400" w:type="dxa"/>
            <w:vAlign w:val="bottom"/>
          </w:tcPr>
          <w:p>
            <w:pPr>
              <w:ind w:left="120"/>
              <w:spacing w:after="0"/>
              <w:rPr>
                <w:sz w:val="20"/>
                <w:szCs w:val="20"/>
                <w:color w:val="auto"/>
              </w:rPr>
            </w:pPr>
            <w:r>
              <w:rPr>
                <w:rFonts w:ascii="Arial" w:cs="Arial" w:eastAsia="Arial" w:hAnsi="Arial"/>
                <w:sz w:val="15"/>
                <w:szCs w:val="15"/>
                <w:color w:val="auto"/>
              </w:rPr>
              <w:t>Accounts receivable</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42,481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41,461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Supplies and inventory</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11,225</w:t>
            </w:r>
          </w:p>
        </w:tc>
        <w:tc>
          <w:tcPr>
            <w:tcW w:w="0" w:type="dxa"/>
            <w:vAlign w:val="bottom"/>
          </w:tcPr>
          <w:p>
            <w:pPr>
              <w:spacing w:after="0"/>
              <w:rPr>
                <w:sz w:val="1"/>
                <w:szCs w:val="1"/>
                <w:color w:val="auto"/>
              </w:rPr>
            </w:pPr>
          </w:p>
        </w:tc>
      </w:tr>
      <w:tr>
        <w:trPr>
          <w:trHeight w:val="197"/>
        </w:trPr>
        <w:tc>
          <w:tcPr>
            <w:tcW w:w="7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17,219</w:t>
            </w: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current assets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238,483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243,102</w:t>
            </w: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16,299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15,098</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Right-of-use assets, operating leases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16,043</w:t>
            </w: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Intangible assets, net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196,228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202,731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704,368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707,904</w:t>
            </w: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749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749</w:t>
            </w: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2,198</w:t>
            </w:r>
          </w:p>
        </w:tc>
        <w:tc>
          <w:tcPr>
            <w:tcW w:w="0" w:type="dxa"/>
            <w:vAlign w:val="bottom"/>
          </w:tcPr>
          <w:p>
            <w:pPr>
              <w:spacing w:after="0"/>
              <w:rPr>
                <w:sz w:val="1"/>
                <w:szCs w:val="1"/>
                <w:color w:val="auto"/>
              </w:rPr>
            </w:pPr>
          </w:p>
        </w:tc>
      </w:tr>
      <w:tr>
        <w:trPr>
          <w:trHeight w:val="196"/>
        </w:trPr>
        <w:tc>
          <w:tcPr>
            <w:tcW w:w="7400" w:type="dxa"/>
            <w:vAlign w:val="bottom"/>
          </w:tcPr>
          <w:p>
            <w:pPr>
              <w:ind w:left="320"/>
              <w:spacing w:after="0"/>
              <w:rPr>
                <w:sz w:val="20"/>
                <w:szCs w:val="20"/>
                <w:color w:val="auto"/>
              </w:rPr>
            </w:pPr>
            <w:r>
              <w:rPr>
                <w:rFonts w:ascii="Arial" w:cs="Arial" w:eastAsia="Arial" w:hAnsi="Arial"/>
                <w:sz w:val="15"/>
                <w:szCs w:val="15"/>
                <w:color w:val="auto"/>
              </w:rPr>
              <w:t>Total assets</w:t>
            </w:r>
          </w:p>
        </w:tc>
        <w:tc>
          <w:tcPr>
            <w:tcW w:w="2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1,173,589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1,187,825</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400" w:type="dxa"/>
            <w:vAlign w:val="bottom"/>
            <w:shd w:val="clear" w:color="auto" w:fill="CCEEFF"/>
          </w:tcPr>
          <w:p>
            <w:pPr>
              <w:ind w:left="20"/>
              <w:spacing w:after="0" w:line="165" w:lineRule="exact"/>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Current liabilities: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Accounts payable</w:t>
            </w:r>
          </w:p>
        </w:tc>
        <w:tc>
          <w:tcPr>
            <w:tcW w:w="2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12,360</w:t>
            </w:r>
          </w:p>
        </w:tc>
        <w:tc>
          <w:tcPr>
            <w:tcW w:w="0" w:type="dxa"/>
            <w:vAlign w:val="bottom"/>
          </w:tcPr>
          <w:p>
            <w:pPr>
              <w:spacing w:after="0"/>
              <w:rPr>
                <w:sz w:val="1"/>
                <w:szCs w:val="1"/>
                <w:color w:val="auto"/>
              </w:rPr>
            </w:pPr>
          </w:p>
        </w:tc>
      </w:tr>
      <w:tr>
        <w:trPr>
          <w:trHeight w:val="197"/>
        </w:trPr>
        <w:tc>
          <w:tcPr>
            <w:tcW w:w="7400" w:type="dxa"/>
            <w:vAlign w:val="bottom"/>
          </w:tcPr>
          <w:p>
            <w:pPr>
              <w:ind w:left="120"/>
              <w:spacing w:after="0"/>
              <w:rPr>
                <w:sz w:val="20"/>
                <w:szCs w:val="20"/>
                <w:color w:val="auto"/>
              </w:rPr>
            </w:pPr>
            <w:r>
              <w:rPr>
                <w:rFonts w:ascii="Arial" w:cs="Arial" w:eastAsia="Arial" w:hAnsi="Arial"/>
                <w:sz w:val="15"/>
                <w:szCs w:val="15"/>
                <w:color w:val="auto"/>
              </w:rPr>
              <w:t>Accrued liabilities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38,543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39,475</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portion of long-term debt</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1,127</w:t>
            </w:r>
          </w:p>
        </w:tc>
        <w:tc>
          <w:tcPr>
            <w:tcW w:w="0" w:type="dxa"/>
            <w:vAlign w:val="bottom"/>
          </w:tcPr>
          <w:p>
            <w:pPr>
              <w:spacing w:after="0"/>
              <w:rPr>
                <w:sz w:val="1"/>
                <w:szCs w:val="1"/>
                <w:color w:val="auto"/>
              </w:rPr>
            </w:pPr>
          </w:p>
        </w:tc>
      </w:tr>
      <w:tr>
        <w:trPr>
          <w:trHeight w:val="197"/>
        </w:trPr>
        <w:tc>
          <w:tcPr>
            <w:tcW w:w="7400" w:type="dxa"/>
            <w:vAlign w:val="bottom"/>
          </w:tcPr>
          <w:p>
            <w:pPr>
              <w:ind w:left="120"/>
              <w:spacing w:after="0"/>
              <w:rPr>
                <w:sz w:val="20"/>
                <w:szCs w:val="20"/>
                <w:color w:val="auto"/>
              </w:rPr>
            </w:pPr>
            <w:r>
              <w:rPr>
                <w:rFonts w:ascii="Arial" w:cs="Arial" w:eastAsia="Arial" w:hAnsi="Arial"/>
                <w:sz w:val="15"/>
                <w:szCs w:val="15"/>
                <w:color w:val="auto"/>
              </w:rPr>
              <w:t>Current portion of deferred revenue</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4,878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4,646</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portion of acquisition-related contingent consideration</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2,682</w:t>
            </w:r>
          </w:p>
        </w:tc>
        <w:tc>
          <w:tcPr>
            <w:tcW w:w="0" w:type="dxa"/>
            <w:vAlign w:val="bottom"/>
          </w:tcPr>
          <w:p>
            <w:pPr>
              <w:spacing w:after="0"/>
              <w:rPr>
                <w:sz w:val="1"/>
                <w:szCs w:val="1"/>
                <w:color w:val="auto"/>
              </w:rPr>
            </w:pPr>
          </w:p>
        </w:tc>
      </w:tr>
      <w:tr>
        <w:trPr>
          <w:trHeight w:val="197"/>
        </w:trPr>
        <w:tc>
          <w:tcPr>
            <w:tcW w:w="7400" w:type="dxa"/>
            <w:vAlign w:val="bottom"/>
          </w:tcPr>
          <w:p>
            <w:pPr>
              <w:ind w:left="120"/>
              <w:spacing w:after="0"/>
              <w:rPr>
                <w:sz w:val="20"/>
                <w:szCs w:val="20"/>
                <w:color w:val="auto"/>
              </w:rPr>
            </w:pPr>
            <w:r>
              <w:rPr>
                <w:rFonts w:ascii="Arial" w:cs="Arial" w:eastAsia="Arial" w:hAnsi="Arial"/>
                <w:sz w:val="15"/>
                <w:szCs w:val="15"/>
                <w:color w:val="auto"/>
              </w:rPr>
              <w:t>Current portion of operating lease liabilities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3,849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3,630</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portion of other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90"/>
        </w:trPr>
        <w:tc>
          <w:tcPr>
            <w:tcW w:w="7400" w:type="dxa"/>
            <w:vAlign w:val="bottom"/>
          </w:tcPr>
          <w:p>
            <w:pPr>
              <w:ind w:left="32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62,543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64,151</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revenue, net of current portion</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343</w:t>
            </w: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Deferred tax liabilities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4,983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5,592</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Acquisition-related contingent consideration, net of current portion</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5,722</w:t>
            </w: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13,485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14,096</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1,407</w:t>
            </w:r>
          </w:p>
        </w:tc>
        <w:tc>
          <w:tcPr>
            <w:tcW w:w="0" w:type="dxa"/>
            <w:vAlign w:val="bottom"/>
          </w:tcPr>
          <w:p>
            <w:pPr>
              <w:spacing w:after="0"/>
              <w:rPr>
                <w:sz w:val="1"/>
                <w:szCs w:val="1"/>
                <w:color w:val="auto"/>
              </w:rPr>
            </w:pPr>
          </w:p>
        </w:tc>
      </w:tr>
      <w:tr>
        <w:trPr>
          <w:trHeight w:val="190"/>
        </w:trPr>
        <w:tc>
          <w:tcPr>
            <w:tcW w:w="740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liabilities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88,399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91,311</w:t>
            </w:r>
          </w:p>
        </w:tc>
        <w:tc>
          <w:tcPr>
            <w:tcW w:w="0" w:type="dxa"/>
            <w:vAlign w:val="bottom"/>
          </w:tcPr>
          <w:p>
            <w:pPr>
              <w:spacing w:after="0"/>
              <w:rPr>
                <w:sz w:val="1"/>
                <w:szCs w:val="1"/>
                <w:color w:val="auto"/>
              </w:rPr>
            </w:pPr>
          </w:p>
        </w:tc>
      </w:tr>
      <w:tr>
        <w:trPr>
          <w:trHeight w:val="18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400" w:type="dxa"/>
            <w:vAlign w:val="bottom"/>
            <w:shd w:val="clear" w:color="auto" w:fill="CCEEFF"/>
          </w:tcPr>
          <w:p>
            <w:pPr>
              <w:ind w:left="160"/>
              <w:spacing w:after="0" w:line="158" w:lineRule="exact"/>
              <w:rPr>
                <w:sz w:val="20"/>
                <w:szCs w:val="20"/>
                <w:color w:val="auto"/>
              </w:rPr>
            </w:pPr>
            <w:r>
              <w:rPr>
                <w:rFonts w:ascii="Arial" w:cs="Arial" w:eastAsia="Arial" w:hAnsi="Arial"/>
                <w:sz w:val="15"/>
                <w:szCs w:val="15"/>
                <w:color w:val="auto"/>
                <w:w w:val="90"/>
              </w:rPr>
              <w:t>Preferred stock, $0.001 par value; 5,000,000 shares authorized, no shares issued and outstanding as of March 31, 2022</w:t>
            </w:r>
          </w:p>
        </w:tc>
        <w:tc>
          <w:tcPr>
            <w:tcW w:w="260" w:type="dxa"/>
            <w:vAlign w:val="bottom"/>
            <w:shd w:val="clear" w:color="auto" w:fill="CCEEFF"/>
          </w:tcPr>
          <w:p>
            <w:pPr>
              <w:spacing w:after="0"/>
              <w:rPr>
                <w:sz w:val="13"/>
                <w:szCs w:val="13"/>
                <w:color w:val="auto"/>
              </w:rPr>
            </w:pPr>
          </w:p>
        </w:tc>
        <w:tc>
          <w:tcPr>
            <w:tcW w:w="1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and December 31, 2021</w:t>
            </w:r>
          </w:p>
        </w:tc>
        <w:tc>
          <w:tcPr>
            <w:tcW w:w="260" w:type="dxa"/>
            <w:vAlign w:val="bottom"/>
            <w:shd w:val="clear" w:color="auto" w:fill="CCEEFF"/>
          </w:tcPr>
          <w:p>
            <w:pPr>
              <w:spacing w:after="0"/>
              <w:rPr>
                <w:sz w:val="17"/>
                <w:szCs w:val="17"/>
                <w:color w:val="auto"/>
              </w:rPr>
            </w:pPr>
          </w:p>
        </w:tc>
        <w:tc>
          <w:tcPr>
            <w:tcW w:w="1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400" w:type="dxa"/>
            <w:vAlign w:val="bottom"/>
          </w:tcPr>
          <w:p>
            <w:pPr>
              <w:ind w:left="160"/>
              <w:spacing w:after="0" w:line="154" w:lineRule="exact"/>
              <w:rPr>
                <w:sz w:val="20"/>
                <w:szCs w:val="20"/>
                <w:color w:val="auto"/>
              </w:rPr>
            </w:pPr>
            <w:r>
              <w:rPr>
                <w:rFonts w:ascii="Arial" w:cs="Arial" w:eastAsia="Arial" w:hAnsi="Arial"/>
                <w:sz w:val="15"/>
                <w:szCs w:val="15"/>
                <w:color w:val="auto"/>
                <w:w w:val="95"/>
              </w:rPr>
              <w:t>Common stock, $0.001 par value; 125,000,000 shares authorized, 71,432,875 and 71,123,108 shares issued and</w:t>
            </w:r>
          </w:p>
        </w:tc>
        <w:tc>
          <w:tcPr>
            <w:tcW w:w="2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jc w:val="right"/>
              <w:ind w:right="5"/>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193"/>
        </w:trPr>
        <w:tc>
          <w:tcPr>
            <w:tcW w:w="7400" w:type="dxa"/>
            <w:vAlign w:val="bottom"/>
          </w:tcPr>
          <w:p>
            <w:pPr>
              <w:ind w:left="160"/>
              <w:spacing w:after="0"/>
              <w:rPr>
                <w:sz w:val="20"/>
                <w:szCs w:val="20"/>
                <w:color w:val="auto"/>
              </w:rPr>
            </w:pPr>
            <w:r>
              <w:rPr>
                <w:rFonts w:ascii="Arial" w:cs="Arial" w:eastAsia="Arial" w:hAnsi="Arial"/>
                <w:sz w:val="15"/>
                <w:szCs w:val="15"/>
                <w:color w:val="auto"/>
              </w:rPr>
              <w:t>outstanding as of March 31, 2022 and December 31, 2021, respectively</w:t>
            </w:r>
          </w:p>
        </w:tc>
        <w:tc>
          <w:tcPr>
            <w:tcW w:w="2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1,477,418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1,468,683</w:t>
            </w:r>
          </w:p>
        </w:tc>
        <w:tc>
          <w:tcPr>
            <w:tcW w:w="0" w:type="dxa"/>
            <w:vAlign w:val="bottom"/>
          </w:tcPr>
          <w:p>
            <w:pPr>
              <w:spacing w:after="0"/>
              <w:rPr>
                <w:sz w:val="1"/>
                <w:szCs w:val="1"/>
                <w:color w:val="auto"/>
              </w:rPr>
            </w:pPr>
          </w:p>
        </w:tc>
      </w:tr>
      <w:tr>
        <w:trPr>
          <w:trHeight w:val="197"/>
        </w:trPr>
        <w:tc>
          <w:tcPr>
            <w:tcW w:w="7400" w:type="dxa"/>
            <w:vAlign w:val="bottom"/>
          </w:tcPr>
          <w:p>
            <w:pPr>
              <w:ind w:left="120"/>
              <w:spacing w:after="0"/>
              <w:rPr>
                <w:sz w:val="20"/>
                <w:szCs w:val="20"/>
                <w:color w:val="auto"/>
              </w:rPr>
            </w:pPr>
            <w:r>
              <w:rPr>
                <w:rFonts w:ascii="Arial" w:cs="Arial" w:eastAsia="Arial" w:hAnsi="Arial"/>
                <w:sz w:val="15"/>
                <w:szCs w:val="15"/>
                <w:color w:val="auto"/>
              </w:rPr>
              <w:t>Accumulated deficit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(371,618)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(357,157)</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(20,681)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(15,083)</w:t>
            </w:r>
          </w:p>
        </w:tc>
        <w:tc>
          <w:tcPr>
            <w:tcW w:w="0" w:type="dxa"/>
            <w:vAlign w:val="bottom"/>
          </w:tcPr>
          <w:p>
            <w:pPr>
              <w:spacing w:after="0"/>
              <w:rPr>
                <w:sz w:val="1"/>
                <w:szCs w:val="1"/>
                <w:color w:val="auto"/>
              </w:rPr>
            </w:pPr>
          </w:p>
        </w:tc>
      </w:tr>
      <w:tr>
        <w:trPr>
          <w:trHeight w:val="19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stockholders’ equity</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1,085,190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1,096,514</w:t>
            </w:r>
          </w:p>
        </w:tc>
        <w:tc>
          <w:tcPr>
            <w:tcW w:w="0" w:type="dxa"/>
            <w:vAlign w:val="bottom"/>
          </w:tcPr>
          <w:p>
            <w:pPr>
              <w:spacing w:after="0"/>
              <w:rPr>
                <w:sz w:val="1"/>
                <w:szCs w:val="1"/>
                <w:color w:val="auto"/>
              </w:rPr>
            </w:pPr>
          </w:p>
        </w:tc>
      </w:tr>
      <w:tr>
        <w:trPr>
          <w:trHeight w:val="22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1,173,589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1,187,825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VERACYTE, INC.</w:t>
      </w:r>
    </w:p>
    <w:p>
      <w:pPr>
        <w:spacing w:after="0" w:line="21" w:lineRule="exact"/>
        <w:rPr>
          <w:sz w:val="20"/>
          <w:szCs w:val="20"/>
          <w:color w:val="auto"/>
        </w:rPr>
      </w:pPr>
    </w:p>
    <w:p>
      <w:pPr>
        <w:jc w:val="center"/>
        <w:ind w:right="-126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5" w:lineRule="exact"/>
        <w:rPr>
          <w:sz w:val="20"/>
          <w:szCs w:val="20"/>
          <w:color w:val="auto"/>
        </w:rPr>
      </w:pPr>
    </w:p>
    <w:p>
      <w:pPr>
        <w:jc w:val="center"/>
        <w:ind w:right="-1260"/>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6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43" w:lineRule="exact"/>
        <w:rPr>
          <w:sz w:val="20"/>
          <w:szCs w:val="20"/>
          <w:color w:val="auto"/>
        </w:rPr>
      </w:pPr>
    </w:p>
    <w:tbl>
      <w:tblPr>
        <w:tblLayout w:type="fixed"/>
        <w:tblInd w:w="174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5"/>
                <w:szCs w:val="15"/>
                <w:b w:val="1"/>
                <w:bCs w:val="1"/>
                <w:color w:val="auto"/>
              </w:rPr>
              <w:t>Three Months Ended March 31,</w:t>
            </w:r>
          </w:p>
        </w:tc>
      </w:tr>
      <w:tr>
        <w:trPr>
          <w:trHeight w:val="193"/>
        </w:trPr>
        <w:tc>
          <w:tcPr>
            <w:tcW w:w="43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5"/>
              <w:spacing w:after="0"/>
              <w:rPr>
                <w:sz w:val="20"/>
                <w:szCs w:val="20"/>
                <w:color w:val="auto"/>
              </w:rPr>
            </w:pPr>
            <w:r>
              <w:rPr>
                <w:rFonts w:ascii="Arial" w:cs="Arial" w:eastAsia="Arial" w:hAnsi="Arial"/>
                <w:sz w:val="15"/>
                <w:szCs w:val="15"/>
                <w:b w:val="1"/>
                <w:bCs w:val="1"/>
                <w:color w:val="auto"/>
              </w:rPr>
              <w:t>2021</w:t>
            </w:r>
          </w:p>
        </w:tc>
      </w:tr>
      <w:tr>
        <w:trPr>
          <w:trHeight w:val="196"/>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7"/>
        </w:trPr>
        <w:tc>
          <w:tcPr>
            <w:tcW w:w="4340" w:type="dxa"/>
            <w:vAlign w:val="bottom"/>
          </w:tcPr>
          <w:p>
            <w:pPr>
              <w:ind w:left="120"/>
              <w:spacing w:after="0"/>
              <w:rPr>
                <w:sz w:val="20"/>
                <w:szCs w:val="20"/>
                <w:color w:val="auto"/>
              </w:rPr>
            </w:pPr>
            <w:r>
              <w:rPr>
                <w:rFonts w:ascii="Arial" w:cs="Arial" w:eastAsia="Arial" w:hAnsi="Arial"/>
                <w:sz w:val="15"/>
                <w:szCs w:val="15"/>
                <w:color w:val="auto"/>
              </w:rPr>
              <w:t>Testing revenue</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55,980</w:t>
            </w:r>
          </w:p>
        </w:tc>
        <w:tc>
          <w:tcPr>
            <w:tcW w:w="120" w:type="dxa"/>
            <w:vAlign w:val="bottom"/>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33,078</w:t>
            </w:r>
          </w:p>
        </w:tc>
      </w:tr>
      <w:tr>
        <w:trPr>
          <w:trHeight w:val="203"/>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Product 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3,059</w:t>
            </w:r>
          </w:p>
        </w:tc>
      </w:tr>
      <w:tr>
        <w:trPr>
          <w:trHeight w:val="197"/>
        </w:trPr>
        <w:tc>
          <w:tcPr>
            <w:tcW w:w="43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Biopharmaceutical and other revenue</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566</w:t>
            </w:r>
          </w:p>
        </w:tc>
      </w:tr>
      <w:tr>
        <w:trPr>
          <w:trHeight w:val="196"/>
        </w:trPr>
        <w:tc>
          <w:tcPr>
            <w:tcW w:w="43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revenue</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67,783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36,703</w:t>
            </w:r>
          </w:p>
        </w:tc>
      </w:tr>
      <w:tr>
        <w:trPr>
          <w:trHeight w:val="177"/>
        </w:trPr>
        <w:tc>
          <w:tcPr>
            <w:tcW w:w="4340" w:type="dxa"/>
            <w:vAlign w:val="bottom"/>
          </w:tcPr>
          <w:p>
            <w:pPr>
              <w:spacing w:after="0"/>
              <w:rPr>
                <w:sz w:val="20"/>
                <w:szCs w:val="20"/>
                <w:color w:val="auto"/>
              </w:rPr>
            </w:pPr>
            <w:r>
              <w:rPr>
                <w:rFonts w:ascii="Arial" w:cs="Arial" w:eastAsia="Arial" w:hAnsi="Arial"/>
                <w:sz w:val="15"/>
                <w:szCs w:val="15"/>
                <w:color w:val="auto"/>
              </w:rPr>
              <w:t>Operating expenses:</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testing 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17,523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10,832</w:t>
            </w:r>
          </w:p>
        </w:tc>
      </w:tr>
      <w:tr>
        <w:trPr>
          <w:trHeight w:val="197"/>
        </w:trPr>
        <w:tc>
          <w:tcPr>
            <w:tcW w:w="4340" w:type="dxa"/>
            <w:vAlign w:val="bottom"/>
          </w:tcPr>
          <w:p>
            <w:pPr>
              <w:ind w:left="120"/>
              <w:spacing w:after="0"/>
              <w:rPr>
                <w:sz w:val="20"/>
                <w:szCs w:val="20"/>
                <w:color w:val="auto"/>
              </w:rPr>
            </w:pPr>
            <w:r>
              <w:rPr>
                <w:rFonts w:ascii="Arial" w:cs="Arial" w:eastAsia="Arial" w:hAnsi="Arial"/>
                <w:sz w:val="15"/>
                <w:szCs w:val="15"/>
                <w:color w:val="auto"/>
              </w:rPr>
              <w:t>Cost of product revenue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1,575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1,490</w:t>
            </w:r>
          </w:p>
        </w:tc>
      </w:tr>
      <w:tr>
        <w:trPr>
          <w:trHeight w:val="203"/>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biopharmaceutical and other 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197"/>
        </w:trPr>
        <w:tc>
          <w:tcPr>
            <w:tcW w:w="434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9,166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5,336</w:t>
            </w:r>
          </w:p>
        </w:tc>
      </w:tr>
      <w:tr>
        <w:trPr>
          <w:trHeight w:val="203"/>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and marketing</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23,754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16,296</w:t>
            </w:r>
          </w:p>
        </w:tc>
      </w:tr>
      <w:tr>
        <w:trPr>
          <w:trHeight w:val="197"/>
        </w:trPr>
        <w:tc>
          <w:tcPr>
            <w:tcW w:w="4340" w:type="dxa"/>
            <w:vAlign w:val="bottom"/>
          </w:tcPr>
          <w:p>
            <w:pPr>
              <w:ind w:left="120"/>
              <w:spacing w:after="0"/>
              <w:rPr>
                <w:sz w:val="20"/>
                <w:szCs w:val="20"/>
                <w:color w:val="auto"/>
              </w:rPr>
            </w:pPr>
            <w:r>
              <w:rPr>
                <w:rFonts w:ascii="Arial" w:cs="Arial" w:eastAsia="Arial" w:hAnsi="Arial"/>
                <w:sz w:val="15"/>
                <w:szCs w:val="15"/>
                <w:color w:val="auto"/>
              </w:rPr>
              <w:t>General and administrative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20,912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46,282</w:t>
            </w:r>
          </w:p>
        </w:tc>
      </w:tr>
      <w:tr>
        <w:trPr>
          <w:trHeight w:val="203"/>
        </w:trPr>
        <w:tc>
          <w:tcPr>
            <w:tcW w:w="43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 asset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5,486</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1,801</w:t>
            </w:r>
          </w:p>
        </w:tc>
      </w:tr>
      <w:tr>
        <w:trPr>
          <w:trHeight w:val="190"/>
        </w:trPr>
        <w:tc>
          <w:tcPr>
            <w:tcW w:w="4340" w:type="dxa"/>
            <w:vAlign w:val="bottom"/>
            <w:tcBorders>
              <w:bottom w:val="single" w:sz="8" w:color="CCEEFF"/>
            </w:tcBorders>
          </w:tcPr>
          <w:p>
            <w:pPr>
              <w:ind w:left="300"/>
              <w:spacing w:after="0"/>
              <w:rPr>
                <w:sz w:val="20"/>
                <w:szCs w:val="20"/>
                <w:color w:val="auto"/>
              </w:rPr>
            </w:pPr>
            <w:r>
              <w:rPr>
                <w:rFonts w:ascii="Arial" w:cs="Arial" w:eastAsia="Arial" w:hAnsi="Arial"/>
                <w:sz w:val="15"/>
                <w:szCs w:val="15"/>
                <w:color w:val="auto"/>
              </w:rPr>
              <w:t>Total operating expenses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83,031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82,118</w:t>
            </w:r>
          </w:p>
        </w:tc>
      </w:tr>
      <w:tr>
        <w:trPr>
          <w:trHeight w:val="196"/>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(45,415)</w:t>
            </w:r>
          </w:p>
        </w:tc>
      </w:tr>
      <w:tr>
        <w:trPr>
          <w:trHeight w:val="197"/>
        </w:trPr>
        <w:tc>
          <w:tcPr>
            <w:tcW w:w="43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income (loss), net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w:t>
            </w:r>
          </w:p>
        </w:tc>
      </w:tr>
      <w:tr>
        <w:trPr>
          <w:trHeight w:val="196"/>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Loss before income taxes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(45,663)</w:t>
            </w:r>
          </w:p>
        </w:tc>
      </w:tr>
      <w:tr>
        <w:trPr>
          <w:trHeight w:val="197"/>
        </w:trPr>
        <w:tc>
          <w:tcPr>
            <w:tcW w:w="43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Income tax benefit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(3,795)</w:t>
            </w:r>
          </w:p>
        </w:tc>
      </w:tr>
      <w:tr>
        <w:trPr>
          <w:trHeight w:val="221"/>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(14,461)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(41,868)</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4340" w:type="dxa"/>
            <w:vAlign w:val="bottom"/>
          </w:tcPr>
          <w:p>
            <w:pPr>
              <w:spacing w:after="0" w:line="170" w:lineRule="exact"/>
              <w:rPr>
                <w:sz w:val="20"/>
                <w:szCs w:val="20"/>
                <w:color w:val="auto"/>
              </w:rPr>
            </w:pPr>
            <w:r>
              <w:rPr>
                <w:rFonts w:ascii="Arial" w:cs="Arial" w:eastAsia="Arial" w:hAnsi="Arial"/>
                <w:sz w:val="15"/>
                <w:szCs w:val="15"/>
                <w:color w:val="auto"/>
              </w:rPr>
              <w:t>Net loss per common share, basic and diluted</w:t>
            </w:r>
          </w:p>
        </w:tc>
        <w:tc>
          <w:tcPr>
            <w:tcW w:w="38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(0.20)</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(0.66)</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5"/>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92"/>
              </w:rPr>
              <w:t>Shares used to compute net loss per common share, basic and diluted</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71,229,672</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63,331,702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VERACYTE, INC.</w:t>
      </w:r>
    </w:p>
    <w:p>
      <w:pPr>
        <w:spacing w:after="0" w:line="21" w:lineRule="exact"/>
        <w:rPr>
          <w:sz w:val="20"/>
          <w:szCs w:val="20"/>
          <w:color w:val="auto"/>
        </w:rPr>
      </w:pPr>
    </w:p>
    <w:p>
      <w:pPr>
        <w:jc w:val="center"/>
        <w:ind w:right="-1260"/>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5" w:lineRule="exact"/>
        <w:rPr>
          <w:sz w:val="20"/>
          <w:szCs w:val="20"/>
          <w:color w:val="auto"/>
        </w:rPr>
      </w:pPr>
    </w:p>
    <w:p>
      <w:pPr>
        <w:jc w:val="center"/>
        <w:ind w:right="-1260"/>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260"/>
        <w:spacing w:after="0"/>
        <w:rPr>
          <w:sz w:val="20"/>
          <w:szCs w:val="20"/>
          <w:color w:val="auto"/>
        </w:rPr>
      </w:pPr>
      <w:r>
        <w:rPr>
          <w:rFonts w:ascii="Arial" w:cs="Arial" w:eastAsia="Arial" w:hAnsi="Arial"/>
          <w:sz w:val="17"/>
          <w:szCs w:val="17"/>
          <w:b w:val="1"/>
          <w:bCs w:val="1"/>
          <w:color w:val="auto"/>
        </w:rPr>
        <w:t>(In thousands)</w:t>
      </w:r>
    </w:p>
    <w:p>
      <w:pPr>
        <w:spacing w:after="0" w:line="343" w:lineRule="exact"/>
        <w:rPr>
          <w:sz w:val="20"/>
          <w:szCs w:val="20"/>
          <w:color w:val="auto"/>
        </w:rPr>
      </w:pPr>
    </w:p>
    <w:tbl>
      <w:tblPr>
        <w:tblLayout w:type="fixed"/>
        <w:tblInd w:w="174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5"/>
                <w:szCs w:val="15"/>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193"/>
        </w:trPr>
        <w:tc>
          <w:tcPr>
            <w:tcW w:w="4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20" w:type="dxa"/>
            <w:vAlign w:val="bottom"/>
            <w:tcBorders>
              <w:bottom w:val="single" w:sz="8" w:color="auto"/>
            </w:tcBorders>
          </w:tcPr>
          <w:p>
            <w:pPr>
              <w:spacing w:after="0"/>
              <w:rPr>
                <w:sz w:val="16"/>
                <w:szCs w:val="16"/>
                <w:color w:val="auto"/>
              </w:rPr>
            </w:pPr>
          </w:p>
        </w:tc>
      </w:tr>
      <w:tr>
        <w:trPr>
          <w:trHeight w:val="196"/>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04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(14,461)</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(41,868)</w:t>
            </w:r>
          </w:p>
        </w:tc>
      </w:tr>
      <w:tr>
        <w:trPr>
          <w:trHeight w:val="197"/>
        </w:trPr>
        <w:tc>
          <w:tcPr>
            <w:tcW w:w="4340" w:type="dxa"/>
            <w:vAlign w:val="bottom"/>
          </w:tcPr>
          <w:p>
            <w:pPr>
              <w:ind w:left="100"/>
              <w:spacing w:after="0"/>
              <w:rPr>
                <w:sz w:val="20"/>
                <w:szCs w:val="20"/>
                <w:color w:val="auto"/>
              </w:rPr>
            </w:pPr>
            <w:r>
              <w:rPr>
                <w:rFonts w:ascii="Arial" w:cs="Arial" w:eastAsia="Arial" w:hAnsi="Arial"/>
                <w:sz w:val="15"/>
                <w:szCs w:val="15"/>
                <w:color w:val="auto"/>
              </w:rPr>
              <w:t>Other comprehensive loss:</w:t>
            </w: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43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currency translation adjustments</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38"/>
        </w:trPr>
        <w:tc>
          <w:tcPr>
            <w:tcW w:w="43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18"/>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comprehensive loss</w:t>
            </w:r>
          </w:p>
        </w:tc>
        <w:tc>
          <w:tcPr>
            <w:tcW w:w="104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(20,059)</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(41,868)</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2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4"/>
                <w:szCs w:val="14"/>
                <w:color w:val="auto"/>
              </w:rPr>
            </w:pPr>
          </w:p>
        </w:tc>
        <w:tc>
          <w:tcPr>
            <w:tcW w:w="2040" w:type="dxa"/>
            <w:vAlign w:val="bottom"/>
            <w:gridSpan w:val="3"/>
            <w:vMerge w:val="restart"/>
          </w:tcPr>
          <w:p>
            <w:pPr>
              <w:jc w:val="right"/>
              <w:ind w:right="325"/>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Additional</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05"/>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37"/>
        </w:trPr>
        <w:tc>
          <w:tcPr>
            <w:tcW w:w="3260" w:type="dxa"/>
            <w:vAlign w:val="bottom"/>
          </w:tcPr>
          <w:p>
            <w:pPr>
              <w:spacing w:after="0"/>
              <w:rPr>
                <w:sz w:val="11"/>
                <w:szCs w:val="11"/>
                <w:color w:val="auto"/>
              </w:rPr>
            </w:pPr>
          </w:p>
        </w:tc>
        <w:tc>
          <w:tcPr>
            <w:tcW w:w="204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0" w:lineRule="exact"/>
              <w:rPr>
                <w:sz w:val="20"/>
                <w:szCs w:val="20"/>
                <w:color w:val="auto"/>
              </w:rPr>
            </w:pPr>
            <w:r>
              <w:rPr>
                <w:rFonts w:ascii="Arial" w:cs="Arial" w:eastAsia="Arial" w:hAnsi="Arial"/>
                <w:sz w:val="15"/>
                <w:szCs w:val="15"/>
                <w:b w:val="1"/>
                <w:bCs w:val="1"/>
                <w:color w:val="auto"/>
                <w:w w:val="91"/>
              </w:rPr>
              <w:t>Paid-in</w:t>
            </w:r>
          </w:p>
        </w:tc>
        <w:tc>
          <w:tcPr>
            <w:tcW w:w="14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5"/>
                <w:szCs w:val="15"/>
                <w:b w:val="1"/>
                <w:bCs w:val="1"/>
                <w:color w:val="auto"/>
              </w:rPr>
              <w:t>Accumulated</w:t>
            </w:r>
          </w:p>
        </w:tc>
        <w:tc>
          <w:tcPr>
            <w:tcW w:w="1520" w:type="dxa"/>
            <w:vAlign w:val="bottom"/>
            <w:gridSpan w:val="3"/>
          </w:tcPr>
          <w:p>
            <w:pPr>
              <w:jc w:val="center"/>
              <w:ind w:right="120"/>
              <w:spacing w:after="0" w:line="130" w:lineRule="exact"/>
              <w:rPr>
                <w:sz w:val="20"/>
                <w:szCs w:val="20"/>
                <w:color w:val="auto"/>
              </w:rPr>
            </w:pPr>
            <w:r>
              <w:rPr>
                <w:rFonts w:ascii="Arial" w:cs="Arial" w:eastAsia="Arial" w:hAnsi="Arial"/>
                <w:sz w:val="15"/>
                <w:szCs w:val="15"/>
                <w:b w:val="1"/>
                <w:bCs w:val="1"/>
                <w:color w:val="auto"/>
                <w:w w:val="92"/>
              </w:rPr>
              <w:t>Accumulated Other</w:t>
            </w:r>
          </w:p>
        </w:tc>
        <w:tc>
          <w:tcPr>
            <w:tcW w:w="180" w:type="dxa"/>
            <w:vAlign w:val="bottom"/>
          </w:tcPr>
          <w:p>
            <w:pPr>
              <w:spacing w:after="0"/>
              <w:rPr>
                <w:sz w:val="11"/>
                <w:szCs w:val="11"/>
                <w:color w:val="auto"/>
              </w:rPr>
            </w:pPr>
          </w:p>
        </w:tc>
        <w:tc>
          <w:tcPr>
            <w:tcW w:w="1220" w:type="dxa"/>
            <w:vAlign w:val="bottom"/>
          </w:tcPr>
          <w:p>
            <w:pPr>
              <w:jc w:val="center"/>
              <w:ind w:right="105"/>
              <w:spacing w:after="0" w:line="130"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Capital</w:t>
            </w:r>
          </w:p>
        </w:tc>
        <w:tc>
          <w:tcPr>
            <w:tcW w:w="14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Arial" w:cs="Arial" w:eastAsia="Arial" w:hAnsi="Arial"/>
                <w:sz w:val="15"/>
                <w:szCs w:val="15"/>
                <w:b w:val="1"/>
                <w:bCs w:val="1"/>
                <w:color w:val="auto"/>
              </w:rPr>
              <w:t>Deficit</w:t>
            </w:r>
          </w:p>
        </w:tc>
        <w:tc>
          <w:tcPr>
            <w:tcW w:w="15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6"/>
              </w:rPr>
              <w:t>Comprehensive Loss</w:t>
            </w:r>
          </w:p>
        </w:tc>
        <w:tc>
          <w:tcPr>
            <w:tcW w:w="180" w:type="dxa"/>
            <w:vAlign w:val="bottom"/>
          </w:tcPr>
          <w:p>
            <w:pPr>
              <w:spacing w:after="0"/>
              <w:rPr>
                <w:sz w:val="16"/>
                <w:szCs w:val="16"/>
                <w:color w:val="auto"/>
              </w:rPr>
            </w:pPr>
          </w:p>
        </w:tc>
        <w:tc>
          <w:tcPr>
            <w:tcW w:w="1220" w:type="dxa"/>
            <w:vAlign w:val="bottom"/>
          </w:tcPr>
          <w:p>
            <w:pPr>
              <w:jc w:val="center"/>
              <w:ind w:right="105"/>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71,123</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1,468,683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(357,157)</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(15,083)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1,096,514</w:t>
            </w:r>
          </w:p>
        </w:tc>
        <w:tc>
          <w:tcPr>
            <w:tcW w:w="0" w:type="dxa"/>
            <w:vAlign w:val="bottom"/>
          </w:tcPr>
          <w:p>
            <w:pPr>
              <w:spacing w:after="0"/>
              <w:rPr>
                <w:sz w:val="1"/>
                <w:szCs w:val="1"/>
                <w:color w:val="auto"/>
              </w:rPr>
            </w:pPr>
          </w:p>
        </w:tc>
      </w:tr>
      <w:tr>
        <w:trPr>
          <w:trHeight w:val="155"/>
        </w:trPr>
        <w:tc>
          <w:tcPr>
            <w:tcW w:w="3260" w:type="dxa"/>
            <w:vAlign w:val="bottom"/>
          </w:tcPr>
          <w:p>
            <w:pPr>
              <w:ind w:left="20"/>
              <w:spacing w:after="0" w:line="154" w:lineRule="exact"/>
              <w:rPr>
                <w:sz w:val="20"/>
                <w:szCs w:val="20"/>
                <w:color w:val="auto"/>
              </w:rPr>
            </w:pPr>
            <w:r>
              <w:rPr>
                <w:rFonts w:ascii="Arial" w:cs="Arial" w:eastAsia="Arial" w:hAnsi="Arial"/>
                <w:sz w:val="15"/>
                <w:szCs w:val="15"/>
                <w:color w:val="auto"/>
              </w:rPr>
              <w:t>Issuance of common stock on exercise of stock</w:t>
            </w: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228</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1,422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1040" w:type="dxa"/>
            <w:vAlign w:val="bottom"/>
            <w:gridSpan w:val="2"/>
            <w:vMerge w:val="restart"/>
          </w:tcPr>
          <w:p>
            <w:pPr>
              <w:ind w:left="7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1,422</w:t>
            </w:r>
          </w:p>
        </w:tc>
        <w:tc>
          <w:tcPr>
            <w:tcW w:w="0" w:type="dxa"/>
            <w:vAlign w:val="bottom"/>
          </w:tcPr>
          <w:p>
            <w:pPr>
              <w:spacing w:after="0"/>
              <w:rPr>
                <w:sz w:val="1"/>
                <w:szCs w:val="1"/>
                <w:color w:val="auto"/>
              </w:rPr>
            </w:pPr>
          </w:p>
        </w:tc>
      </w:tr>
      <w:tr>
        <w:trPr>
          <w:trHeight w:val="193"/>
        </w:trPr>
        <w:tc>
          <w:tcPr>
            <w:tcW w:w="3260" w:type="dxa"/>
            <w:vAlign w:val="bottom"/>
          </w:tcPr>
          <w:p>
            <w:pPr>
              <w:ind w:left="100"/>
              <w:spacing w:after="0"/>
              <w:rPr>
                <w:sz w:val="20"/>
                <w:szCs w:val="20"/>
                <w:color w:val="auto"/>
              </w:rPr>
            </w:pPr>
            <w:r>
              <w:rPr>
                <w:rFonts w:ascii="Arial" w:cs="Arial" w:eastAsia="Arial" w:hAnsi="Arial"/>
                <w:sz w:val="15"/>
                <w:szCs w:val="15"/>
                <w:color w:val="auto"/>
              </w:rPr>
              <w:t>options and vesting of restricted stock units</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260" w:type="dxa"/>
            <w:vAlign w:val="bottom"/>
            <w:shd w:val="clear" w:color="auto" w:fill="CCEEFF"/>
          </w:tcPr>
          <w:p>
            <w:pPr>
              <w:ind w:left="20"/>
              <w:spacing w:after="0" w:line="158" w:lineRule="exact"/>
              <w:rPr>
                <w:sz w:val="20"/>
                <w:szCs w:val="20"/>
                <w:color w:val="auto"/>
              </w:rPr>
            </w:pPr>
            <w:r>
              <w:rPr>
                <w:rFonts w:ascii="Arial" w:cs="Arial" w:eastAsia="Arial" w:hAnsi="Arial"/>
                <w:sz w:val="15"/>
                <w:szCs w:val="15"/>
                <w:color w:val="auto"/>
                <w:w w:val="98"/>
              </w:rPr>
              <w:t>Issuance of common stock under employee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2,115</w:t>
            </w: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purchase plan (ESPP)</w:t>
            </w: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ind w:left="20"/>
              <w:spacing w:after="0"/>
              <w:rPr>
                <w:sz w:val="20"/>
                <w:szCs w:val="20"/>
                <w:color w:val="auto"/>
              </w:rPr>
            </w:pPr>
            <w:r>
              <w:rPr>
                <w:rFonts w:ascii="Arial" w:cs="Arial" w:eastAsia="Arial" w:hAnsi="Arial"/>
                <w:sz w:val="15"/>
                <w:szCs w:val="15"/>
                <w:color w:val="auto"/>
              </w:rPr>
              <w:t>Tax portion of vested restricted stock units</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(1,447)</w:t>
            </w: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(employee)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6,230</w:t>
            </w:r>
          </w:p>
        </w:tc>
        <w:tc>
          <w:tcPr>
            <w:tcW w:w="0" w:type="dxa"/>
            <w:vAlign w:val="bottom"/>
          </w:tcPr>
          <w:p>
            <w:pPr>
              <w:spacing w:after="0"/>
              <w:rPr>
                <w:sz w:val="1"/>
                <w:szCs w:val="1"/>
                <w:color w:val="auto"/>
              </w:rPr>
            </w:pPr>
          </w:p>
        </w:tc>
      </w:tr>
      <w:tr>
        <w:trPr>
          <w:trHeight w:val="197"/>
        </w:trPr>
        <w:tc>
          <w:tcPr>
            <w:tcW w:w="3260" w:type="dxa"/>
            <w:vAlign w:val="bottom"/>
          </w:tcPr>
          <w:p>
            <w:pPr>
              <w:ind w:left="20"/>
              <w:spacing w:after="0"/>
              <w:rPr>
                <w:sz w:val="20"/>
                <w:szCs w:val="20"/>
                <w:color w:val="auto"/>
              </w:rPr>
            </w:pPr>
            <w:r>
              <w:rPr>
                <w:rFonts w:ascii="Arial" w:cs="Arial" w:eastAsia="Arial" w:hAnsi="Arial"/>
                <w:sz w:val="15"/>
                <w:szCs w:val="15"/>
                <w:color w:val="auto"/>
                <w:w w:val="91"/>
              </w:rPr>
              <w:t>Stock-based compensation expense (non-employee)</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3"/>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 expense (ESPP)</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w:t>
            </w:r>
          </w:p>
        </w:tc>
        <w:tc>
          <w:tcPr>
            <w:tcW w:w="0" w:type="dxa"/>
            <w:vAlign w:val="bottom"/>
          </w:tcPr>
          <w:p>
            <w:pPr>
              <w:spacing w:after="0"/>
              <w:rPr>
                <w:sz w:val="1"/>
                <w:szCs w:val="1"/>
                <w:color w:val="auto"/>
              </w:rPr>
            </w:pPr>
          </w:p>
        </w:tc>
      </w:tr>
      <w:tr>
        <w:trPr>
          <w:trHeight w:val="197"/>
        </w:trPr>
        <w:tc>
          <w:tcPr>
            <w:tcW w:w="3260" w:type="dxa"/>
            <w:vAlign w:val="bottom"/>
          </w:tcPr>
          <w:p>
            <w:pPr>
              <w:ind w:left="20"/>
              <w:spacing w:after="0"/>
              <w:rPr>
                <w:sz w:val="20"/>
                <w:szCs w:val="20"/>
                <w:color w:val="auto"/>
              </w:rPr>
            </w:pPr>
            <w:r>
              <w:rPr>
                <w:rFonts w:ascii="Arial" w:cs="Arial" w:eastAsia="Arial" w:hAnsi="Arial"/>
                <w:sz w:val="15"/>
                <w:szCs w:val="15"/>
                <w:color w:val="auto"/>
              </w:rPr>
              <w:t>Net loss</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(14,461)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2"/>
          </w:tcPr>
          <w:p>
            <w:pPr>
              <w:ind w:left="7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(14,461)</w:t>
            </w: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Comprehensive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(5,598)</w:t>
            </w: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71,433</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1,477,418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(371,618)</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(20,681)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1,085,190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2040" w:type="dxa"/>
            <w:vAlign w:val="bottom"/>
            <w:gridSpan w:val="3"/>
            <w:vMerge w:val="restart"/>
          </w:tcPr>
          <w:p>
            <w:pPr>
              <w:jc w:val="right"/>
              <w:ind w:right="285"/>
              <w:spacing w:after="0"/>
              <w:rPr>
                <w:sz w:val="20"/>
                <w:szCs w:val="20"/>
                <w:color w:val="auto"/>
              </w:rPr>
            </w:pPr>
            <w:r>
              <w:rPr>
                <w:rFonts w:ascii="Arial" w:cs="Arial" w:eastAsia="Arial" w:hAnsi="Arial"/>
                <w:sz w:val="15"/>
                <w:szCs w:val="15"/>
                <w:b w:val="1"/>
                <w:bCs w:val="1"/>
                <w:color w:val="auto"/>
              </w:rPr>
              <w:t>Common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5"/>
                <w:szCs w:val="15"/>
                <w:b w:val="1"/>
                <w:bCs w:val="1"/>
                <w:color w:val="auto"/>
              </w:rPr>
              <w:t>Additional</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44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2040" w:type="dxa"/>
            <w:vAlign w:val="bottom"/>
            <w:tcBorders>
              <w:bottom w:val="single" w:sz="8" w:color="auto"/>
            </w:tcBorders>
            <w:gridSpan w:val="3"/>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ind w:left="100"/>
              <w:spacing w:after="0" w:line="130" w:lineRule="exact"/>
              <w:rPr>
                <w:sz w:val="20"/>
                <w:szCs w:val="20"/>
                <w:color w:val="auto"/>
              </w:rPr>
            </w:pPr>
            <w:r>
              <w:rPr>
                <w:rFonts w:ascii="Arial" w:cs="Arial" w:eastAsia="Arial" w:hAnsi="Arial"/>
                <w:sz w:val="15"/>
                <w:szCs w:val="15"/>
                <w:b w:val="1"/>
                <w:bCs w:val="1"/>
                <w:color w:val="auto"/>
              </w:rPr>
              <w:t>Paid-in</w:t>
            </w:r>
          </w:p>
        </w:tc>
        <w:tc>
          <w:tcPr>
            <w:tcW w:w="240" w:type="dxa"/>
            <w:vAlign w:val="bottom"/>
          </w:tcPr>
          <w:p>
            <w:pPr>
              <w:spacing w:after="0"/>
              <w:rPr>
                <w:sz w:val="11"/>
                <w:szCs w:val="11"/>
                <w:color w:val="auto"/>
              </w:rPr>
            </w:pPr>
          </w:p>
        </w:tc>
        <w:tc>
          <w:tcPr>
            <w:tcW w:w="1160" w:type="dxa"/>
            <w:vAlign w:val="bottom"/>
            <w:gridSpan w:val="2"/>
          </w:tcPr>
          <w:p>
            <w:pPr>
              <w:ind w:left="40"/>
              <w:spacing w:after="0" w:line="130" w:lineRule="exact"/>
              <w:rPr>
                <w:sz w:val="20"/>
                <w:szCs w:val="20"/>
                <w:color w:val="auto"/>
              </w:rPr>
            </w:pPr>
            <w:r>
              <w:rPr>
                <w:rFonts w:ascii="Arial" w:cs="Arial" w:eastAsia="Arial" w:hAnsi="Arial"/>
                <w:sz w:val="15"/>
                <w:szCs w:val="15"/>
                <w:b w:val="1"/>
                <w:bCs w:val="1"/>
                <w:color w:val="auto"/>
              </w:rPr>
              <w:t>Accumulated</w:t>
            </w:r>
          </w:p>
        </w:tc>
        <w:tc>
          <w:tcPr>
            <w:tcW w:w="1600" w:type="dxa"/>
            <w:vAlign w:val="bottom"/>
            <w:gridSpan w:val="3"/>
          </w:tcPr>
          <w:p>
            <w:pPr>
              <w:ind w:left="160"/>
              <w:spacing w:after="0" w:line="130" w:lineRule="exact"/>
              <w:rPr>
                <w:sz w:val="20"/>
                <w:szCs w:val="20"/>
                <w:color w:val="auto"/>
              </w:rPr>
            </w:pPr>
            <w:r>
              <w:rPr>
                <w:rFonts w:ascii="Arial" w:cs="Arial" w:eastAsia="Arial" w:hAnsi="Arial"/>
                <w:sz w:val="15"/>
                <w:szCs w:val="15"/>
                <w:b w:val="1"/>
                <w:bCs w:val="1"/>
                <w:color w:val="auto"/>
              </w:rPr>
              <w:t>Accumulated Other</w:t>
            </w:r>
          </w:p>
        </w:tc>
        <w:tc>
          <w:tcPr>
            <w:tcW w:w="240" w:type="dxa"/>
            <w:vAlign w:val="bottom"/>
          </w:tcPr>
          <w:p>
            <w:pPr>
              <w:spacing w:after="0"/>
              <w:rPr>
                <w:sz w:val="11"/>
                <w:szCs w:val="11"/>
                <w:color w:val="auto"/>
              </w:rPr>
            </w:pPr>
          </w:p>
        </w:tc>
        <w:tc>
          <w:tcPr>
            <w:tcW w:w="1220" w:type="dxa"/>
            <w:vAlign w:val="bottom"/>
          </w:tcPr>
          <w:p>
            <w:pPr>
              <w:jc w:val="right"/>
              <w:ind w:right="225"/>
              <w:spacing w:after="0" w:line="130"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190"/>
        </w:trPr>
        <w:tc>
          <w:tcPr>
            <w:tcW w:w="29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w w:val="92"/>
              </w:rPr>
              <w:t>Comprehensive 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Balance at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58,201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45"/>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702,768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(281,594)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421,232</w:t>
            </w:r>
          </w:p>
        </w:tc>
        <w:tc>
          <w:tcPr>
            <w:tcW w:w="0" w:type="dxa"/>
            <w:vAlign w:val="bottom"/>
          </w:tcPr>
          <w:p>
            <w:pPr>
              <w:spacing w:after="0"/>
              <w:rPr>
                <w:sz w:val="1"/>
                <w:szCs w:val="1"/>
                <w:color w:val="auto"/>
              </w:rPr>
            </w:pPr>
          </w:p>
        </w:tc>
      </w:tr>
      <w:tr>
        <w:trPr>
          <w:trHeight w:val="155"/>
        </w:trPr>
        <w:tc>
          <w:tcPr>
            <w:tcW w:w="2960" w:type="dxa"/>
            <w:vAlign w:val="bottom"/>
          </w:tcPr>
          <w:p>
            <w:pPr>
              <w:spacing w:after="0" w:line="154" w:lineRule="exact"/>
              <w:rPr>
                <w:sz w:val="20"/>
                <w:szCs w:val="20"/>
                <w:color w:val="auto"/>
              </w:rPr>
            </w:pPr>
            <w:r>
              <w:rPr>
                <w:rFonts w:ascii="Arial" w:cs="Arial" w:eastAsia="Arial" w:hAnsi="Arial"/>
                <w:sz w:val="15"/>
                <w:szCs w:val="15"/>
                <w:color w:val="auto"/>
                <w:w w:val="97"/>
              </w:rPr>
              <w:t>Sale of common stock in a public offering, net</w:t>
            </w: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8,547</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vMerge w:val="restart"/>
          </w:tcPr>
          <w:p>
            <w:pPr>
              <w:jc w:val="right"/>
              <w:ind w:right="5"/>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593,812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20" w:type="dxa"/>
            <w:vAlign w:val="bottom"/>
            <w:vMerge w:val="restart"/>
          </w:tcPr>
          <w:p>
            <w:pPr>
              <w:jc w:val="right"/>
              <w:ind w:right="5"/>
              <w:spacing w:after="0"/>
              <w:rPr>
                <w:sz w:val="20"/>
                <w:szCs w:val="20"/>
                <w:color w:val="auto"/>
              </w:rPr>
            </w:pPr>
            <w:r>
              <w:rPr>
                <w:rFonts w:ascii="Arial" w:cs="Arial" w:eastAsia="Arial" w:hAnsi="Arial"/>
                <w:sz w:val="15"/>
                <w:szCs w:val="15"/>
                <w:color w:val="auto"/>
              </w:rPr>
              <w:t>593,821</w:t>
            </w:r>
          </w:p>
        </w:tc>
        <w:tc>
          <w:tcPr>
            <w:tcW w:w="0" w:type="dxa"/>
            <w:vAlign w:val="bottom"/>
          </w:tcPr>
          <w:p>
            <w:pPr>
              <w:spacing w:after="0"/>
              <w:rPr>
                <w:sz w:val="1"/>
                <w:szCs w:val="1"/>
                <w:color w:val="auto"/>
              </w:rPr>
            </w:pPr>
          </w:p>
        </w:tc>
      </w:tr>
      <w:tr>
        <w:trPr>
          <w:trHeight w:val="193"/>
        </w:trPr>
        <w:tc>
          <w:tcPr>
            <w:tcW w:w="2960" w:type="dxa"/>
            <w:vAlign w:val="bottom"/>
          </w:tcPr>
          <w:p>
            <w:pPr>
              <w:ind w:left="80"/>
              <w:spacing w:after="0"/>
              <w:rPr>
                <w:sz w:val="20"/>
                <w:szCs w:val="20"/>
                <w:color w:val="auto"/>
              </w:rPr>
            </w:pPr>
            <w:r>
              <w:rPr>
                <w:rFonts w:ascii="Arial" w:cs="Arial" w:eastAsia="Arial" w:hAnsi="Arial"/>
                <w:sz w:val="15"/>
                <w:szCs w:val="15"/>
                <w:color w:val="auto"/>
              </w:rPr>
              <w:t>of offering costs of $38,677</w:t>
            </w: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60" w:type="dxa"/>
            <w:vAlign w:val="bottom"/>
            <w:shd w:val="clear" w:color="auto" w:fill="CCEEFF"/>
          </w:tcPr>
          <w:p>
            <w:pPr>
              <w:ind w:left="120"/>
              <w:spacing w:after="0" w:line="158" w:lineRule="exact"/>
              <w:rPr>
                <w:sz w:val="20"/>
                <w:szCs w:val="20"/>
                <w:color w:val="auto"/>
              </w:rPr>
            </w:pPr>
            <w:r>
              <w:rPr>
                <w:rFonts w:ascii="Arial" w:cs="Arial" w:eastAsia="Arial" w:hAnsi="Arial"/>
                <w:sz w:val="15"/>
                <w:szCs w:val="15"/>
                <w:color w:val="auto"/>
              </w:rPr>
              <w:t>Issuance of common stock on exercise of</w:t>
            </w: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960" w:type="dxa"/>
            <w:vAlign w:val="bottom"/>
            <w:shd w:val="clear" w:color="auto" w:fill="CCEEFF"/>
          </w:tcPr>
          <w:p>
            <w:pPr>
              <w:spacing w:after="0" w:line="150" w:lineRule="exact"/>
              <w:rPr>
                <w:sz w:val="20"/>
                <w:szCs w:val="20"/>
                <w:color w:val="auto"/>
              </w:rPr>
            </w:pPr>
            <w:r>
              <w:rPr>
                <w:rFonts w:ascii="Arial" w:cs="Arial" w:eastAsia="Arial" w:hAnsi="Arial"/>
                <w:sz w:val="15"/>
                <w:szCs w:val="15"/>
                <w:color w:val="auto"/>
              </w:rPr>
              <w:t>stock options and vesting of restricted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2,806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2,806</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units</w:t>
            </w: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120"/>
              <w:spacing w:after="0"/>
              <w:rPr>
                <w:sz w:val="20"/>
                <w:szCs w:val="20"/>
                <w:color w:val="auto"/>
              </w:rPr>
            </w:pPr>
            <w:r>
              <w:rPr>
                <w:rFonts w:ascii="Arial" w:cs="Arial" w:eastAsia="Arial" w:hAnsi="Arial"/>
                <w:sz w:val="15"/>
                <w:szCs w:val="15"/>
                <w:color w:val="auto"/>
              </w:rPr>
              <w:t>Issuance of common stock under ESPP</w:t>
            </w:r>
          </w:p>
        </w:tc>
        <w:tc>
          <w:tcPr>
            <w:tcW w:w="102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Tax portion of vested restricted stock units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(6,774)</w:t>
            </w:r>
          </w:p>
        </w:tc>
        <w:tc>
          <w:tcPr>
            <w:tcW w:w="0" w:type="dxa"/>
            <w:vAlign w:val="bottom"/>
          </w:tcPr>
          <w:p>
            <w:pPr>
              <w:spacing w:after="0"/>
              <w:rPr>
                <w:sz w:val="1"/>
                <w:szCs w:val="1"/>
                <w:color w:val="auto"/>
              </w:rPr>
            </w:pPr>
          </w:p>
        </w:tc>
      </w:tr>
      <w:tr>
        <w:trPr>
          <w:trHeight w:val="155"/>
        </w:trPr>
        <w:tc>
          <w:tcPr>
            <w:tcW w:w="2960" w:type="dxa"/>
            <w:vAlign w:val="bottom"/>
          </w:tcPr>
          <w:p>
            <w:pPr>
              <w:ind w:left="120"/>
              <w:spacing w:after="0" w:line="154" w:lineRule="exact"/>
              <w:rPr>
                <w:sz w:val="20"/>
                <w:szCs w:val="20"/>
                <w:color w:val="auto"/>
              </w:rPr>
            </w:pPr>
            <w:r>
              <w:rPr>
                <w:rFonts w:ascii="Arial" w:cs="Arial" w:eastAsia="Arial" w:hAnsi="Arial"/>
                <w:sz w:val="15"/>
                <w:szCs w:val="15"/>
                <w:color w:val="auto"/>
              </w:rPr>
              <w:t>Stock-based compensation expense</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3,657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1220" w:type="dxa"/>
            <w:vAlign w:val="bottom"/>
            <w:vMerge w:val="restart"/>
          </w:tcPr>
          <w:p>
            <w:pPr>
              <w:jc w:val="right"/>
              <w:ind w:right="5"/>
              <w:spacing w:after="0"/>
              <w:rPr>
                <w:sz w:val="20"/>
                <w:szCs w:val="20"/>
                <w:color w:val="auto"/>
              </w:rPr>
            </w:pPr>
            <w:r>
              <w:rPr>
                <w:rFonts w:ascii="Arial" w:cs="Arial" w:eastAsia="Arial" w:hAnsi="Arial"/>
                <w:sz w:val="15"/>
                <w:szCs w:val="15"/>
                <w:color w:val="auto"/>
              </w:rPr>
              <w:t>3,657</w:t>
            </w:r>
          </w:p>
        </w:tc>
        <w:tc>
          <w:tcPr>
            <w:tcW w:w="0" w:type="dxa"/>
            <w:vAlign w:val="bottom"/>
          </w:tcPr>
          <w:p>
            <w:pPr>
              <w:spacing w:after="0"/>
              <w:rPr>
                <w:sz w:val="1"/>
                <w:szCs w:val="1"/>
                <w:color w:val="auto"/>
              </w:rPr>
            </w:pPr>
          </w:p>
        </w:tc>
      </w:tr>
      <w:tr>
        <w:trPr>
          <w:trHeight w:val="193"/>
        </w:trPr>
        <w:tc>
          <w:tcPr>
            <w:tcW w:w="2960" w:type="dxa"/>
            <w:vAlign w:val="bottom"/>
          </w:tcPr>
          <w:p>
            <w:pPr>
              <w:spacing w:after="0"/>
              <w:rPr>
                <w:sz w:val="20"/>
                <w:szCs w:val="20"/>
                <w:color w:val="auto"/>
              </w:rPr>
            </w:pPr>
            <w:r>
              <w:rPr>
                <w:rFonts w:ascii="Arial" w:cs="Arial" w:eastAsia="Arial" w:hAnsi="Arial"/>
                <w:sz w:val="15"/>
                <w:szCs w:val="15"/>
                <w:color w:val="auto"/>
              </w:rPr>
              <w:t>(employee)</w:t>
            </w:r>
          </w:p>
        </w:tc>
        <w:tc>
          <w:tcPr>
            <w:tcW w:w="112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60" w:type="dxa"/>
            <w:vAlign w:val="bottom"/>
            <w:shd w:val="clear" w:color="auto" w:fill="CCEEFF"/>
          </w:tcPr>
          <w:p>
            <w:pPr>
              <w:ind w:left="120"/>
              <w:spacing w:after="0" w:line="158" w:lineRule="exact"/>
              <w:rPr>
                <w:sz w:val="20"/>
                <w:szCs w:val="20"/>
                <w:color w:val="auto"/>
              </w:rPr>
            </w:pPr>
            <w:r>
              <w:rPr>
                <w:rFonts w:ascii="Arial" w:cs="Arial" w:eastAsia="Arial" w:hAnsi="Arial"/>
                <w:sz w:val="15"/>
                <w:szCs w:val="15"/>
                <w:color w:val="auto"/>
              </w:rPr>
              <w:t>Stock-based compensation expense (non-</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employee)</w:t>
            </w:r>
          </w:p>
        </w:tc>
        <w:tc>
          <w:tcPr>
            <w:tcW w:w="1120" w:type="dxa"/>
            <w:vAlign w:val="bottom"/>
            <w:gridSpan w:val="2"/>
            <w:vMerge w:val="continue"/>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120"/>
              <w:spacing w:after="0"/>
              <w:rPr>
                <w:sz w:val="20"/>
                <w:szCs w:val="20"/>
                <w:color w:val="auto"/>
              </w:rPr>
            </w:pPr>
            <w:r>
              <w:rPr>
                <w:rFonts w:ascii="Arial" w:cs="Arial" w:eastAsia="Arial" w:hAnsi="Arial"/>
                <w:sz w:val="15"/>
                <w:szCs w:val="15"/>
                <w:color w:val="auto"/>
                <w:w w:val="95"/>
              </w:rPr>
              <w:t>Stock-based compensation expense (ESPP)</w:t>
            </w: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20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(41,868)</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(41,868)</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20"/>
                <w:szCs w:val="20"/>
                <w:color w:val="auto"/>
              </w:rPr>
            </w:pPr>
            <w:r>
              <w:rPr>
                <w:rFonts w:ascii="Arial" w:cs="Arial" w:eastAsia="Arial" w:hAnsi="Arial"/>
                <w:sz w:val="15"/>
                <w:szCs w:val="15"/>
                <w:color w:val="auto"/>
              </w:rPr>
              <w:t>Balance at March 31, 2021</w:t>
            </w:r>
          </w:p>
        </w:tc>
        <w:tc>
          <w:tcPr>
            <w:tcW w:w="1020" w:type="dxa"/>
            <w:vAlign w:val="bottom"/>
          </w:tcPr>
          <w:p>
            <w:pPr>
              <w:jc w:val="right"/>
              <w:spacing w:after="0"/>
              <w:rPr>
                <w:sz w:val="20"/>
                <w:szCs w:val="20"/>
                <w:color w:val="auto"/>
              </w:rPr>
            </w:pPr>
            <w:r>
              <w:rPr>
                <w:rFonts w:ascii="Arial" w:cs="Arial" w:eastAsia="Arial" w:hAnsi="Arial"/>
                <w:sz w:val="15"/>
                <w:szCs w:val="15"/>
                <w:color w:val="auto"/>
              </w:rPr>
              <w:t>67,236</w:t>
            </w:r>
          </w:p>
        </w:tc>
        <w:tc>
          <w:tcPr>
            <w:tcW w:w="100" w:type="dxa"/>
            <w:vAlign w:val="bottom"/>
          </w:tcPr>
          <w:p>
            <w:pPr>
              <w:spacing w:after="0"/>
              <w:rPr>
                <w:sz w:val="17"/>
                <w:szCs w:val="17"/>
                <w:color w:val="auto"/>
              </w:rPr>
            </w:pPr>
          </w:p>
        </w:tc>
        <w:tc>
          <w:tcPr>
            <w:tcW w:w="920" w:type="dxa"/>
            <w:vAlign w:val="bottom"/>
          </w:tcPr>
          <w:p>
            <w:pPr>
              <w:jc w:val="right"/>
              <w:ind w:right="645"/>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5"/>
              <w:spacing w:after="0"/>
              <w:rPr>
                <w:sz w:val="20"/>
                <w:szCs w:val="20"/>
                <w:color w:val="auto"/>
              </w:rPr>
            </w:pPr>
            <w:r>
              <w:rPr>
                <w:rFonts w:ascii="Arial" w:cs="Arial" w:eastAsia="Arial" w:hAnsi="Arial"/>
                <w:sz w:val="15"/>
                <w:szCs w:val="15"/>
                <w:color w:val="auto"/>
                <w:w w:val="95"/>
              </w:rPr>
              <w:t>67</w:t>
            </w: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1,297,626</w:t>
            </w: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(323,462)</w:t>
            </w:r>
          </w:p>
        </w:tc>
        <w:tc>
          <w:tcPr>
            <w:tcW w:w="80" w:type="dxa"/>
            <w:vAlign w:val="bottom"/>
          </w:tcPr>
          <w:p>
            <w:pPr>
              <w:spacing w:after="0"/>
              <w:rPr>
                <w:sz w:val="17"/>
                <w:szCs w:val="17"/>
                <w:color w:val="auto"/>
              </w:rPr>
            </w:pPr>
          </w:p>
        </w:tc>
        <w:tc>
          <w:tcPr>
            <w:tcW w:w="740" w:type="dxa"/>
            <w:vAlign w:val="bottom"/>
          </w:tcPr>
          <w:p>
            <w:pPr>
              <w:jc w:val="right"/>
              <w:ind w:right="465"/>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5"/>
              <w:spacing w:after="0"/>
              <w:rPr>
                <w:sz w:val="20"/>
                <w:szCs w:val="20"/>
                <w:color w:val="auto"/>
              </w:rPr>
            </w:pPr>
            <w:r>
              <w:rPr>
                <w:rFonts w:ascii="Arial" w:cs="Arial" w:eastAsia="Arial" w:hAnsi="Arial"/>
                <w:sz w:val="15"/>
                <w:szCs w:val="15"/>
                <w:color w:val="auto"/>
              </w:rPr>
              <w:t>974,231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3"/>
                <w:szCs w:val="13"/>
                <w:b w:val="1"/>
                <w:bCs w:val="1"/>
                <w:color w:val="auto"/>
              </w:rPr>
              <w:t>Three Months Ended March 31,</w:t>
            </w:r>
          </w:p>
        </w:tc>
      </w:tr>
      <w:tr>
        <w:trPr>
          <w:trHeight w:val="172"/>
        </w:trPr>
        <w:tc>
          <w:tcPr>
            <w:tcW w:w="120" w:type="dxa"/>
            <w:vAlign w:val="bottom"/>
          </w:tcPr>
          <w:p>
            <w:pPr>
              <w:spacing w:after="0"/>
              <w:rPr>
                <w:sz w:val="14"/>
                <w:szCs w:val="14"/>
                <w:color w:val="auto"/>
              </w:rPr>
            </w:pPr>
          </w:p>
        </w:tc>
        <w:tc>
          <w:tcPr>
            <w:tcW w:w="7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2021</w:t>
            </w:r>
          </w:p>
        </w:tc>
      </w:tr>
      <w:tr>
        <w:trPr>
          <w:trHeight w:val="169"/>
        </w:trPr>
        <w:tc>
          <w:tcPr>
            <w:tcW w:w="120" w:type="dxa"/>
            <w:vAlign w:val="bottom"/>
          </w:tcPr>
          <w:p>
            <w:pPr>
              <w:spacing w:after="0"/>
              <w:rPr>
                <w:sz w:val="14"/>
                <w:szCs w:val="14"/>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Operating activities</w:t>
            </w:r>
          </w:p>
        </w:tc>
        <w:tc>
          <w:tcPr>
            <w:tcW w:w="4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73"/>
        </w:trPr>
        <w:tc>
          <w:tcPr>
            <w:tcW w:w="120" w:type="dxa"/>
            <w:vAlign w:val="bottom"/>
          </w:tcPr>
          <w:p>
            <w:pPr>
              <w:spacing w:after="0"/>
              <w:rPr>
                <w:sz w:val="15"/>
                <w:szCs w:val="15"/>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Net loss</w:t>
            </w:r>
          </w:p>
        </w:tc>
        <w:tc>
          <w:tcPr>
            <w:tcW w:w="4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(14,461)</w:t>
            </w:r>
          </w:p>
        </w:tc>
        <w:tc>
          <w:tcPr>
            <w:tcW w:w="100" w:type="dxa"/>
            <w:vAlign w:val="bottom"/>
          </w:tcPr>
          <w:p>
            <w:pPr>
              <w:spacing w:after="0"/>
              <w:rPr>
                <w:sz w:val="15"/>
                <w:szCs w:val="15"/>
                <w:color w:val="auto"/>
              </w:rPr>
            </w:pP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(41,868)</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3"/>
        </w:trPr>
        <w:tc>
          <w:tcPr>
            <w:tcW w:w="120" w:type="dxa"/>
            <w:vAlign w:val="bottom"/>
          </w:tcPr>
          <w:p>
            <w:pPr>
              <w:spacing w:after="0"/>
              <w:rPr>
                <w:sz w:val="15"/>
                <w:szCs w:val="15"/>
                <w:color w:val="auto"/>
              </w:rPr>
            </w:pPr>
          </w:p>
        </w:tc>
        <w:tc>
          <w:tcPr>
            <w:tcW w:w="7240" w:type="dxa"/>
            <w:vAlign w:val="bottom"/>
          </w:tcPr>
          <w:p>
            <w:pPr>
              <w:ind w:left="420"/>
              <w:spacing w:after="0"/>
              <w:rPr>
                <w:sz w:val="20"/>
                <w:szCs w:val="20"/>
                <w:color w:val="auto"/>
              </w:rPr>
            </w:pPr>
            <w:r>
              <w:rPr>
                <w:rFonts w:ascii="Arial" w:cs="Arial" w:eastAsia="Arial" w:hAnsi="Arial"/>
                <w:sz w:val="13"/>
                <w:szCs w:val="13"/>
                <w:color w:val="auto"/>
              </w:rPr>
              <w:t>Depreciation and amortization</w:t>
            </w:r>
          </w:p>
        </w:tc>
        <w:tc>
          <w:tcPr>
            <w:tcW w:w="4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6,556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2,550</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Stock-based compensation</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3,855</w:t>
            </w:r>
          </w:p>
        </w:tc>
      </w:tr>
      <w:tr>
        <w:trPr>
          <w:trHeight w:val="173"/>
        </w:trPr>
        <w:tc>
          <w:tcPr>
            <w:tcW w:w="120" w:type="dxa"/>
            <w:vAlign w:val="bottom"/>
          </w:tcPr>
          <w:p>
            <w:pPr>
              <w:spacing w:after="0"/>
              <w:rPr>
                <w:sz w:val="15"/>
                <w:szCs w:val="15"/>
                <w:color w:val="auto"/>
              </w:rPr>
            </w:pPr>
          </w:p>
        </w:tc>
        <w:tc>
          <w:tcPr>
            <w:tcW w:w="7240" w:type="dxa"/>
            <w:vAlign w:val="bottom"/>
          </w:tcPr>
          <w:p>
            <w:pPr>
              <w:ind w:left="420"/>
              <w:spacing w:after="0"/>
              <w:rPr>
                <w:sz w:val="20"/>
                <w:szCs w:val="20"/>
                <w:color w:val="auto"/>
              </w:rPr>
            </w:pPr>
            <w:r>
              <w:rPr>
                <w:rFonts w:ascii="Arial" w:cs="Arial" w:eastAsia="Arial" w:hAnsi="Arial"/>
                <w:sz w:val="13"/>
                <w:szCs w:val="13"/>
                <w:color w:val="auto"/>
              </w:rPr>
              <w:t>Benefit from income taxes</w:t>
            </w:r>
          </w:p>
        </w:tc>
        <w:tc>
          <w:tcPr>
            <w:tcW w:w="4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(3,795)</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Interest on end-of-term debt obligation</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r>
      <w:tr>
        <w:trPr>
          <w:trHeight w:val="173"/>
        </w:trPr>
        <w:tc>
          <w:tcPr>
            <w:tcW w:w="120" w:type="dxa"/>
            <w:vAlign w:val="bottom"/>
          </w:tcPr>
          <w:p>
            <w:pPr>
              <w:spacing w:after="0"/>
              <w:rPr>
                <w:sz w:val="15"/>
                <w:szCs w:val="15"/>
                <w:color w:val="auto"/>
              </w:rPr>
            </w:pPr>
          </w:p>
        </w:tc>
        <w:tc>
          <w:tcPr>
            <w:tcW w:w="7240" w:type="dxa"/>
            <w:vAlign w:val="bottom"/>
          </w:tcPr>
          <w:p>
            <w:pPr>
              <w:ind w:left="420"/>
              <w:spacing w:after="0"/>
              <w:rPr>
                <w:sz w:val="20"/>
                <w:szCs w:val="20"/>
                <w:color w:val="auto"/>
              </w:rPr>
            </w:pPr>
            <w:r>
              <w:rPr>
                <w:rFonts w:ascii="Arial" w:cs="Arial" w:eastAsia="Arial" w:hAnsi="Arial"/>
                <w:sz w:val="13"/>
                <w:szCs w:val="13"/>
                <w:color w:val="auto"/>
              </w:rPr>
              <w:t>Noncash lease expense</w:t>
            </w:r>
          </w:p>
        </w:tc>
        <w:tc>
          <w:tcPr>
            <w:tcW w:w="4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587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258</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Revaluation of acquisition-related contingent consideration</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r>
      <w:tr>
        <w:trPr>
          <w:trHeight w:val="173"/>
        </w:trPr>
        <w:tc>
          <w:tcPr>
            <w:tcW w:w="120" w:type="dxa"/>
            <w:vAlign w:val="bottom"/>
          </w:tcPr>
          <w:p>
            <w:pPr>
              <w:spacing w:after="0"/>
              <w:rPr>
                <w:sz w:val="15"/>
                <w:szCs w:val="15"/>
                <w:color w:val="auto"/>
              </w:rPr>
            </w:pPr>
          </w:p>
        </w:tc>
        <w:tc>
          <w:tcPr>
            <w:tcW w:w="7240" w:type="dxa"/>
            <w:vAlign w:val="bottom"/>
          </w:tcPr>
          <w:p>
            <w:pPr>
              <w:ind w:left="420"/>
              <w:spacing w:after="0"/>
              <w:rPr>
                <w:sz w:val="20"/>
                <w:szCs w:val="20"/>
                <w:color w:val="auto"/>
              </w:rPr>
            </w:pPr>
            <w:r>
              <w:rPr>
                <w:rFonts w:ascii="Arial" w:cs="Arial" w:eastAsia="Arial" w:hAnsi="Arial"/>
                <w:sz w:val="13"/>
                <w:szCs w:val="13"/>
                <w:color w:val="auto"/>
              </w:rPr>
              <w:t>Effect of foreign currency on operations</w:t>
            </w:r>
          </w:p>
        </w:tc>
        <w:tc>
          <w:tcPr>
            <w:tcW w:w="4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3"/>
        </w:trPr>
        <w:tc>
          <w:tcPr>
            <w:tcW w:w="120" w:type="dxa"/>
            <w:vAlign w:val="bottom"/>
          </w:tcPr>
          <w:p>
            <w:pPr>
              <w:spacing w:after="0"/>
              <w:rPr>
                <w:sz w:val="15"/>
                <w:szCs w:val="15"/>
                <w:color w:val="auto"/>
              </w:rPr>
            </w:pPr>
          </w:p>
        </w:tc>
        <w:tc>
          <w:tcPr>
            <w:tcW w:w="7240" w:type="dxa"/>
            <w:vAlign w:val="bottom"/>
          </w:tcPr>
          <w:p>
            <w:pPr>
              <w:ind w:left="420"/>
              <w:spacing w:after="0"/>
              <w:rPr>
                <w:sz w:val="20"/>
                <w:szCs w:val="20"/>
                <w:color w:val="auto"/>
              </w:rPr>
            </w:pPr>
            <w:r>
              <w:rPr>
                <w:rFonts w:ascii="Arial" w:cs="Arial" w:eastAsia="Arial" w:hAnsi="Arial"/>
                <w:sz w:val="13"/>
                <w:szCs w:val="13"/>
                <w:color w:val="auto"/>
              </w:rPr>
              <w:t>Accounts receivable</w:t>
            </w:r>
          </w:p>
        </w:tc>
        <w:tc>
          <w:tcPr>
            <w:tcW w:w="4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(3,575)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(3,748)</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Supplies and inventory</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73"/>
        </w:trPr>
        <w:tc>
          <w:tcPr>
            <w:tcW w:w="120" w:type="dxa"/>
            <w:vAlign w:val="bottom"/>
          </w:tcPr>
          <w:p>
            <w:pPr>
              <w:spacing w:after="0"/>
              <w:rPr>
                <w:sz w:val="15"/>
                <w:szCs w:val="15"/>
                <w:color w:val="auto"/>
              </w:rPr>
            </w:pPr>
          </w:p>
        </w:tc>
        <w:tc>
          <w:tcPr>
            <w:tcW w:w="7240" w:type="dxa"/>
            <w:vAlign w:val="bottom"/>
          </w:tcPr>
          <w:p>
            <w:pPr>
              <w:ind w:left="420"/>
              <w:spacing w:after="0"/>
              <w:rPr>
                <w:sz w:val="20"/>
                <w:szCs w:val="20"/>
                <w:color w:val="auto"/>
              </w:rPr>
            </w:pPr>
            <w:r>
              <w:rPr>
                <w:rFonts w:ascii="Arial" w:cs="Arial" w:eastAsia="Arial" w:hAnsi="Arial"/>
                <w:sz w:val="13"/>
                <w:szCs w:val="13"/>
                <w:color w:val="auto"/>
              </w:rPr>
              <w:t>Prepaid expenses and other current assets</w:t>
            </w:r>
          </w:p>
        </w:tc>
        <w:tc>
          <w:tcPr>
            <w:tcW w:w="4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(2,139)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132</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Other assets</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r>
      <w:tr>
        <w:trPr>
          <w:trHeight w:val="173"/>
        </w:trPr>
        <w:tc>
          <w:tcPr>
            <w:tcW w:w="120" w:type="dxa"/>
            <w:vAlign w:val="bottom"/>
          </w:tcPr>
          <w:p>
            <w:pPr>
              <w:spacing w:after="0"/>
              <w:rPr>
                <w:sz w:val="15"/>
                <w:szCs w:val="15"/>
                <w:color w:val="auto"/>
              </w:rPr>
            </w:pPr>
          </w:p>
        </w:tc>
        <w:tc>
          <w:tcPr>
            <w:tcW w:w="7240" w:type="dxa"/>
            <w:vAlign w:val="bottom"/>
          </w:tcPr>
          <w:p>
            <w:pPr>
              <w:ind w:left="420"/>
              <w:spacing w:after="0"/>
              <w:rPr>
                <w:sz w:val="20"/>
                <w:szCs w:val="20"/>
                <w:color w:val="auto"/>
              </w:rPr>
            </w:pPr>
            <w:r>
              <w:rPr>
                <w:rFonts w:ascii="Arial" w:cs="Arial" w:eastAsia="Arial" w:hAnsi="Arial"/>
                <w:sz w:val="13"/>
                <w:szCs w:val="13"/>
                <w:color w:val="auto"/>
              </w:rPr>
              <w:t>Operating lease liabilities</w:t>
            </w:r>
          </w:p>
        </w:tc>
        <w:tc>
          <w:tcPr>
            <w:tcW w:w="4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(597)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(373)</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Accounts payable</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r>
      <w:tr>
        <w:trPr>
          <w:trHeight w:val="173"/>
        </w:trPr>
        <w:tc>
          <w:tcPr>
            <w:tcW w:w="120" w:type="dxa"/>
            <w:vAlign w:val="bottom"/>
          </w:tcPr>
          <w:p>
            <w:pPr>
              <w:spacing w:after="0"/>
              <w:rPr>
                <w:sz w:val="15"/>
                <w:szCs w:val="15"/>
                <w:color w:val="auto"/>
              </w:rPr>
            </w:pPr>
          </w:p>
        </w:tc>
        <w:tc>
          <w:tcPr>
            <w:tcW w:w="724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Accrued liabilities and deferred revenue</w:t>
            </w: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w:t>
            </w:r>
          </w:p>
        </w:tc>
      </w:tr>
      <w:tr>
        <w:trPr>
          <w:trHeight w:val="170"/>
        </w:trPr>
        <w:tc>
          <w:tcPr>
            <w:tcW w:w="120" w:type="dxa"/>
            <w:vAlign w:val="bottom"/>
          </w:tcPr>
          <w:p>
            <w:pPr>
              <w:spacing w:after="0"/>
              <w:rPr>
                <w:sz w:val="14"/>
                <w:szCs w:val="14"/>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cash used in operating activities</w:t>
            </w:r>
          </w:p>
        </w:tc>
        <w:tc>
          <w:tcPr>
            <w:tcW w:w="4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(8,872)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(40,561)</w:t>
            </w:r>
          </w:p>
        </w:tc>
      </w:tr>
      <w:tr>
        <w:trPr>
          <w:trHeight w:val="154"/>
        </w:trPr>
        <w:tc>
          <w:tcPr>
            <w:tcW w:w="120" w:type="dxa"/>
            <w:vAlign w:val="bottom"/>
          </w:tcPr>
          <w:p>
            <w:pPr>
              <w:spacing w:after="0"/>
              <w:rPr>
                <w:sz w:val="13"/>
                <w:szCs w:val="13"/>
                <w:color w:val="auto"/>
              </w:rPr>
            </w:pPr>
          </w:p>
        </w:tc>
        <w:tc>
          <w:tcPr>
            <w:tcW w:w="7240" w:type="dxa"/>
            <w:vAlign w:val="bottom"/>
          </w:tcPr>
          <w:p>
            <w:pPr>
              <w:ind w:left="120"/>
              <w:spacing w:after="0"/>
              <w:rPr>
                <w:sz w:val="20"/>
                <w:szCs w:val="20"/>
                <w:color w:val="auto"/>
              </w:rPr>
            </w:pPr>
            <w:r>
              <w:rPr>
                <w:rFonts w:ascii="Arial" w:cs="Arial" w:eastAsia="Arial" w:hAnsi="Arial"/>
                <w:sz w:val="13"/>
                <w:szCs w:val="13"/>
                <w:b w:val="1"/>
                <w:bCs w:val="1"/>
                <w:color w:val="auto"/>
              </w:rPr>
              <w:t>Investing activities</w:t>
            </w: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76"/>
        </w:trPr>
        <w:tc>
          <w:tcPr>
            <w:tcW w:w="120" w:type="dxa"/>
            <w:vAlign w:val="bottom"/>
          </w:tcPr>
          <w:p>
            <w:pPr>
              <w:spacing w:after="0"/>
              <w:rPr>
                <w:sz w:val="15"/>
                <w:szCs w:val="15"/>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 of Decipher Biosciences, net of cash acquired</w:t>
            </w:r>
          </w:p>
        </w:tc>
        <w:tc>
          <w:tcPr>
            <w:tcW w:w="4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(574,411)</w:t>
            </w:r>
          </w:p>
        </w:tc>
      </w:tr>
      <w:tr>
        <w:trPr>
          <w:trHeight w:val="173"/>
        </w:trPr>
        <w:tc>
          <w:tcPr>
            <w:tcW w:w="120" w:type="dxa"/>
            <w:vAlign w:val="bottom"/>
          </w:tcPr>
          <w:p>
            <w:pPr>
              <w:spacing w:after="0"/>
              <w:rPr>
                <w:sz w:val="15"/>
                <w:szCs w:val="15"/>
                <w:color w:val="auto"/>
              </w:rPr>
            </w:pPr>
          </w:p>
        </w:tc>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Purchases of property and equipment</w:t>
            </w: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(1,196)</w:t>
            </w:r>
          </w:p>
        </w:tc>
      </w:tr>
      <w:tr>
        <w:trPr>
          <w:trHeight w:val="170"/>
        </w:trPr>
        <w:tc>
          <w:tcPr>
            <w:tcW w:w="120" w:type="dxa"/>
            <w:vAlign w:val="bottom"/>
          </w:tcPr>
          <w:p>
            <w:pPr>
              <w:spacing w:after="0"/>
              <w:rPr>
                <w:sz w:val="14"/>
                <w:szCs w:val="14"/>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cash used in investing activities</w:t>
            </w:r>
          </w:p>
        </w:tc>
        <w:tc>
          <w:tcPr>
            <w:tcW w:w="4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(2,453)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(575,607)</w:t>
            </w:r>
          </w:p>
        </w:tc>
      </w:tr>
      <w:tr>
        <w:trPr>
          <w:trHeight w:val="154"/>
        </w:trPr>
        <w:tc>
          <w:tcPr>
            <w:tcW w:w="120" w:type="dxa"/>
            <w:vAlign w:val="bottom"/>
          </w:tcPr>
          <w:p>
            <w:pPr>
              <w:spacing w:after="0"/>
              <w:rPr>
                <w:sz w:val="13"/>
                <w:szCs w:val="13"/>
                <w:color w:val="auto"/>
              </w:rPr>
            </w:pPr>
          </w:p>
        </w:tc>
        <w:tc>
          <w:tcPr>
            <w:tcW w:w="7240" w:type="dxa"/>
            <w:vAlign w:val="bottom"/>
          </w:tcPr>
          <w:p>
            <w:pPr>
              <w:ind w:left="120"/>
              <w:spacing w:after="0"/>
              <w:rPr>
                <w:sz w:val="20"/>
                <w:szCs w:val="20"/>
                <w:color w:val="auto"/>
              </w:rPr>
            </w:pPr>
            <w:r>
              <w:rPr>
                <w:rFonts w:ascii="Arial" w:cs="Arial" w:eastAsia="Arial" w:hAnsi="Arial"/>
                <w:sz w:val="13"/>
                <w:szCs w:val="13"/>
                <w:b w:val="1"/>
                <w:bCs w:val="1"/>
                <w:color w:val="auto"/>
              </w:rPr>
              <w:t>Financing activities</w:t>
            </w:r>
          </w:p>
        </w:tc>
        <w:tc>
          <w:tcPr>
            <w:tcW w:w="4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76"/>
        </w:trPr>
        <w:tc>
          <w:tcPr>
            <w:tcW w:w="120" w:type="dxa"/>
            <w:vAlign w:val="bottom"/>
          </w:tcPr>
          <w:p>
            <w:pPr>
              <w:spacing w:after="0"/>
              <w:rPr>
                <w:sz w:val="15"/>
                <w:szCs w:val="15"/>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the issuance of common stock in a public offering, net of issuance costs</w:t>
            </w:r>
          </w:p>
        </w:tc>
        <w:tc>
          <w:tcPr>
            <w:tcW w:w="40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593,821</w:t>
            </w:r>
          </w:p>
        </w:tc>
      </w:tr>
      <w:tr>
        <w:trPr>
          <w:trHeight w:val="173"/>
        </w:trPr>
        <w:tc>
          <w:tcPr>
            <w:tcW w:w="120" w:type="dxa"/>
            <w:vAlign w:val="bottom"/>
          </w:tcPr>
          <w:p>
            <w:pPr>
              <w:spacing w:after="0"/>
              <w:rPr>
                <w:sz w:val="15"/>
                <w:szCs w:val="15"/>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Payment of long-term debt</w:t>
            </w:r>
          </w:p>
        </w:tc>
        <w:tc>
          <w:tcPr>
            <w:tcW w:w="4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Payment of taxes on vested restricted stock units</w:t>
            </w: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w:t>
            </w:r>
          </w:p>
        </w:tc>
      </w:tr>
      <w:tr>
        <w:trPr>
          <w:trHeight w:val="173"/>
        </w:trPr>
        <w:tc>
          <w:tcPr>
            <w:tcW w:w="120" w:type="dxa"/>
            <w:vAlign w:val="bottom"/>
          </w:tcPr>
          <w:p>
            <w:pPr>
              <w:spacing w:after="0"/>
              <w:rPr>
                <w:sz w:val="15"/>
                <w:szCs w:val="15"/>
                <w:color w:val="auto"/>
              </w:rPr>
            </w:pPr>
          </w:p>
        </w:tc>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Proceeds from the exercise of common stock options and employee stock purchases</w:t>
            </w: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3,965</w:t>
            </w:r>
          </w:p>
        </w:tc>
      </w:tr>
      <w:tr>
        <w:trPr>
          <w:trHeight w:val="170"/>
        </w:trPr>
        <w:tc>
          <w:tcPr>
            <w:tcW w:w="120" w:type="dxa"/>
            <w:vAlign w:val="bottom"/>
          </w:tcPr>
          <w:p>
            <w:pPr>
              <w:spacing w:after="0"/>
              <w:rPr>
                <w:sz w:val="14"/>
                <w:szCs w:val="14"/>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cash provided by financing activities</w:t>
            </w:r>
          </w:p>
        </w:tc>
        <w:tc>
          <w:tcPr>
            <w:tcW w:w="4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591,012</w:t>
            </w:r>
          </w:p>
        </w:tc>
      </w:tr>
      <w:tr>
        <w:trPr>
          <w:trHeight w:val="166"/>
        </w:trPr>
        <w:tc>
          <w:tcPr>
            <w:tcW w:w="120" w:type="dxa"/>
            <w:vAlign w:val="bottom"/>
          </w:tcPr>
          <w:p>
            <w:pPr>
              <w:spacing w:after="0"/>
              <w:rPr>
                <w:sz w:val="14"/>
                <w:szCs w:val="14"/>
                <w:color w:val="auto"/>
              </w:rPr>
            </w:pPr>
          </w:p>
        </w:tc>
        <w:tc>
          <w:tcPr>
            <w:tcW w:w="7240" w:type="dxa"/>
            <w:vAlign w:val="bottom"/>
          </w:tcPr>
          <w:p>
            <w:pPr>
              <w:ind w:left="120"/>
              <w:spacing w:after="0"/>
              <w:rPr>
                <w:sz w:val="20"/>
                <w:szCs w:val="20"/>
                <w:color w:val="auto"/>
              </w:rPr>
            </w:pPr>
            <w:r>
              <w:rPr>
                <w:rFonts w:ascii="Arial" w:cs="Arial" w:eastAsia="Arial" w:hAnsi="Arial"/>
                <w:sz w:val="13"/>
                <w:szCs w:val="13"/>
                <w:b w:val="1"/>
                <w:bCs w:val="1"/>
                <w:color w:val="auto"/>
              </w:rPr>
              <w:t>Decrease in cash, cash equivalents and restricted cash</w:t>
            </w:r>
          </w:p>
        </w:tc>
        <w:tc>
          <w:tcPr>
            <w:tcW w:w="4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(9,335)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(25,156)</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Effect of foreign currency on cash, cash equivalents and restricted cash</w:t>
            </w:r>
          </w:p>
        </w:tc>
        <w:tc>
          <w:tcPr>
            <w:tcW w:w="4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6"/>
        </w:trPr>
        <w:tc>
          <w:tcPr>
            <w:tcW w:w="120" w:type="dxa"/>
            <w:vAlign w:val="bottom"/>
          </w:tcPr>
          <w:p>
            <w:pPr>
              <w:spacing w:after="0"/>
              <w:rPr>
                <w:sz w:val="14"/>
                <w:szCs w:val="14"/>
                <w:color w:val="auto"/>
              </w:rPr>
            </w:pPr>
          </w:p>
        </w:tc>
        <w:tc>
          <w:tcPr>
            <w:tcW w:w="7240" w:type="dxa"/>
            <w:vAlign w:val="bottom"/>
          </w:tcPr>
          <w:p>
            <w:pPr>
              <w:ind w:left="120"/>
              <w:spacing w:after="0"/>
              <w:rPr>
                <w:sz w:val="20"/>
                <w:szCs w:val="20"/>
                <w:color w:val="auto"/>
              </w:rPr>
            </w:pPr>
            <w:r>
              <w:rPr>
                <w:rFonts w:ascii="Arial" w:cs="Arial" w:eastAsia="Arial" w:hAnsi="Arial"/>
                <w:sz w:val="13"/>
                <w:szCs w:val="13"/>
                <w:b w:val="1"/>
                <w:bCs w:val="1"/>
                <w:color w:val="auto"/>
              </w:rPr>
              <w:t>Net decrease in cash, cash equivalents and restricted cash</w:t>
            </w:r>
          </w:p>
        </w:tc>
        <w:tc>
          <w:tcPr>
            <w:tcW w:w="4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(9,582)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(25,156)</w:t>
            </w:r>
          </w:p>
        </w:tc>
      </w:tr>
      <w:tr>
        <w:trPr>
          <w:trHeight w:val="176"/>
        </w:trPr>
        <w:tc>
          <w:tcPr>
            <w:tcW w:w="120" w:type="dxa"/>
            <w:vAlign w:val="bottom"/>
          </w:tcPr>
          <w:p>
            <w:pPr>
              <w:spacing w:after="0"/>
              <w:rPr>
                <w:sz w:val="15"/>
                <w:szCs w:val="15"/>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Cash, cash equivalents and restricted cash at beginning of period</w:t>
            </w:r>
          </w:p>
        </w:tc>
        <w:tc>
          <w:tcPr>
            <w:tcW w:w="40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173,946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349,967</w:t>
            </w:r>
          </w:p>
        </w:tc>
      </w:tr>
      <w:tr>
        <w:trPr>
          <w:trHeight w:val="169"/>
        </w:trPr>
        <w:tc>
          <w:tcPr>
            <w:tcW w:w="120" w:type="dxa"/>
            <w:vAlign w:val="bottom"/>
          </w:tcPr>
          <w:p>
            <w:pPr>
              <w:spacing w:after="0"/>
              <w:rPr>
                <w:sz w:val="14"/>
                <w:szCs w:val="14"/>
                <w:color w:val="auto"/>
              </w:rPr>
            </w:pPr>
          </w:p>
        </w:tc>
        <w:tc>
          <w:tcPr>
            <w:tcW w:w="7240" w:type="dxa"/>
            <w:vAlign w:val="bottom"/>
          </w:tcPr>
          <w:p>
            <w:pPr>
              <w:ind w:left="120"/>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4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164,364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324,811</w:t>
            </w:r>
          </w:p>
        </w:tc>
      </w:tr>
      <w:tr>
        <w:trPr>
          <w:trHeight w:val="20"/>
        </w:trPr>
        <w:tc>
          <w:tcPr>
            <w:tcW w:w="120" w:type="dxa"/>
            <w:vAlign w:val="bottom"/>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40"/>
        </w:trPr>
        <w:tc>
          <w:tcPr>
            <w:tcW w:w="120" w:type="dxa"/>
            <w:vAlign w:val="bottom"/>
          </w:tcPr>
          <w:p>
            <w:pPr>
              <w:spacing w:after="0"/>
              <w:rPr>
                <w:sz w:val="12"/>
                <w:szCs w:val="12"/>
                <w:color w:val="auto"/>
              </w:rPr>
            </w:pPr>
          </w:p>
        </w:tc>
        <w:tc>
          <w:tcPr>
            <w:tcW w:w="724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b w:val="1"/>
                <w:bCs w:val="1"/>
                <w:color w:val="auto"/>
              </w:rPr>
              <w:t>Supplementary cash flow information:</w:t>
            </w:r>
          </w:p>
        </w:tc>
        <w:tc>
          <w:tcPr>
            <w:tcW w:w="4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r>
      <w:tr>
        <w:trPr>
          <w:trHeight w:val="173"/>
        </w:trPr>
        <w:tc>
          <w:tcPr>
            <w:tcW w:w="120" w:type="dxa"/>
            <w:vAlign w:val="bottom"/>
          </w:tcPr>
          <w:p>
            <w:pPr>
              <w:spacing w:after="0"/>
              <w:rPr>
                <w:sz w:val="15"/>
                <w:szCs w:val="15"/>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Purchases of property and equipment included in accounts payable and accrued liability</w:t>
            </w:r>
          </w:p>
        </w:tc>
        <w:tc>
          <w:tcPr>
            <w:tcW w:w="40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Pr>
          <w:p>
            <w:pPr>
              <w:spacing w:after="0"/>
              <w:rPr>
                <w:sz w:val="15"/>
                <w:szCs w:val="15"/>
                <w:color w:val="auto"/>
              </w:rPr>
            </w:pPr>
          </w:p>
        </w:tc>
        <w:tc>
          <w:tcPr>
            <w:tcW w:w="3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357</w:t>
            </w:r>
          </w:p>
        </w:tc>
      </w:tr>
      <w:tr>
        <w:trPr>
          <w:trHeight w:val="177"/>
        </w:trPr>
        <w:tc>
          <w:tcPr>
            <w:tcW w:w="120" w:type="dxa"/>
            <w:vAlign w:val="bottom"/>
          </w:tcPr>
          <w:p>
            <w:pPr>
              <w:spacing w:after="0"/>
              <w:rPr>
                <w:sz w:val="15"/>
                <w:szCs w:val="15"/>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paid on debt</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78"/>
        </w:trPr>
        <w:tc>
          <w:tcPr>
            <w:tcW w:w="7360" w:type="dxa"/>
            <w:vAlign w:val="bottom"/>
            <w:gridSpan w:val="2"/>
          </w:tcPr>
          <w:p>
            <w:pPr>
              <w:spacing w:after="0"/>
              <w:rPr>
                <w:sz w:val="20"/>
                <w:szCs w:val="20"/>
                <w:color w:val="auto"/>
              </w:rPr>
            </w:pPr>
            <w:r>
              <w:rPr>
                <w:rFonts w:ascii="Arial" w:cs="Arial" w:eastAsia="Arial" w:hAnsi="Arial"/>
                <w:sz w:val="13"/>
                <w:szCs w:val="13"/>
                <w:b w:val="1"/>
                <w:bCs w:val="1"/>
                <w:color w:val="auto"/>
              </w:rPr>
              <w:t>Cash, Cash Equivalents and Restricted Cash</w:t>
            </w: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3"/>
        </w:trPr>
        <w:tc>
          <w:tcPr>
            <w:tcW w:w="12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2022</w:t>
            </w:r>
          </w:p>
        </w:tc>
        <w:tc>
          <w:tcPr>
            <w:tcW w:w="340" w:type="dxa"/>
            <w:vAlign w:val="bottom"/>
          </w:tcPr>
          <w:p>
            <w:pPr>
              <w:spacing w:after="0"/>
              <w:rPr>
                <w:sz w:val="16"/>
                <w:szCs w:val="16"/>
                <w:color w:val="auto"/>
              </w:rPr>
            </w:pPr>
          </w:p>
        </w:tc>
        <w:tc>
          <w:tcPr>
            <w:tcW w:w="1580" w:type="dxa"/>
            <w:vAlign w:val="bottom"/>
          </w:tcPr>
          <w:p>
            <w:pPr>
              <w:jc w:val="right"/>
              <w:ind w:right="293"/>
              <w:spacing w:after="0"/>
              <w:rPr>
                <w:sz w:val="20"/>
                <w:szCs w:val="20"/>
                <w:color w:val="auto"/>
              </w:rPr>
            </w:pPr>
            <w:r>
              <w:rPr>
                <w:rFonts w:ascii="Arial" w:cs="Arial" w:eastAsia="Arial" w:hAnsi="Arial"/>
                <w:sz w:val="13"/>
                <w:szCs w:val="13"/>
                <w:b w:val="1"/>
                <w:bCs w:val="1"/>
                <w:color w:val="auto"/>
              </w:rPr>
              <w:t>December 31, 2021</w:t>
            </w:r>
          </w:p>
        </w:tc>
      </w:tr>
      <w:tr>
        <w:trPr>
          <w:trHeight w:val="173"/>
        </w:trPr>
        <w:tc>
          <w:tcPr>
            <w:tcW w:w="120" w:type="dxa"/>
            <w:vAlign w:val="bottom"/>
          </w:tcPr>
          <w:p>
            <w:pPr>
              <w:spacing w:after="0"/>
              <w:rPr>
                <w:sz w:val="15"/>
                <w:szCs w:val="15"/>
                <w:color w:val="auto"/>
              </w:rPr>
            </w:pPr>
          </w:p>
        </w:tc>
        <w:tc>
          <w:tcPr>
            <w:tcW w:w="7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4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163,615</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173,197</w:t>
            </w:r>
          </w:p>
        </w:tc>
      </w:tr>
      <w:tr>
        <w:trPr>
          <w:trHeight w:val="173"/>
        </w:trPr>
        <w:tc>
          <w:tcPr>
            <w:tcW w:w="120" w:type="dxa"/>
            <w:vAlign w:val="bottom"/>
          </w:tcPr>
          <w:p>
            <w:pPr>
              <w:spacing w:after="0"/>
              <w:rPr>
                <w:sz w:val="15"/>
                <w:szCs w:val="15"/>
                <w:color w:val="auto"/>
              </w:rPr>
            </w:pPr>
          </w:p>
        </w:tc>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Restricted cash</w:t>
            </w: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w:t>
            </w:r>
          </w:p>
        </w:tc>
      </w:tr>
      <w:tr>
        <w:trPr>
          <w:trHeight w:val="195"/>
        </w:trPr>
        <w:tc>
          <w:tcPr>
            <w:tcW w:w="120" w:type="dxa"/>
            <w:vAlign w:val="bottom"/>
          </w:tcPr>
          <w:p>
            <w:pPr>
              <w:spacing w:after="0"/>
              <w:rPr>
                <w:sz w:val="16"/>
                <w:szCs w:val="16"/>
                <w:color w:val="auto"/>
              </w:rPr>
            </w:pPr>
          </w:p>
        </w:tc>
        <w:tc>
          <w:tcPr>
            <w:tcW w:w="7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Total cash, cash equivalents and restricted cash</w:t>
            </w:r>
          </w:p>
        </w:tc>
        <w:tc>
          <w:tcPr>
            <w:tcW w:w="4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164,364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173,946</w:t>
            </w:r>
          </w:p>
        </w:tc>
      </w:tr>
      <w:tr>
        <w:trPr>
          <w:trHeight w:val="20"/>
        </w:trPr>
        <w:tc>
          <w:tcPr>
            <w:tcW w:w="1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Description of Business and Summary of Significant Accounting Policies</w:t>
      </w:r>
    </w:p>
    <w:p>
      <w:pPr>
        <w:spacing w:after="0" w:line="209" w:lineRule="exact"/>
        <w:rPr>
          <w:sz w:val="20"/>
          <w:szCs w:val="20"/>
          <w:color w:val="auto"/>
        </w:rPr>
      </w:pPr>
    </w:p>
    <w:p>
      <w:pPr>
        <w:jc w:val="both"/>
        <w:ind w:firstLine="413"/>
        <w:spacing w:after="0" w:line="249" w:lineRule="auto"/>
        <w:rPr>
          <w:sz w:val="20"/>
          <w:szCs w:val="20"/>
          <w:color w:val="auto"/>
        </w:rPr>
      </w:pPr>
      <w:r>
        <w:rPr>
          <w:rFonts w:ascii="Arial" w:cs="Arial" w:eastAsia="Arial" w:hAnsi="Arial"/>
          <w:sz w:val="17"/>
          <w:szCs w:val="17"/>
          <w:color w:val="auto"/>
        </w:rPr>
        <w:t>Veracyte, Inc., or Veracyte, or the Company, is a global diagnostics company that improves patient care by answering important clinical questions to inform diagnosis and treatment decisions throughout the patient journey in cancer and other diseases. The Company’s menu of tests leverage advances in genomic science and machine learning technology to influence care for patients, enabling them to avoid unnecessary and potentially harmful procedures and interventions, and accelerate time to more appropriate treatment. In addition to making its tests available in the United States through its central laboratories, the Company believes its exclusive diagnostic access to the nCounter Analysis System positions the company to deliver tests to patients worldwide through laboratories and hospitals that can perform them locally.</w:t>
      </w:r>
    </w:p>
    <w:p>
      <w:pPr>
        <w:spacing w:after="0" w:line="209" w:lineRule="exact"/>
        <w:rPr>
          <w:sz w:val="20"/>
          <w:szCs w:val="20"/>
          <w:color w:val="auto"/>
        </w:rPr>
      </w:pPr>
    </w:p>
    <w:p>
      <w:pPr>
        <w:jc w:val="both"/>
        <w:ind w:firstLine="300"/>
        <w:spacing w:after="0" w:line="273" w:lineRule="auto"/>
        <w:rPr>
          <w:sz w:val="20"/>
          <w:szCs w:val="20"/>
          <w:color w:val="auto"/>
        </w:rPr>
      </w:pPr>
      <w:r>
        <w:rPr>
          <w:rFonts w:ascii="Arial" w:cs="Arial" w:eastAsia="Arial" w:hAnsi="Arial"/>
          <w:sz w:val="16"/>
          <w:szCs w:val="16"/>
          <w:color w:val="auto"/>
        </w:rPr>
        <w:t>Veracyte was incorporated in the state of Delaware on August 15, 2006, as Calderome, Inc. Calderome operated as an incubator until early 2008. On March 4, 2008, the Company changed its name to Veracyte, Inc. The Company’s headquarters are South San Francisco, California, and it also has operations in San Diego, California; Austin, Texas; Richmond, Virginia; Vancouver, Canada; and Marseille, France. It performs diagnostic testing in its Clinical Laboratory Improvement Amendments of 1988, or CLIA, certified laboratories in South San Francisco, San Diego, Austin, Richmond and Marseille.</w:t>
      </w:r>
    </w:p>
    <w:p>
      <w:pPr>
        <w:spacing w:after="0" w:line="189" w:lineRule="exact"/>
        <w:rPr>
          <w:sz w:val="20"/>
          <w:szCs w:val="20"/>
          <w:color w:val="auto"/>
        </w:rPr>
      </w:pPr>
    </w:p>
    <w:p>
      <w:pPr>
        <w:jc w:val="both"/>
        <w:ind w:firstLine="300"/>
        <w:spacing w:after="0" w:line="273" w:lineRule="auto"/>
        <w:rPr>
          <w:sz w:val="20"/>
          <w:szCs w:val="20"/>
          <w:color w:val="auto"/>
        </w:rPr>
      </w:pPr>
      <w:r>
        <w:rPr>
          <w:rFonts w:ascii="Arial" w:cs="Arial" w:eastAsia="Arial" w:hAnsi="Arial"/>
          <w:sz w:val="16"/>
          <w:szCs w:val="16"/>
          <w:color w:val="auto"/>
        </w:rPr>
        <w:t>Veracyte’s foundational approach for its tests begins with determining what clinical questions need to be answered in order to inform what happens next for the patient. The Company deploys rigorous science and technology to develop and validate its tests and collects extensive clinical utility data to demonstrate their ability to influence care. This approach has enabled the Company to obtain Medicare reimbursement for many of its commercially available tests. The Company positions its tests to integrate seamlessly into the way physicians currently evaluate patients, to facilitate adoption.</w:t>
      </w:r>
    </w:p>
    <w:p>
      <w:pPr>
        <w:spacing w:after="0" w:line="189" w:lineRule="exact"/>
        <w:rPr>
          <w:sz w:val="20"/>
          <w:szCs w:val="20"/>
          <w:color w:val="auto"/>
        </w:rPr>
      </w:pPr>
    </w:p>
    <w:p>
      <w:pPr>
        <w:jc w:val="both"/>
        <w:ind w:firstLine="300"/>
        <w:spacing w:after="0" w:line="252" w:lineRule="auto"/>
        <w:rPr>
          <w:sz w:val="20"/>
          <w:szCs w:val="20"/>
          <w:color w:val="auto"/>
        </w:rPr>
      </w:pPr>
      <w:r>
        <w:rPr>
          <w:rFonts w:ascii="Arial" w:cs="Arial" w:eastAsia="Arial" w:hAnsi="Arial"/>
          <w:sz w:val="17"/>
          <w:szCs w:val="17"/>
          <w:color w:val="auto"/>
        </w:rPr>
        <w:t>Veracyte currently offers genomic tests, which it believes are changing patient care in thyroid cancer (Afirma); prostate and bladder cancers (Decipher); breast cancer (Prosigna); lung cancer (Percepta); and interstitial lung diseases, or ILD, including idiopathic pulmonary fibrosis, or IPF (Envisia). The Company’s commercially available tests in each of these indications are covered by Medicare. Additionally, through its acquisition of HalioDx, the Company also offers a clinically validated immuno-oncology test in colon cancer (Immunoscore).</w:t>
      </w:r>
    </w:p>
    <w:p>
      <w:pPr>
        <w:spacing w:after="0" w:line="205" w:lineRule="exact"/>
        <w:rPr>
          <w:sz w:val="20"/>
          <w:szCs w:val="20"/>
          <w:color w:val="auto"/>
        </w:rPr>
      </w:pPr>
    </w:p>
    <w:p>
      <w:pPr>
        <w:jc w:val="both"/>
        <w:ind w:firstLine="300"/>
        <w:spacing w:after="0" w:line="267" w:lineRule="auto"/>
        <w:rPr>
          <w:sz w:val="20"/>
          <w:szCs w:val="20"/>
          <w:color w:val="auto"/>
        </w:rPr>
      </w:pPr>
      <w:r>
        <w:rPr>
          <w:rFonts w:ascii="Arial" w:cs="Arial" w:eastAsia="Arial" w:hAnsi="Arial"/>
          <w:sz w:val="16"/>
          <w:szCs w:val="16"/>
          <w:color w:val="auto"/>
        </w:rPr>
        <w:t>The Company performs its genomic tests for thyroid cancer, lung cancer and IPF in its CLIA-certified laboratory in South San Francisco, California, and its genomic tests for prostate and bladder cancer in its College of American Pathologists, or CAP, accredited and CLIA-certified laboratory in San Diego, California. In 2019, the Company acquired from NanoString Technologies, Inc. or NanoString, the exclusive global diagnostics license to the nCounter Analysis System and the Prosigna Breast Cancer Prognostic Gene Signature Assay, which is commercially available, along with the LymphMark lymphoma subtyping assay, which is in development for use as a companion diagnostic with Acerta Pharma’s and AstraZeneca’s Calquence. Both tests are designed for use on the nCounter Analysis System. The Prosigna test kits and associated products are sold to laboratories and hospitals globally. Additionally, the Company’s Immunoscore Colon Cancer test is performed in Veracyte’s CLIA-certified laboratories in Marseille, France, and Richmond, Virginia.</w:t>
      </w:r>
    </w:p>
    <w:p>
      <w:pPr>
        <w:spacing w:after="0" w:line="194" w:lineRule="exact"/>
        <w:rPr>
          <w:sz w:val="20"/>
          <w:szCs w:val="20"/>
          <w:color w:val="auto"/>
        </w:rPr>
      </w:pPr>
    </w:p>
    <w:p>
      <w:pPr>
        <w:jc w:val="both"/>
        <w:ind w:firstLine="300"/>
        <w:spacing w:after="0" w:line="252" w:lineRule="auto"/>
        <w:rPr>
          <w:sz w:val="20"/>
          <w:szCs w:val="20"/>
          <w:color w:val="auto"/>
        </w:rPr>
      </w:pPr>
      <w:r>
        <w:rPr>
          <w:rFonts w:ascii="Arial" w:cs="Arial" w:eastAsia="Arial" w:hAnsi="Arial"/>
          <w:sz w:val="17"/>
          <w:szCs w:val="17"/>
          <w:color w:val="auto"/>
        </w:rPr>
        <w:t>Veracyte’s scientific approach and capabilities in genomics and immuno-oncology also provide multiple opportunities for partnerships with biopharmaceutical and diagnostic companies. In developing and commercializing its products, the Company has built or gained access to unique data and sample biorepositories, as well as proprietary technology and bioinformatics that it believes are important to the development of new targeted therapies, determining clinical trial eligibility and guiding treatment selection.</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05" w:lineRule="exact"/>
        <w:rPr>
          <w:sz w:val="20"/>
          <w:szCs w:val="20"/>
          <w:color w:val="auto"/>
        </w:rPr>
      </w:pPr>
    </w:p>
    <w:p>
      <w:pPr>
        <w:jc w:val="both"/>
        <w:ind w:firstLine="300"/>
        <w:spacing w:after="0" w:line="287" w:lineRule="auto"/>
        <w:rPr>
          <w:sz w:val="20"/>
          <w:szCs w:val="20"/>
          <w:color w:val="auto"/>
        </w:rPr>
      </w:pPr>
      <w:r>
        <w:rPr>
          <w:rFonts w:ascii="Arial" w:cs="Arial" w:eastAsia="Arial" w:hAnsi="Arial"/>
          <w:sz w:val="15"/>
          <w:szCs w:val="15"/>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March 31, 2022, the condensed consolidated statements of operations for the three months ended March 31, 2022 and 2021, the condensed consolidated statements of comprehensive loss for the three months ended March 31, 2022 and 2021, the condensed consolidated statements of stockholders' equity for the three months ended March 31, 2022 and 2021, and the condensed consolidated statements of cash flows for the three months ended March 31, 2022 and 2021 are unaudited, but include all adjustments, consisting only of normal recurring adjustments, which the Company considers necessary for a fair presentation of its financial position, operating results, stockholders' equity and cash flows for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9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periods presented. The condensed consolidated balance sheet as of December 31, 2021 has been derived from audited financial statements. The results for the three months ended March 31, 2022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180" w:lineRule="exact"/>
        <w:rPr>
          <w:sz w:val="20"/>
          <w:szCs w:val="20"/>
          <w:color w:val="auto"/>
        </w:rPr>
      </w:pPr>
    </w:p>
    <w:p>
      <w:pPr>
        <w:jc w:val="both"/>
        <w:ind w:firstLine="300"/>
        <w:spacing w:after="0" w:line="256" w:lineRule="auto"/>
        <w:rPr>
          <w:sz w:val="20"/>
          <w:szCs w:val="20"/>
          <w:color w:val="auto"/>
        </w:rPr>
      </w:pPr>
      <w:r>
        <w:rPr>
          <w:rFonts w:ascii="Arial" w:cs="Arial" w:eastAsia="Arial" w:hAnsi="Arial"/>
          <w:sz w:val="17"/>
          <w:szCs w:val="17"/>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5" w:lineRule="exact"/>
        <w:rPr>
          <w:sz w:val="20"/>
          <w:szCs w:val="20"/>
          <w:color w:val="auto"/>
        </w:rPr>
      </w:pPr>
    </w:p>
    <w:p>
      <w:pPr>
        <w:jc w:val="both"/>
        <w:ind w:firstLine="300"/>
        <w:spacing w:after="0" w:line="286" w:lineRule="auto"/>
        <w:rPr>
          <w:sz w:val="20"/>
          <w:szCs w:val="20"/>
          <w:color w:val="auto"/>
        </w:rPr>
      </w:pPr>
      <w:r>
        <w:rPr>
          <w:rFonts w:ascii="Arial" w:cs="Arial" w:eastAsia="Arial" w:hAnsi="Arial"/>
          <w:sz w:val="15"/>
          <w:szCs w:val="15"/>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and equipment; the recoverability of long-lived assets; the incremental borrowing rate for leases; accounting for acquisitions; the estimation of the fair value of intangible assets and contingent consideration; stock based compensation; income tax uncertainties, including a valuation allowance for deferred tax assets; an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05" w:lineRule="exact"/>
        <w:rPr>
          <w:sz w:val="20"/>
          <w:szCs w:val="20"/>
          <w:color w:val="auto"/>
        </w:rPr>
      </w:pPr>
    </w:p>
    <w:p>
      <w:pPr>
        <w:jc w:val="both"/>
        <w:ind w:firstLine="300"/>
        <w:spacing w:after="0" w:line="292" w:lineRule="auto"/>
        <w:rPr>
          <w:sz w:val="20"/>
          <w:szCs w:val="20"/>
          <w:color w:val="auto"/>
        </w:rPr>
      </w:pPr>
      <w:r>
        <w:rPr>
          <w:rFonts w:ascii="Arial" w:cs="Arial" w:eastAsia="Arial" w:hAnsi="Arial"/>
          <w:sz w:val="15"/>
          <w:szCs w:val="15"/>
          <w:color w:val="auto"/>
        </w:rPr>
        <w:t>The worldwide spread of coronavirus, or COVID-19, has created significant uncertainty in the global economy. There have been no comparable recent events that provide guidance as to the effect the spread of COVID-19 as a global pandemic may have.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 supplies, goodwill and intangibles may be adversely affected. The Company considers the effects, to the extent knowable, of the COVID-19 pandemic in developing our estimates.</w:t>
      </w:r>
    </w:p>
    <w:p>
      <w:pPr>
        <w:spacing w:after="0" w:line="152" w:lineRule="exact"/>
        <w:rPr>
          <w:sz w:val="20"/>
          <w:szCs w:val="20"/>
          <w:color w:val="auto"/>
        </w:rPr>
      </w:pPr>
    </w:p>
    <w:p>
      <w:pPr>
        <w:jc w:val="both"/>
        <w:ind w:firstLine="300"/>
        <w:spacing w:after="0" w:line="256" w:lineRule="auto"/>
        <w:rPr>
          <w:sz w:val="20"/>
          <w:szCs w:val="20"/>
          <w:color w:val="auto"/>
        </w:rPr>
      </w:pPr>
      <w:r>
        <w:rPr>
          <w:rFonts w:ascii="Arial" w:cs="Arial" w:eastAsia="Arial" w:hAnsi="Arial"/>
          <w:sz w:val="17"/>
          <w:szCs w:val="17"/>
          <w:color w:val="auto"/>
        </w:rPr>
        <w:t>The majority of the Company’s cash and cash equivalents are deposited with one major financial institution in the United States. Deposits in this institution may exceed the amount of insurance provided on such deposits. The Company has not realized any losses on its deposits of cash and cash equivalents other than exchange rate losses related to foreign currency denominated accounts.</w:t>
      </w:r>
    </w:p>
    <w:p>
      <w:pPr>
        <w:spacing w:after="0" w:line="175" w:lineRule="exact"/>
        <w:rPr>
          <w:sz w:val="20"/>
          <w:szCs w:val="20"/>
          <w:color w:val="auto"/>
        </w:rPr>
      </w:pPr>
    </w:p>
    <w:p>
      <w:pPr>
        <w:jc w:val="both"/>
        <w:ind w:firstLine="300"/>
        <w:spacing w:after="0" w:line="279" w:lineRule="auto"/>
        <w:rPr>
          <w:sz w:val="20"/>
          <w:szCs w:val="20"/>
          <w:color w:val="auto"/>
        </w:rPr>
      </w:pPr>
      <w:r>
        <w:rPr>
          <w:rFonts w:ascii="Arial" w:cs="Arial" w:eastAsia="Arial" w:hAnsi="Arial"/>
          <w:sz w:val="16"/>
          <w:szCs w:val="16"/>
          <w:color w:val="auto"/>
        </w:rPr>
        <w:t>Several of the components of the Company’s sample collection kits and test reagents, and the nCounter system and related diagnostic kits, are obtained from single-source suppliers. If these single-source suppliers fail to satisfy the Company’s requirements on a timely basis, the Company could suffer delays in being able to deliver its diagnostic solutions, suffer a possible loss of revenue, or incur higher costs, any of which could adversely affect its operating results.</w:t>
      </w:r>
    </w:p>
    <w:p>
      <w:pPr>
        <w:spacing w:after="0" w:line="159" w:lineRule="exact"/>
        <w:rPr>
          <w:sz w:val="20"/>
          <w:szCs w:val="20"/>
          <w:color w:val="auto"/>
        </w:rPr>
      </w:pPr>
    </w:p>
    <w:p>
      <w:pPr>
        <w:jc w:val="both"/>
        <w:ind w:firstLine="300"/>
        <w:spacing w:after="0" w:line="266" w:lineRule="auto"/>
        <w:rPr>
          <w:sz w:val="20"/>
          <w:szCs w:val="20"/>
          <w:color w:val="auto"/>
        </w:rPr>
      </w:pPr>
      <w:r>
        <w:rPr>
          <w:rFonts w:ascii="Arial" w:cs="Arial" w:eastAsia="Arial" w:hAnsi="Arial"/>
          <w:sz w:val="17"/>
          <w:szCs w:val="17"/>
          <w:color w:val="auto"/>
        </w:rPr>
        <w:t>Through March 31, 2022, most of the Company’s revenue has been derived from the sale of Afirma and Decipher testing. To date, Afirma and Decipher testing have been delivered primarily to physicians in the United States.</w:t>
      </w:r>
    </w:p>
    <w:p>
      <w:pPr>
        <w:spacing w:after="0" w:line="192" w:lineRule="exact"/>
        <w:rPr>
          <w:sz w:val="20"/>
          <w:szCs w:val="20"/>
          <w:color w:val="auto"/>
        </w:rPr>
      </w:pPr>
    </w:p>
    <w:p>
      <w:pPr>
        <w:jc w:val="both"/>
        <w:ind w:firstLine="300"/>
        <w:spacing w:after="0" w:line="292" w:lineRule="auto"/>
        <w:rPr>
          <w:sz w:val="20"/>
          <w:szCs w:val="20"/>
          <w:color w:val="auto"/>
        </w:rPr>
      </w:pPr>
      <w:r>
        <w:rPr>
          <w:rFonts w:ascii="Arial" w:cs="Arial" w:eastAsia="Arial" w:hAnsi="Arial"/>
          <w:sz w:val="15"/>
          <w:szCs w:val="15"/>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March 31, 2022.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9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Company’s third-party payers and other customers in excess of 10% of total revenue and their related revenue as a percentage of total revenue were as follows:</w:t>
      </w:r>
    </w:p>
    <w:p>
      <w:pPr>
        <w:spacing w:after="0" w:line="353" w:lineRule="exact"/>
        <w:rPr>
          <w:sz w:val="20"/>
          <w:szCs w:val="20"/>
          <w:color w:val="auto"/>
        </w:rPr>
      </w:pPr>
    </w:p>
    <w:tbl>
      <w:tblPr>
        <w:tblLayout w:type="fixed"/>
        <w:tblInd w:w="176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54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5"/>
                <w:szCs w:val="15"/>
                <w:b w:val="1"/>
                <w:bCs w:val="1"/>
                <w:color w:val="auto"/>
              </w:rPr>
              <w:t>Three Months Ended March 31,</w:t>
            </w:r>
          </w:p>
        </w:tc>
      </w:tr>
      <w:tr>
        <w:trPr>
          <w:trHeight w:val="193"/>
        </w:trPr>
        <w:tc>
          <w:tcPr>
            <w:tcW w:w="42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b w:val="1"/>
                <w:bCs w:val="1"/>
                <w:color w:val="auto"/>
              </w:rPr>
              <w:t>2021</w:t>
            </w: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Medicare</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r>
      <w:tr>
        <w:trPr>
          <w:trHeight w:val="197"/>
        </w:trPr>
        <w:tc>
          <w:tcPr>
            <w:tcW w:w="42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UnitedHealthcare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9 %</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11 %</w:t>
            </w:r>
          </w:p>
        </w:tc>
      </w:tr>
      <w:tr>
        <w:trPr>
          <w:trHeight w:val="218"/>
        </w:trPr>
        <w:tc>
          <w:tcPr>
            <w:tcW w:w="4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both"/>
        <w:ind w:firstLine="300"/>
        <w:spacing w:after="0" w:line="266" w:lineRule="auto"/>
        <w:rPr>
          <w:sz w:val="20"/>
          <w:szCs w:val="20"/>
          <w:color w:val="auto"/>
        </w:rPr>
      </w:pPr>
      <w:r>
        <w:rPr>
          <w:rFonts w:ascii="Arial" w:cs="Arial" w:eastAsia="Arial" w:hAnsi="Arial"/>
          <w:sz w:val="17"/>
          <w:szCs w:val="17"/>
          <w:color w:val="auto"/>
        </w:rPr>
        <w:t>The Company’s third-party payers and other customers in excess of 10% of accounts receivable and their related accounts receivable balance as a percentage of total accounts receivable were as follows at the following dates: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5"/>
                <w:szCs w:val="15"/>
                <w:b w:val="1"/>
                <w:bCs w:val="1"/>
                <w:color w:val="auto"/>
                <w:w w:val="97"/>
              </w:rPr>
              <w:t>March 31, 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b w:val="1"/>
                <w:bCs w:val="1"/>
                <w:color w:val="auto"/>
              </w:rPr>
              <w:t>December 31, 2021</w:t>
            </w:r>
          </w:p>
        </w:tc>
      </w:tr>
      <w:tr>
        <w:trPr>
          <w:trHeight w:val="196"/>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Medicare</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12 %</w:t>
            </w:r>
          </w:p>
        </w:tc>
      </w:tr>
      <w:tr>
        <w:trPr>
          <w:trHeight w:val="194"/>
        </w:trPr>
        <w:tc>
          <w:tcPr>
            <w:tcW w:w="8760" w:type="dxa"/>
            <w:vAlign w:val="bottom"/>
            <w:gridSpan w:val="2"/>
          </w:tcPr>
          <w:p>
            <w:pPr>
              <w:ind w:left="20"/>
              <w:spacing w:after="0"/>
              <w:rPr>
                <w:sz w:val="20"/>
                <w:szCs w:val="20"/>
                <w:color w:val="auto"/>
              </w:rPr>
            </w:pPr>
            <w:r>
              <w:rPr>
                <w:rFonts w:ascii="Arial" w:cs="Arial" w:eastAsia="Arial" w:hAnsi="Arial"/>
                <w:sz w:val="15"/>
                <w:szCs w:val="15"/>
                <w:color w:val="auto"/>
              </w:rPr>
              <w:t>UnitedHealthcare</w:t>
            </w:r>
          </w:p>
        </w:tc>
        <w:tc>
          <w:tcPr>
            <w:tcW w:w="400" w:type="dxa"/>
            <w:vAlign w:val="bottom"/>
          </w:tcPr>
          <w:p>
            <w:pPr>
              <w:jc w:val="right"/>
              <w:spacing w:after="0"/>
              <w:rPr>
                <w:sz w:val="20"/>
                <w:szCs w:val="20"/>
                <w:color w:val="auto"/>
              </w:rPr>
            </w:pPr>
            <w:r>
              <w:rPr>
                <w:rFonts w:ascii="Arial" w:cs="Arial" w:eastAsia="Arial" w:hAnsi="Arial"/>
                <w:sz w:val="15"/>
                <w:szCs w:val="15"/>
                <w:color w:val="auto"/>
              </w:rPr>
              <w:t>10 %</w:t>
            </w:r>
          </w:p>
        </w:tc>
        <w:tc>
          <w:tcPr>
            <w:tcW w:w="10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9 %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05" w:lineRule="exact"/>
        <w:rPr>
          <w:sz w:val="20"/>
          <w:szCs w:val="20"/>
          <w:color w:val="auto"/>
        </w:rPr>
      </w:pPr>
    </w:p>
    <w:p>
      <w:pPr>
        <w:jc w:val="both"/>
        <w:ind w:firstLine="300"/>
        <w:spacing w:after="0" w:line="266" w:lineRule="auto"/>
        <w:rPr>
          <w:sz w:val="20"/>
          <w:szCs w:val="20"/>
          <w:color w:val="auto"/>
        </w:rPr>
      </w:pPr>
      <w:r>
        <w:rPr>
          <w:rFonts w:ascii="Arial" w:cs="Arial" w:eastAsia="Arial" w:hAnsi="Arial"/>
          <w:sz w:val="17"/>
          <w:szCs w:val="17"/>
          <w:color w:val="auto"/>
        </w:rPr>
        <w:t>The Company considers demand deposits in a bank, money market funds and highly liquid investments with an original maturity of 90 days or less to be cash equivalents.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05" w:lineRule="exact"/>
        <w:rPr>
          <w:sz w:val="20"/>
          <w:szCs w:val="20"/>
          <w:color w:val="auto"/>
        </w:rPr>
      </w:pPr>
    </w:p>
    <w:p>
      <w:pPr>
        <w:jc w:val="both"/>
        <w:ind w:firstLine="300"/>
        <w:spacing w:after="0" w:line="266" w:lineRule="auto"/>
        <w:rPr>
          <w:sz w:val="20"/>
          <w:szCs w:val="20"/>
          <w:color w:val="auto"/>
        </w:rPr>
      </w:pPr>
      <w:r>
        <w:rPr>
          <w:rFonts w:ascii="Arial" w:cs="Arial" w:eastAsia="Arial" w:hAnsi="Arial"/>
          <w:sz w:val="17"/>
          <w:szCs w:val="17"/>
          <w:color w:val="auto"/>
        </w:rPr>
        <w:t>The Company had deposits of $749,000 included in long-term assets as of both March 31, 2022 and December 31, 2021, restricted from withdrawal and held by banks in the form of collateral for irrevocable standby letters of credit held as security for the Company's leases.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5"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 xml:space="preserve">The Company recognizes revenue in accordance with the provisions of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09"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Testing Revenue</w:t>
      </w:r>
    </w:p>
    <w:p>
      <w:pPr>
        <w:spacing w:after="0" w:line="221"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Company bills for testing services at the time of test completion as defined by the delivery of test results. The Company recognizes revenue based on estimates of the amount that will ultimately be realized. In determining the amount 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9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159" w:lineRule="exact"/>
        <w:rPr>
          <w:sz w:val="20"/>
          <w:szCs w:val="20"/>
          <w:color w:val="auto"/>
        </w:rPr>
      </w:pPr>
    </w:p>
    <w:p>
      <w:pPr>
        <w:jc w:val="both"/>
        <w:ind w:firstLine="300"/>
        <w:spacing w:after="0" w:line="306" w:lineRule="auto"/>
        <w:rPr>
          <w:sz w:val="20"/>
          <w:szCs w:val="20"/>
          <w:color w:val="auto"/>
        </w:rPr>
      </w:pPr>
      <w:r>
        <w:rPr>
          <w:rFonts w:ascii="Arial" w:cs="Arial" w:eastAsia="Arial" w:hAnsi="Arial"/>
          <w:sz w:val="15"/>
          <w:szCs w:val="15"/>
          <w:color w:val="auto"/>
        </w:rPr>
        <w:t>During 2022, the Company changed its revenue estimates due to actual and anticipated cash collections for tests delivered in prior quarters and recognized additional revenue of $0.9 million for the three months ended March 31, 2022. These adjustments resulted in decreases in the Company's loss from operations of $0.9 million for the three months ended March 31, 2022 and a decrease in basic and diluted net loss per share of $0.01 for the three months ended March 31, 2022.</w:t>
      </w:r>
    </w:p>
    <w:p>
      <w:pPr>
        <w:spacing w:after="0" w:line="141" w:lineRule="exact"/>
        <w:rPr>
          <w:sz w:val="20"/>
          <w:szCs w:val="20"/>
          <w:color w:val="auto"/>
        </w:rPr>
      </w:pPr>
    </w:p>
    <w:p>
      <w:pPr>
        <w:jc w:val="both"/>
        <w:ind w:firstLine="300"/>
        <w:spacing w:after="0" w:line="256" w:lineRule="auto"/>
        <w:rPr>
          <w:sz w:val="20"/>
          <w:szCs w:val="20"/>
          <w:color w:val="auto"/>
        </w:rPr>
      </w:pPr>
      <w:r>
        <w:rPr>
          <w:rFonts w:ascii="Arial" w:cs="Arial" w:eastAsia="Arial" w:hAnsi="Arial"/>
          <w:sz w:val="17"/>
          <w:szCs w:val="17"/>
          <w:color w:val="auto"/>
        </w:rPr>
        <w:t>During 2021, the Company changed its revenue estimates due to actual and anticipated cash collections for tests delivered in prior quarters and recognized additional revenue of $0.2 million for the three months ended March 31, 2021. These adjustments resulted in decreases in the Company's loss from operations of $0.2 million and no change in basic and diluted net loss per share for the three months ended March 31, 2021.</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Product Revenue</w:t>
      </w:r>
    </w:p>
    <w:p>
      <w:pPr>
        <w:spacing w:after="0" w:line="221"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The Company's products consist of the Prosigna breast cancer assay, the nCounter Analysis System and related diagnostic kits. Product revenue from instruments and diagnostic kits is recognized generally upon shipment or when the instrument is ready for use by the end customer. Shipping and handling costs incurred for product shipments are included in product revenue. Revenue is presented net of the taxes that are collected from customers and remitted to governmental authorities. There was no revenue from instrument sales for either of the three months ended March 31, 2022 or 2021.</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Biopharmaceutical and Other Revenue</w:t>
      </w:r>
    </w:p>
    <w:p>
      <w:pPr>
        <w:spacing w:after="0" w:line="221"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The Company enters into arrangements for biopharmaceutical research and development, commercialization, contract manufacturing and contract testing services which are classified under biopharmaceutical and other revenue. Such arrangements may require the Company to deliver various rights, manufactured diagnostic test kits, services and/or samples, including intellectual property rights/licenses, biopharmaceutical research and development services, and/or commercialization services. The Company receives consideration in the form of upfront license fees; payments on delivery of data, test results or manufactured products; costs of service plus margin; and development and commercial performance milestone payments.</w:t>
      </w:r>
    </w:p>
    <w:p>
      <w:pPr>
        <w:spacing w:after="0" w:line="1"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181"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6"/>
          <w:szCs w:val="16"/>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Arial" w:cs="Arial" w:eastAsia="Arial" w:hAnsi="Arial"/>
          <w:sz w:val="16"/>
          <w:szCs w:val="16"/>
          <w:i w:val="1"/>
          <w:iCs w:val="1"/>
          <w:color w:val="auto"/>
        </w:rPr>
        <w:t>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w:t>
      </w:r>
      <w:r>
        <w:rPr>
          <w:rFonts w:ascii="Arial" w:cs="Arial" w:eastAsia="Arial" w:hAnsi="Arial"/>
          <w:sz w:val="16"/>
          <w:szCs w:val="16"/>
          <w:color w:val="auto"/>
        </w:rPr>
        <w:t>, or ASC 808. These milestone payments are recognized in the same manner as milestone payments from customers and are classified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biopharmaceutical and other revenue.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93" w:lineRule="exact"/>
        <w:rPr>
          <w:sz w:val="20"/>
          <w:szCs w:val="20"/>
          <w:color w:val="auto"/>
        </w:rPr>
      </w:pPr>
    </w:p>
    <w:p>
      <w:pPr>
        <w:jc w:val="both"/>
        <w:ind w:firstLine="375"/>
        <w:spacing w:after="0" w:line="277" w:lineRule="auto"/>
        <w:rPr>
          <w:sz w:val="20"/>
          <w:szCs w:val="20"/>
          <w:color w:val="auto"/>
        </w:rPr>
      </w:pPr>
      <w:r>
        <w:rPr>
          <w:rFonts w:ascii="Arial" w:cs="Arial" w:eastAsia="Arial" w:hAnsi="Arial"/>
          <w:sz w:val="16"/>
          <w:szCs w:val="16"/>
          <w:color w:val="auto"/>
        </w:rPr>
        <w:t>Accounts receivable from biopharmaceutical and other revenue was $9.4 million at March 31, 2022 and $11.6 million at December 31, 2021. There was $4.9 million and $5.0 million of deferred revenue related to these agreements at March 31, 2022 and December 31, 2021, respectively. Revenue included in biopharmaceutical and other revenue for the three months ended March 31, 2022 and 2021 was as follows (in thousands of dollars):</w:t>
      </w:r>
    </w:p>
    <w:p>
      <w:pPr>
        <w:spacing w:after="0" w:line="1" w:lineRule="exact"/>
        <w:rPr>
          <w:sz w:val="20"/>
          <w:szCs w:val="20"/>
          <w:color w:val="auto"/>
        </w:rPr>
      </w:pPr>
    </w:p>
    <w:tbl>
      <w:tblPr>
        <w:tblLayout w:type="fixed"/>
        <w:tblInd w:w="210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40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5"/>
                <w:szCs w:val="15"/>
                <w:b w:val="1"/>
                <w:bCs w:val="1"/>
                <w:color w:val="auto"/>
              </w:rPr>
              <w:t>Three Months Ended March 31,</w:t>
            </w:r>
          </w:p>
        </w:tc>
        <w:tc>
          <w:tcPr>
            <w:tcW w:w="440" w:type="dxa"/>
            <w:vAlign w:val="bottom"/>
            <w:tcBorders>
              <w:bottom w:val="single" w:sz="8" w:color="auto"/>
            </w:tcBorders>
          </w:tcPr>
          <w:p>
            <w:pPr>
              <w:spacing w:after="0"/>
              <w:rPr>
                <w:sz w:val="17"/>
                <w:szCs w:val="17"/>
                <w:color w:val="auto"/>
              </w:rPr>
            </w:pPr>
          </w:p>
        </w:tc>
      </w:tr>
      <w:tr>
        <w:trPr>
          <w:trHeight w:val="193"/>
        </w:trPr>
        <w:tc>
          <w:tcPr>
            <w:tcW w:w="32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2021</w:t>
            </w:r>
          </w:p>
        </w:tc>
        <w:tc>
          <w:tcPr>
            <w:tcW w:w="440" w:type="dxa"/>
            <w:vAlign w:val="bottom"/>
            <w:tcBorders>
              <w:bottom w:val="single" w:sz="8" w:color="auto"/>
            </w:tcBorders>
          </w:tcPr>
          <w:p>
            <w:pPr>
              <w:spacing w:after="0"/>
              <w:rPr>
                <w:sz w:val="16"/>
                <w:szCs w:val="16"/>
                <w:color w:val="auto"/>
              </w:rPr>
            </w:pPr>
          </w:p>
        </w:tc>
      </w:tr>
      <w:tr>
        <w:trPr>
          <w:trHeight w:val="196"/>
        </w:trPr>
        <w:tc>
          <w:tcPr>
            <w:tcW w:w="32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Development services</w:t>
            </w:r>
          </w:p>
        </w:tc>
        <w:tc>
          <w:tcPr>
            <w:tcW w:w="172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5,931</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845"/>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w:t>
            </w:r>
          </w:p>
        </w:tc>
      </w:tr>
      <w:tr>
        <w:trPr>
          <w:trHeight w:val="197"/>
        </w:trPr>
        <w:tc>
          <w:tcPr>
            <w:tcW w:w="3280" w:type="dxa"/>
            <w:vAlign w:val="bottom"/>
          </w:tcPr>
          <w:p>
            <w:pPr>
              <w:ind w:left="740"/>
              <w:spacing w:after="0"/>
              <w:rPr>
                <w:sz w:val="20"/>
                <w:szCs w:val="20"/>
                <w:color w:val="auto"/>
              </w:rPr>
            </w:pPr>
            <w:r>
              <w:rPr>
                <w:rFonts w:ascii="Arial" w:cs="Arial" w:eastAsia="Arial" w:hAnsi="Arial"/>
                <w:sz w:val="15"/>
                <w:szCs w:val="15"/>
                <w:color w:val="auto"/>
              </w:rPr>
              <w:t>Provision of data</w:t>
            </w:r>
          </w:p>
        </w:tc>
        <w:tc>
          <w:tcPr>
            <w:tcW w:w="17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765</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32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Milestones</w:t>
            </w:r>
          </w:p>
        </w:tc>
        <w:tc>
          <w:tcPr>
            <w:tcW w:w="17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3280" w:type="dxa"/>
            <w:vAlign w:val="bottom"/>
          </w:tcPr>
          <w:p>
            <w:pPr>
              <w:ind w:left="740"/>
              <w:spacing w:after="0"/>
              <w:rPr>
                <w:sz w:val="20"/>
                <w:szCs w:val="20"/>
                <w:color w:val="auto"/>
              </w:rPr>
            </w:pPr>
            <w:r>
              <w:rPr>
                <w:rFonts w:ascii="Arial" w:cs="Arial" w:eastAsia="Arial" w:hAnsi="Arial"/>
                <w:sz w:val="15"/>
                <w:szCs w:val="15"/>
                <w:color w:val="auto"/>
              </w:rPr>
              <w:t>Contract manufacturing</w:t>
            </w:r>
          </w:p>
        </w:tc>
        <w:tc>
          <w:tcPr>
            <w:tcW w:w="17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1,539</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32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Contract testing</w:t>
            </w:r>
          </w:p>
        </w:tc>
        <w:tc>
          <w:tcPr>
            <w:tcW w:w="17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100" w:type="dxa"/>
            <w:vAlign w:val="bottom"/>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6"/>
        </w:trPr>
        <w:tc>
          <w:tcPr>
            <w:tcW w:w="3280" w:type="dxa"/>
            <w:vAlign w:val="bottom"/>
          </w:tcPr>
          <w:p>
            <w:pPr>
              <w:ind w:left="940"/>
              <w:spacing w:after="0"/>
              <w:rPr>
                <w:sz w:val="20"/>
                <w:szCs w:val="20"/>
                <w:color w:val="auto"/>
              </w:rPr>
            </w:pPr>
            <w:r>
              <w:rPr>
                <w:rFonts w:ascii="Arial" w:cs="Arial" w:eastAsia="Arial" w:hAnsi="Arial"/>
                <w:sz w:val="15"/>
                <w:szCs w:val="15"/>
                <w:color w:val="auto"/>
              </w:rPr>
              <w:t>Total</w:t>
            </w:r>
          </w:p>
        </w:tc>
        <w:tc>
          <w:tcPr>
            <w:tcW w:w="172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8,824</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566</w:t>
            </w:r>
          </w:p>
        </w:tc>
      </w:tr>
      <w:tr>
        <w:trPr>
          <w:trHeight w:val="20"/>
        </w:trPr>
        <w:tc>
          <w:tcPr>
            <w:tcW w:w="3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Testing Revenue</w:t>
      </w:r>
    </w:p>
    <w:p>
      <w:pPr>
        <w:spacing w:after="0" w:line="205"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205"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 xml:space="preserve">Cost of product revenue consists primarily of costs of purchasing instruments and diagnostic kits from </w:t>
      </w:r>
      <w:r>
        <w:rPr>
          <w:rFonts w:ascii="Arial" w:cs="Arial" w:eastAsia="Arial" w:hAnsi="Arial"/>
          <w:sz w:val="16"/>
          <w:szCs w:val="16"/>
          <w:i w:val="1"/>
          <w:iCs w:val="1"/>
          <w:color w:val="auto"/>
        </w:rPr>
        <w:t>third</w:t>
      </w:r>
      <w:r>
        <w:rPr>
          <w:rFonts w:ascii="Arial" w:cs="Arial" w:eastAsia="Arial" w:hAnsi="Arial"/>
          <w:sz w:val="16"/>
          <w:szCs w:val="16"/>
          <w:color w:val="auto"/>
        </w:rPr>
        <w:t>-party contract manufacturers, installation, service and packaging and delivery costs. In addition, cost of product includes royalty costs for licensed technologies included in the Company’s products and labor expenses. Cost of product revenue for instruments and diagnostic kits is recognized in the period the related revenue is recognized. Shipping and handling costs incurred for product shipments are included in cost of product in the condensed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Biopharmaceutical and Other Revenue</w:t>
      </w:r>
    </w:p>
    <w:p>
      <w:pPr>
        <w:spacing w:after="0" w:line="20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Cost of biopharmaceutical and other revenue consists of costs of performing activities under arrangements that require the Company to perform biopharmaceutical research and development, commercialization, contract manufacturing and contract testing services on behalf of a customer.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Liability</w:t>
      </w:r>
    </w:p>
    <w:p>
      <w:pPr>
        <w:spacing w:after="0" w:line="230" w:lineRule="exact"/>
        <w:rPr>
          <w:sz w:val="20"/>
          <w:szCs w:val="20"/>
          <w:color w:val="auto"/>
        </w:rPr>
      </w:pPr>
    </w:p>
    <w:p>
      <w:pPr>
        <w:jc w:val="both"/>
        <w:ind w:firstLine="375"/>
        <w:spacing w:after="0" w:line="334" w:lineRule="auto"/>
        <w:rPr>
          <w:sz w:val="20"/>
          <w:szCs w:val="20"/>
          <w:color w:val="auto"/>
        </w:rPr>
      </w:pPr>
      <w:r>
        <w:rPr>
          <w:rFonts w:ascii="Arial" w:cs="Arial" w:eastAsia="Arial" w:hAnsi="Arial"/>
          <w:sz w:val="15"/>
          <w:szCs w:val="15"/>
          <w:color w:val="auto"/>
        </w:rPr>
        <w:t>The Company offers a defined benefit pension plan to certain non-U.S. employees of its Veracyte SAS subsidiary. As of March 31, 2022 and December 31, 2021, the total pension obligation was $1.0 million and $1.1 million, respectively, and is included in other liabilities on the condensed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05"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which requires entities to recognize and measure contract assets and contract liabilities acquired in a business combination in accordance with ASC</w:t>
      </w:r>
      <w:r>
        <w:rPr>
          <w:rFonts w:ascii="Arial" w:cs="Arial" w:eastAsia="Arial" w:hAnsi="Arial"/>
          <w:sz w:val="16"/>
          <w:szCs w:val="16"/>
          <w:i w:val="1"/>
          <w:iCs w:val="1"/>
          <w:color w:val="auto"/>
        </w:rPr>
        <w:t xml:space="preserve"> </w:t>
      </w:r>
      <w:r>
        <w:rPr>
          <w:rFonts w:ascii="Arial" w:cs="Arial" w:eastAsia="Arial" w:hAnsi="Arial"/>
          <w:sz w:val="16"/>
          <w:szCs w:val="16"/>
          <w:color w:val="auto"/>
        </w:rPr>
        <w:t>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Company does not expect to have a material impact on its consolidated financial statements and related disclosures from the adoption of this guidance.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Net Loss Per Common Share</w:t>
      </w:r>
    </w:p>
    <w:p>
      <w:pPr>
        <w:spacing w:after="0" w:line="209" w:lineRule="exact"/>
        <w:rPr>
          <w:sz w:val="20"/>
          <w:szCs w:val="20"/>
          <w:color w:val="auto"/>
        </w:rPr>
      </w:pPr>
    </w:p>
    <w:p>
      <w:pPr>
        <w:jc w:val="both"/>
        <w:ind w:right="100" w:firstLine="375"/>
        <w:spacing w:after="0" w:line="297" w:lineRule="auto"/>
        <w:rPr>
          <w:sz w:val="20"/>
          <w:szCs w:val="20"/>
          <w:color w:val="auto"/>
        </w:rPr>
      </w:pPr>
      <w:r>
        <w:rPr>
          <w:rFonts w:ascii="Arial" w:cs="Arial" w:eastAsia="Arial" w:hAnsi="Arial"/>
          <w:sz w:val="15"/>
          <w:szCs w:val="15"/>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73" w:lineRule="exact"/>
        <w:rPr>
          <w:sz w:val="20"/>
          <w:szCs w:val="20"/>
          <w:color w:val="auto"/>
        </w:rPr>
      </w:pPr>
    </w:p>
    <w:p>
      <w:pPr>
        <w:ind w:left="6920"/>
        <w:spacing w:after="0"/>
        <w:rPr>
          <w:sz w:val="20"/>
          <w:szCs w:val="20"/>
          <w:color w:val="auto"/>
        </w:rPr>
      </w:pPr>
      <w:r>
        <w:rPr>
          <w:rFonts w:ascii="Arial" w:cs="Arial" w:eastAsia="Arial" w:hAnsi="Arial"/>
          <w:sz w:val="15"/>
          <w:szCs w:val="15"/>
          <w:b w:val="1"/>
          <w:bCs w:val="1"/>
          <w:color w:val="auto"/>
        </w:rPr>
        <w:t>Three Months Ended March 31,</w:t>
      </w:r>
    </w:p>
    <w:p>
      <w:pPr>
        <w:spacing w:after="0" w:line="21" w:lineRule="exact"/>
        <w:rPr>
          <w:sz w:val="20"/>
          <w:szCs w:val="20"/>
          <w:color w:val="auto"/>
        </w:rPr>
      </w:pPr>
    </w:p>
    <w:tbl>
      <w:tblPr>
        <w:tblLayout w:type="fixed"/>
        <w:tblInd w:w="1580" w:type="dxa"/>
        <w:tblCellMar>
          <w:top w:w="0" w:type="dxa"/>
          <w:left w:w="0" w:type="dxa"/>
          <w:bottom w:w="0" w:type="dxa"/>
          <w:right w:w="0" w:type="dxa"/>
        </w:tblCellMar>
      </w:tblPr>
      <w:tr>
        <w:trPr>
          <w:trHeight w:val="196"/>
        </w:trPr>
        <w:tc>
          <w:tcPr>
            <w:tcW w:w="46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b w:val="1"/>
                <w:bCs w:val="1"/>
                <w:color w:val="auto"/>
              </w:rPr>
              <w:t>2021</w:t>
            </w:r>
          </w:p>
        </w:tc>
      </w:tr>
      <w:tr>
        <w:trPr>
          <w:trHeight w:val="195"/>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Shares of common stock subject to outstanding options</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3,703,656</w:t>
            </w:r>
          </w:p>
        </w:tc>
        <w:tc>
          <w:tcPr>
            <w:tcW w:w="12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3,944,887</w:t>
            </w:r>
          </w:p>
        </w:tc>
      </w:tr>
      <w:tr>
        <w:trPr>
          <w:trHeight w:val="197"/>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Employee stock purchase plan</w:t>
            </w:r>
          </w:p>
        </w:tc>
        <w:tc>
          <w:tcPr>
            <w:tcW w:w="660" w:type="dxa"/>
            <w:vAlign w:val="bottom"/>
          </w:tcPr>
          <w:p>
            <w:pPr>
              <w:jc w:val="right"/>
              <w:spacing w:after="0"/>
              <w:rPr>
                <w:sz w:val="20"/>
                <w:szCs w:val="20"/>
                <w:color w:val="auto"/>
              </w:rPr>
            </w:pPr>
            <w:r>
              <w:rPr>
                <w:rFonts w:ascii="Arial" w:cs="Arial" w:eastAsia="Arial" w:hAnsi="Arial"/>
                <w:sz w:val="15"/>
                <w:szCs w:val="15"/>
                <w:color w:val="auto"/>
              </w:rPr>
              <w:t>30,622</w:t>
            </w:r>
          </w:p>
        </w:tc>
        <w:tc>
          <w:tcPr>
            <w:tcW w:w="12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15,720</w:t>
            </w:r>
          </w:p>
        </w:tc>
      </w:tr>
      <w:tr>
        <w:trPr>
          <w:trHeight w:val="200"/>
        </w:trPr>
        <w:tc>
          <w:tcPr>
            <w:tcW w:w="4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stock units</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6"/>
              </w:rPr>
              <w:t>1,559,540</w:t>
            </w:r>
          </w:p>
        </w:tc>
        <w:tc>
          <w:tcPr>
            <w:tcW w:w="12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886,584</w:t>
            </w:r>
          </w:p>
        </w:tc>
      </w:tr>
      <w:tr>
        <w:trPr>
          <w:trHeight w:val="196"/>
        </w:trPr>
        <w:tc>
          <w:tcPr>
            <w:tcW w:w="5660" w:type="dxa"/>
            <w:vAlign w:val="bottom"/>
            <w:gridSpan w:val="2"/>
          </w:tcPr>
          <w:p>
            <w:pPr>
              <w:ind w:left="20"/>
              <w:spacing w:after="0"/>
              <w:rPr>
                <w:sz w:val="20"/>
                <w:szCs w:val="20"/>
                <w:color w:val="auto"/>
              </w:rPr>
            </w:pPr>
            <w:r>
              <w:rPr>
                <w:rFonts w:ascii="Arial" w:cs="Arial" w:eastAsia="Arial" w:hAnsi="Arial"/>
                <w:sz w:val="15"/>
                <w:szCs w:val="15"/>
                <w:color w:val="auto"/>
              </w:rPr>
              <w:t>Total common stock equivalents</w:t>
            </w:r>
          </w:p>
        </w:tc>
        <w:tc>
          <w:tcPr>
            <w:tcW w:w="660" w:type="dxa"/>
            <w:vAlign w:val="bottom"/>
          </w:tcPr>
          <w:p>
            <w:pPr>
              <w:jc w:val="right"/>
              <w:spacing w:after="0"/>
              <w:rPr>
                <w:sz w:val="20"/>
                <w:szCs w:val="20"/>
                <w:color w:val="auto"/>
              </w:rPr>
            </w:pPr>
            <w:r>
              <w:rPr>
                <w:rFonts w:ascii="Arial" w:cs="Arial" w:eastAsia="Arial" w:hAnsi="Arial"/>
                <w:sz w:val="15"/>
                <w:szCs w:val="15"/>
                <w:color w:val="auto"/>
                <w:w w:val="86"/>
              </w:rPr>
              <w:t>5,293,818</w:t>
            </w:r>
          </w:p>
        </w:tc>
        <w:tc>
          <w:tcPr>
            <w:tcW w:w="12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Arial" w:cs="Arial" w:eastAsia="Arial" w:hAnsi="Arial"/>
                <w:sz w:val="15"/>
                <w:szCs w:val="15"/>
                <w:color w:val="auto"/>
              </w:rPr>
              <w:t>4,847,191</w:t>
            </w:r>
          </w:p>
        </w:tc>
      </w:tr>
      <w:tr>
        <w:trPr>
          <w:trHeight w:val="20"/>
        </w:trPr>
        <w:tc>
          <w:tcPr>
            <w:tcW w:w="4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Balance Sheet Components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Goodwill</w:t>
      </w:r>
    </w:p>
    <w:p>
      <w:pPr>
        <w:spacing w:after="0" w:line="230" w:lineRule="exact"/>
        <w:rPr>
          <w:sz w:val="20"/>
          <w:szCs w:val="20"/>
          <w:color w:val="auto"/>
        </w:rPr>
      </w:pPr>
    </w:p>
    <w:p>
      <w:pPr>
        <w:jc w:val="both"/>
        <w:ind w:right="100" w:firstLine="375"/>
        <w:spacing w:after="0" w:line="256" w:lineRule="auto"/>
        <w:rPr>
          <w:sz w:val="20"/>
          <w:szCs w:val="20"/>
          <w:color w:val="auto"/>
        </w:rPr>
      </w:pPr>
      <w:r>
        <w:rPr>
          <w:rFonts w:ascii="Arial" w:cs="Arial" w:eastAsia="Arial" w:hAnsi="Arial"/>
          <w:sz w:val="17"/>
          <w:szCs w:val="17"/>
          <w:color w:val="auto"/>
        </w:rPr>
        <w:t>Goodwill was $704.4 million and $707.9 million as of March 31, 2022 and December 31, 2021, respectively. The change in the carrying amounts of goodwill during the three months ended March 31, 2022 were due to foreign currency translation and measurement period adjustments. The Company has not recorded any impairment related to goodwill.</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230" w:lineRule="exact"/>
        <w:rPr>
          <w:sz w:val="20"/>
          <w:szCs w:val="20"/>
          <w:color w:val="auto"/>
        </w:rPr>
      </w:pPr>
    </w:p>
    <w:p>
      <w:pPr>
        <w:jc w:val="both"/>
        <w:ind w:right="100" w:firstLine="375"/>
        <w:spacing w:after="0" w:line="266" w:lineRule="auto"/>
        <w:rPr>
          <w:sz w:val="20"/>
          <w:szCs w:val="20"/>
          <w:color w:val="auto"/>
        </w:rPr>
      </w:pPr>
      <w:r>
        <w:rPr>
          <w:rFonts w:ascii="Arial" w:cs="Arial" w:eastAsia="Arial" w:hAnsi="Arial"/>
          <w:sz w:val="17"/>
          <w:szCs w:val="17"/>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372"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1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March 31, 2022</w:t>
            </w: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229"/>
              <w:spacing w:after="0"/>
              <w:rPr>
                <w:sz w:val="20"/>
                <w:szCs w:val="20"/>
                <w:color w:val="auto"/>
              </w:rPr>
            </w:pPr>
            <w:r>
              <w:rPr>
                <w:rFonts w:ascii="Arial" w:cs="Arial" w:eastAsia="Arial" w:hAnsi="Arial"/>
                <w:sz w:val="13"/>
                <w:szCs w:val="13"/>
                <w:b w:val="1"/>
                <w:bCs w:val="1"/>
                <w:color w:val="auto"/>
                <w:w w:val="92"/>
              </w:rPr>
              <w:t>December 31, 2021</w:t>
            </w: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vMerge w:val="restart"/>
          </w:tcPr>
          <w:p>
            <w:pPr>
              <w:ind w:left="400"/>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460" w:type="dxa"/>
            <w:vAlign w:val="bottom"/>
            <w:gridSpan w:val="3"/>
            <w:vMerge w:val="restart"/>
          </w:tcPr>
          <w:p>
            <w:pPr>
              <w:ind w:left="440"/>
              <w:spacing w:after="0"/>
              <w:rPr>
                <w:sz w:val="20"/>
                <w:szCs w:val="20"/>
                <w:color w:val="auto"/>
              </w:rPr>
            </w:pPr>
            <w:r>
              <w:rPr>
                <w:rFonts w:ascii="Arial" w:cs="Arial" w:eastAsia="Arial" w:hAnsi="Arial"/>
                <w:sz w:val="13"/>
                <w:szCs w:val="13"/>
                <w:b w:val="1"/>
                <w:bCs w:val="1"/>
                <w:color w:val="auto"/>
              </w:rPr>
              <w:t>Gross Carrying</w:t>
            </w:r>
          </w:p>
        </w:tc>
        <w:tc>
          <w:tcPr>
            <w:tcW w:w="50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4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Net Carrying</w:t>
            </w:r>
          </w:p>
        </w:tc>
        <w:tc>
          <w:tcPr>
            <w:tcW w:w="1480" w:type="dxa"/>
            <w:vAlign w:val="bottom"/>
            <w:gridSpan w:val="3"/>
            <w:vMerge w:val="restart"/>
          </w:tcPr>
          <w:p>
            <w:pPr>
              <w:ind w:left="460"/>
              <w:spacing w:after="0"/>
              <w:rPr>
                <w:sz w:val="20"/>
                <w:szCs w:val="20"/>
                <w:color w:val="auto"/>
              </w:rPr>
            </w:pPr>
            <w:r>
              <w:rPr>
                <w:rFonts w:ascii="Arial" w:cs="Arial" w:eastAsia="Arial" w:hAnsi="Arial"/>
                <w:sz w:val="13"/>
                <w:szCs w:val="13"/>
                <w:b w:val="1"/>
                <w:bCs w:val="1"/>
                <w:color w:val="auto"/>
              </w:rPr>
              <w:t>Gross Carrying</w:t>
            </w:r>
          </w:p>
        </w:tc>
        <w:tc>
          <w:tcPr>
            <w:tcW w:w="50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480" w:type="dxa"/>
            <w:vAlign w:val="bottom"/>
          </w:tcPr>
          <w:p>
            <w:pPr>
              <w:spacing w:after="0"/>
              <w:rPr>
                <w:sz w:val="10"/>
                <w:szCs w:val="10"/>
                <w:color w:val="auto"/>
              </w:rPr>
            </w:pPr>
          </w:p>
        </w:tc>
        <w:tc>
          <w:tcPr>
            <w:tcW w:w="920" w:type="dxa"/>
            <w:vAlign w:val="bottom"/>
            <w:vMerge w:val="restart"/>
          </w:tcPr>
          <w:p>
            <w:pPr>
              <w:jc w:val="right"/>
              <w:ind w:right="46"/>
              <w:spacing w:after="0"/>
              <w:rPr>
                <w:sz w:val="20"/>
                <w:szCs w:val="20"/>
                <w:color w:val="auto"/>
              </w:rPr>
            </w:pPr>
            <w:r>
              <w:rPr>
                <w:rFonts w:ascii="Arial" w:cs="Arial" w:eastAsia="Arial" w:hAnsi="Arial"/>
                <w:sz w:val="13"/>
                <w:szCs w:val="13"/>
                <w:b w:val="1"/>
                <w:bCs w:val="1"/>
                <w:color w:val="auto"/>
                <w:w w:val="99"/>
              </w:rPr>
              <w:t>Net Carrying</w:t>
            </w:r>
          </w:p>
        </w:tc>
        <w:tc>
          <w:tcPr>
            <w:tcW w:w="8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25"/>
        </w:trPr>
        <w:tc>
          <w:tcPr>
            <w:tcW w:w="1180" w:type="dxa"/>
            <w:vAlign w:val="bottom"/>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480" w:type="dxa"/>
            <w:vAlign w:val="bottom"/>
            <w:gridSpan w:val="3"/>
          </w:tcPr>
          <w:p>
            <w:pPr>
              <w:ind w:left="320"/>
              <w:spacing w:after="0"/>
              <w:rPr>
                <w:sz w:val="20"/>
                <w:szCs w:val="20"/>
                <w:color w:val="auto"/>
              </w:rPr>
            </w:pPr>
            <w:r>
              <w:rPr>
                <w:rFonts w:ascii="Arial" w:cs="Arial" w:eastAsia="Arial" w:hAnsi="Arial"/>
                <w:sz w:val="13"/>
                <w:szCs w:val="13"/>
                <w:b w:val="1"/>
                <w:bCs w:val="1"/>
                <w:color w:val="auto"/>
              </w:rPr>
              <w:t>Amortization</w:t>
            </w:r>
          </w:p>
        </w:tc>
        <w:tc>
          <w:tcPr>
            <w:tcW w:w="46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460" w:type="dxa"/>
            <w:vAlign w:val="bottom"/>
            <w:gridSpan w:val="3"/>
          </w:tcPr>
          <w:p>
            <w:pPr>
              <w:ind w:left="320"/>
              <w:spacing w:after="0"/>
              <w:rPr>
                <w:sz w:val="20"/>
                <w:szCs w:val="20"/>
                <w:color w:val="auto"/>
              </w:rPr>
            </w:pPr>
            <w:r>
              <w:rPr>
                <w:rFonts w:ascii="Arial" w:cs="Arial" w:eastAsia="Arial" w:hAnsi="Arial"/>
                <w:sz w:val="13"/>
                <w:szCs w:val="13"/>
                <w:b w:val="1"/>
                <w:bCs w:val="1"/>
                <w:color w:val="auto"/>
              </w:rPr>
              <w:t>Amortization</w:t>
            </w:r>
          </w:p>
        </w:tc>
        <w:tc>
          <w:tcPr>
            <w:tcW w:w="480" w:type="dxa"/>
            <w:vAlign w:val="bottom"/>
          </w:tcPr>
          <w:p>
            <w:pPr>
              <w:spacing w:after="0"/>
              <w:rPr>
                <w:sz w:val="15"/>
                <w:szCs w:val="15"/>
                <w:color w:val="auto"/>
              </w:rPr>
            </w:pPr>
          </w:p>
        </w:tc>
        <w:tc>
          <w:tcPr>
            <w:tcW w:w="920" w:type="dxa"/>
            <w:vAlign w:val="bottom"/>
          </w:tcPr>
          <w:p>
            <w:pPr>
              <w:jc w:val="right"/>
              <w:ind w:right="386"/>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2"/>
              </w:rPr>
              <w:t>Period (Years)</w:t>
            </w:r>
          </w:p>
        </w:tc>
        <w:tc>
          <w:tcPr>
            <w:tcW w:w="0" w:type="dxa"/>
            <w:vAlign w:val="bottom"/>
          </w:tcPr>
          <w:p>
            <w:pPr>
              <w:spacing w:after="0"/>
              <w:rPr>
                <w:sz w:val="1"/>
                <w:szCs w:val="1"/>
                <w:color w:val="auto"/>
              </w:rPr>
            </w:pPr>
          </w:p>
        </w:tc>
      </w:tr>
      <w:tr>
        <w:trPr>
          <w:trHeight w:val="156"/>
        </w:trPr>
        <w:tc>
          <w:tcPr>
            <w:tcW w:w="1180" w:type="dxa"/>
            <w:vAlign w:val="bottom"/>
            <w:shd w:val="clear" w:color="auto" w:fill="CCEEFF"/>
          </w:tcPr>
          <w:p>
            <w:pPr>
              <w:ind w:left="380"/>
              <w:spacing w:after="0" w:line="156" w:lineRule="exact"/>
              <w:rPr>
                <w:sz w:val="20"/>
                <w:szCs w:val="20"/>
                <w:color w:val="auto"/>
              </w:rPr>
            </w:pPr>
            <w:r>
              <w:rPr>
                <w:rFonts w:ascii="Arial" w:cs="Arial" w:eastAsia="Arial" w:hAnsi="Arial"/>
                <w:sz w:val="15"/>
                <w:szCs w:val="15"/>
                <w:color w:val="auto"/>
              </w:rPr>
              <w:t>Percepta</w:t>
            </w: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product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(7,467)</w:t>
            </w:r>
          </w:p>
        </w:tc>
        <w:tc>
          <w:tcPr>
            <w:tcW w:w="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8,533</w:t>
            </w:r>
          </w:p>
        </w:tc>
        <w:tc>
          <w:tcPr>
            <w:tcW w:w="6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(7,200)</w:t>
            </w:r>
          </w:p>
        </w:tc>
        <w:tc>
          <w:tcPr>
            <w:tcW w:w="6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8,800</w:t>
            </w:r>
          </w:p>
        </w:tc>
        <w:tc>
          <w:tcPr>
            <w:tcW w:w="1040" w:type="dxa"/>
            <w:vAlign w:val="bottom"/>
            <w:gridSpan w:val="2"/>
            <w:vMerge w:val="restart"/>
            <w:shd w:val="clear" w:color="auto" w:fill="CCEEFF"/>
          </w:tcPr>
          <w:p>
            <w:pPr>
              <w:jc w:val="center"/>
              <w:ind w:left="385"/>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380"/>
              <w:spacing w:after="0" w:line="154" w:lineRule="exact"/>
              <w:rPr>
                <w:sz w:val="20"/>
                <w:szCs w:val="20"/>
                <w:color w:val="auto"/>
              </w:rPr>
            </w:pPr>
            <w:r>
              <w:rPr>
                <w:rFonts w:ascii="Arial" w:cs="Arial" w:eastAsia="Arial" w:hAnsi="Arial"/>
                <w:sz w:val="15"/>
                <w:szCs w:val="15"/>
                <w:color w:val="auto"/>
              </w:rPr>
              <w:t>Prosigna</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tcPr>
          <w:p>
            <w:pPr>
              <w:ind w:left="20"/>
              <w:spacing w:after="0" w:line="150" w:lineRule="exact"/>
              <w:rPr>
                <w:sz w:val="20"/>
                <w:szCs w:val="20"/>
                <w:color w:val="auto"/>
              </w:rPr>
            </w:pPr>
            <w:r>
              <w:rPr>
                <w:rFonts w:ascii="Arial" w:cs="Arial" w:eastAsia="Arial" w:hAnsi="Arial"/>
                <w:sz w:val="15"/>
                <w:szCs w:val="15"/>
                <w:color w:val="auto"/>
              </w:rPr>
              <w:t>product</w:t>
            </w: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4,120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(641)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3,479</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4,120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(572)</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3,548</w:t>
            </w:r>
          </w:p>
        </w:tc>
        <w:tc>
          <w:tcPr>
            <w:tcW w:w="1040" w:type="dxa"/>
            <w:vAlign w:val="bottom"/>
            <w:gridSpan w:val="2"/>
            <w:vMerge w:val="restart"/>
          </w:tcPr>
          <w:p>
            <w:pPr>
              <w:jc w:val="center"/>
              <w:ind w:left="385"/>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3"/>
        </w:trPr>
        <w:tc>
          <w:tcPr>
            <w:tcW w:w="118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180" w:type="dxa"/>
            <w:vAlign w:val="bottom"/>
            <w:shd w:val="clear" w:color="auto" w:fill="CCEEFF"/>
          </w:tcPr>
          <w:p>
            <w:pPr>
              <w:ind w:left="380"/>
              <w:spacing w:after="0" w:line="158" w:lineRule="exact"/>
              <w:rPr>
                <w:sz w:val="20"/>
                <w:szCs w:val="20"/>
                <w:color w:val="auto"/>
              </w:rPr>
            </w:pPr>
            <w:r>
              <w:rPr>
                <w:rFonts w:ascii="Arial" w:cs="Arial" w:eastAsia="Arial" w:hAnsi="Arial"/>
                <w:sz w:val="15"/>
                <w:szCs w:val="15"/>
                <w:color w:val="auto"/>
              </w:rPr>
              <w:t>Prosigna</w:t>
            </w: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customer</w:t>
            </w: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2,430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(1,134)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1,296</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2,430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(1,013)</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1,417</w:t>
            </w:r>
          </w:p>
        </w:tc>
        <w:tc>
          <w:tcPr>
            <w:tcW w:w="1040" w:type="dxa"/>
            <w:vAlign w:val="bottom"/>
            <w:gridSpan w:val="2"/>
            <w:vMerge w:val="restart"/>
            <w:shd w:val="clear" w:color="auto" w:fill="CCEEFF"/>
          </w:tcPr>
          <w:p>
            <w:pPr>
              <w:jc w:val="center"/>
              <w:ind w:left="405"/>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relationships</w:t>
            </w: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380"/>
              <w:spacing w:after="0" w:line="154" w:lineRule="exact"/>
              <w:rPr>
                <w:sz w:val="20"/>
                <w:szCs w:val="20"/>
                <w:color w:val="auto"/>
              </w:rPr>
            </w:pPr>
            <w:r>
              <w:rPr>
                <w:rFonts w:ascii="Arial" w:cs="Arial" w:eastAsia="Arial" w:hAnsi="Arial"/>
                <w:sz w:val="15"/>
                <w:szCs w:val="15"/>
                <w:color w:val="auto"/>
              </w:rPr>
              <w:t>nCounter</w:t>
            </w: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46,880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(7,292)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39,588</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46,880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(6,511)</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40,369</w:t>
            </w:r>
          </w:p>
        </w:tc>
        <w:tc>
          <w:tcPr>
            <w:tcW w:w="1040" w:type="dxa"/>
            <w:vAlign w:val="bottom"/>
            <w:gridSpan w:val="2"/>
            <w:vMerge w:val="restart"/>
          </w:tcPr>
          <w:p>
            <w:pPr>
              <w:jc w:val="center"/>
              <w:ind w:left="385"/>
              <w:spacing w:after="0"/>
              <w:rPr>
                <w:sz w:val="20"/>
                <w:szCs w:val="20"/>
                <w:color w:val="auto"/>
              </w:rPr>
            </w:pPr>
            <w:r>
              <w:rPr>
                <w:rFonts w:ascii="Arial" w:cs="Arial" w:eastAsia="Arial" w:hAnsi="Arial"/>
                <w:sz w:val="15"/>
                <w:szCs w:val="15"/>
                <w:color w:val="auto"/>
                <w:w w:val="83"/>
              </w:rPr>
              <w:t>15</w:t>
            </w:r>
          </w:p>
        </w:tc>
        <w:tc>
          <w:tcPr>
            <w:tcW w:w="0" w:type="dxa"/>
            <w:vAlign w:val="bottom"/>
          </w:tcPr>
          <w:p>
            <w:pPr>
              <w:spacing w:after="0"/>
              <w:rPr>
                <w:sz w:val="1"/>
                <w:szCs w:val="1"/>
                <w:color w:val="auto"/>
              </w:rPr>
            </w:pPr>
          </w:p>
        </w:tc>
      </w:tr>
      <w:tr>
        <w:trPr>
          <w:trHeight w:val="193"/>
        </w:trPr>
        <w:tc>
          <w:tcPr>
            <w:tcW w:w="1180" w:type="dxa"/>
            <w:vAlign w:val="bottom"/>
          </w:tcPr>
          <w:p>
            <w:pPr>
              <w:ind w:left="20"/>
              <w:spacing w:after="0"/>
              <w:rPr>
                <w:sz w:val="20"/>
                <w:szCs w:val="20"/>
                <w:color w:val="auto"/>
              </w:rPr>
            </w:pPr>
            <w:r>
              <w:rPr>
                <w:rFonts w:ascii="Arial" w:cs="Arial" w:eastAsia="Arial" w:hAnsi="Arial"/>
                <w:sz w:val="15"/>
                <w:szCs w:val="15"/>
                <w:color w:val="auto"/>
              </w:rPr>
              <w:t>Dx license</w:t>
            </w: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180" w:type="dxa"/>
            <w:vAlign w:val="bottom"/>
            <w:shd w:val="clear" w:color="auto" w:fill="CCEEFF"/>
          </w:tcPr>
          <w:p>
            <w:pPr>
              <w:ind w:left="380"/>
              <w:spacing w:after="0" w:line="158" w:lineRule="exact"/>
              <w:rPr>
                <w:sz w:val="20"/>
                <w:szCs w:val="20"/>
                <w:color w:val="auto"/>
              </w:rPr>
            </w:pPr>
            <w:r>
              <w:rPr>
                <w:rFonts w:ascii="Arial" w:cs="Arial" w:eastAsia="Arial" w:hAnsi="Arial"/>
                <w:sz w:val="15"/>
                <w:szCs w:val="15"/>
                <w:color w:val="auto"/>
                <w:w w:val="99"/>
              </w:rPr>
              <w:t>LymphMark</w:t>
            </w: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product</w:t>
            </w: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695</w:t>
            </w:r>
          </w:p>
        </w:tc>
        <w:tc>
          <w:tcPr>
            <w:tcW w:w="1040" w:type="dxa"/>
            <w:vAlign w:val="bottom"/>
            <w:gridSpan w:val="2"/>
            <w:vMerge w:val="restart"/>
            <w:shd w:val="clear" w:color="auto" w:fill="CCEEFF"/>
          </w:tcPr>
          <w:p>
            <w:pPr>
              <w:jc w:val="center"/>
              <w:ind w:left="405"/>
              <w:spacing w:after="0"/>
              <w:rPr>
                <w:sz w:val="20"/>
                <w:szCs w:val="20"/>
                <w:color w:val="auto"/>
              </w:rPr>
            </w:pPr>
            <w:r>
              <w:rPr>
                <w:rFonts w:ascii="Arial" w:cs="Arial" w:eastAsia="Arial" w:hAnsi="Arial"/>
                <w:sz w:val="15"/>
                <w:szCs w:val="15"/>
                <w:color w:val="auto"/>
                <w:w w:val="95"/>
              </w:rPr>
              <w:t>7</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380"/>
              <w:spacing w:after="0" w:line="154" w:lineRule="exact"/>
              <w:rPr>
                <w:sz w:val="20"/>
                <w:szCs w:val="20"/>
                <w:color w:val="auto"/>
              </w:rPr>
            </w:pPr>
            <w:r>
              <w:rPr>
                <w:rFonts w:ascii="Arial" w:cs="Arial" w:eastAsia="Arial" w:hAnsi="Arial"/>
                <w:sz w:val="15"/>
                <w:szCs w:val="15"/>
                <w:color w:val="auto"/>
              </w:rPr>
              <w:t>Decipher</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tcPr>
          <w:p>
            <w:pPr>
              <w:ind w:left="20"/>
              <w:spacing w:after="0" w:line="150" w:lineRule="exact"/>
              <w:rPr>
                <w:sz w:val="20"/>
                <w:szCs w:val="20"/>
                <w:color w:val="auto"/>
              </w:rPr>
            </w:pPr>
            <w:r>
              <w:rPr>
                <w:rFonts w:ascii="Arial" w:cs="Arial" w:eastAsia="Arial" w:hAnsi="Arial"/>
                <w:sz w:val="15"/>
                <w:szCs w:val="15"/>
                <w:color w:val="auto"/>
              </w:rPr>
              <w:t>product</w:t>
            </w: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90,000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(9,484)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80,516</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90,000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(7,234)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82,766</w:t>
            </w:r>
          </w:p>
        </w:tc>
        <w:tc>
          <w:tcPr>
            <w:tcW w:w="1040" w:type="dxa"/>
            <w:vAlign w:val="bottom"/>
            <w:gridSpan w:val="2"/>
            <w:vMerge w:val="restart"/>
          </w:tcPr>
          <w:p>
            <w:pPr>
              <w:jc w:val="center"/>
              <w:ind w:left="385"/>
              <w:spacing w:after="0"/>
              <w:rPr>
                <w:sz w:val="20"/>
                <w:szCs w:val="20"/>
                <w:color w:val="auto"/>
              </w:rPr>
            </w:pPr>
            <w:r>
              <w:rPr>
                <w:rFonts w:ascii="Arial" w:cs="Arial" w:eastAsia="Arial" w:hAnsi="Arial"/>
                <w:sz w:val="15"/>
                <w:szCs w:val="15"/>
                <w:color w:val="auto"/>
                <w:w w:val="83"/>
              </w:rPr>
              <w:t>10</w:t>
            </w:r>
          </w:p>
        </w:tc>
        <w:tc>
          <w:tcPr>
            <w:tcW w:w="0" w:type="dxa"/>
            <w:vAlign w:val="bottom"/>
          </w:tcPr>
          <w:p>
            <w:pPr>
              <w:spacing w:after="0"/>
              <w:rPr>
                <w:sz w:val="1"/>
                <w:szCs w:val="1"/>
                <w:color w:val="auto"/>
              </w:rPr>
            </w:pPr>
          </w:p>
        </w:tc>
      </w:tr>
      <w:tr>
        <w:trPr>
          <w:trHeight w:val="193"/>
        </w:trPr>
        <w:tc>
          <w:tcPr>
            <w:tcW w:w="118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180" w:type="dxa"/>
            <w:vAlign w:val="bottom"/>
            <w:shd w:val="clear" w:color="auto" w:fill="CCEEFF"/>
          </w:tcPr>
          <w:p>
            <w:pPr>
              <w:ind w:left="380"/>
              <w:spacing w:after="0" w:line="158" w:lineRule="exact"/>
              <w:rPr>
                <w:sz w:val="20"/>
                <w:szCs w:val="20"/>
                <w:color w:val="auto"/>
              </w:rPr>
            </w:pPr>
            <w:r>
              <w:rPr>
                <w:rFonts w:ascii="Arial" w:cs="Arial" w:eastAsia="Arial" w:hAnsi="Arial"/>
                <w:sz w:val="15"/>
                <w:szCs w:val="15"/>
                <w:color w:val="auto"/>
              </w:rPr>
              <w:t>Decipher</w:t>
            </w: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(843)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3,157</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(643)</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3,357</w:t>
            </w:r>
          </w:p>
        </w:tc>
        <w:tc>
          <w:tcPr>
            <w:tcW w:w="1040" w:type="dxa"/>
            <w:vAlign w:val="bottom"/>
            <w:gridSpan w:val="2"/>
            <w:vMerge w:val="restart"/>
            <w:shd w:val="clear" w:color="auto" w:fill="CCEEFF"/>
          </w:tcPr>
          <w:p>
            <w:pPr>
              <w:jc w:val="center"/>
              <w:ind w:left="405"/>
              <w:spacing w:after="0"/>
              <w:rPr>
                <w:sz w:val="20"/>
                <w:szCs w:val="20"/>
                <w:color w:val="auto"/>
              </w:rPr>
            </w:pPr>
            <w:r>
              <w:rPr>
                <w:rFonts w:ascii="Arial" w:cs="Arial" w:eastAsia="Arial" w:hAnsi="Arial"/>
                <w:sz w:val="15"/>
                <w:szCs w:val="15"/>
                <w:color w:val="auto"/>
                <w:w w:val="95"/>
              </w:rPr>
              <w:t>5</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 names</w:t>
            </w: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380"/>
              <w:spacing w:after="0" w:line="154" w:lineRule="exact"/>
              <w:rPr>
                <w:sz w:val="20"/>
                <w:szCs w:val="20"/>
                <w:color w:val="auto"/>
              </w:rPr>
            </w:pPr>
            <w:r>
              <w:rPr>
                <w:rFonts w:ascii="Arial" w:cs="Arial" w:eastAsia="Arial" w:hAnsi="Arial"/>
                <w:sz w:val="15"/>
                <w:szCs w:val="15"/>
                <w:color w:val="auto"/>
              </w:rPr>
              <w:t>HalioDx</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tcPr>
          <w:p>
            <w:pPr>
              <w:ind w:left="20"/>
              <w:spacing w:after="0" w:line="150" w:lineRule="exact"/>
              <w:rPr>
                <w:sz w:val="20"/>
                <w:szCs w:val="20"/>
                <w:color w:val="auto"/>
              </w:rPr>
            </w:pPr>
            <w:r>
              <w:rPr>
                <w:rFonts w:ascii="Arial" w:cs="Arial" w:eastAsia="Arial" w:hAnsi="Arial"/>
                <w:sz w:val="15"/>
                <w:szCs w:val="15"/>
                <w:color w:val="auto"/>
              </w:rPr>
              <w:t>developed</w:t>
            </w: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44,781</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(2,961)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41,820</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45,640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(1,877)</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43,763</w:t>
            </w:r>
          </w:p>
        </w:tc>
        <w:tc>
          <w:tcPr>
            <w:tcW w:w="1040" w:type="dxa"/>
            <w:vAlign w:val="bottom"/>
            <w:gridSpan w:val="2"/>
            <w:vMerge w:val="restart"/>
          </w:tcPr>
          <w:p>
            <w:pPr>
              <w:jc w:val="center"/>
              <w:ind w:left="385"/>
              <w:spacing w:after="0"/>
              <w:rPr>
                <w:sz w:val="20"/>
                <w:szCs w:val="20"/>
                <w:color w:val="auto"/>
              </w:rPr>
            </w:pPr>
            <w:r>
              <w:rPr>
                <w:rFonts w:ascii="Arial" w:cs="Arial" w:eastAsia="Arial" w:hAnsi="Arial"/>
                <w:sz w:val="15"/>
                <w:szCs w:val="15"/>
                <w:color w:val="auto"/>
                <w:w w:val="83"/>
              </w:rPr>
              <w:t>10</w:t>
            </w:r>
          </w:p>
        </w:tc>
        <w:tc>
          <w:tcPr>
            <w:tcW w:w="0" w:type="dxa"/>
            <w:vAlign w:val="bottom"/>
          </w:tcPr>
          <w:p>
            <w:pPr>
              <w:spacing w:after="0"/>
              <w:rPr>
                <w:sz w:val="1"/>
                <w:szCs w:val="1"/>
                <w:color w:val="auto"/>
              </w:rPr>
            </w:pPr>
          </w:p>
        </w:tc>
      </w:tr>
      <w:tr>
        <w:trPr>
          <w:trHeight w:val="193"/>
        </w:trPr>
        <w:tc>
          <w:tcPr>
            <w:tcW w:w="1180" w:type="dxa"/>
            <w:vAlign w:val="bottom"/>
          </w:tcPr>
          <w:p>
            <w:pPr>
              <w:ind w:left="20"/>
              <w:spacing w:after="0"/>
              <w:rPr>
                <w:sz w:val="20"/>
                <w:szCs w:val="20"/>
                <w:color w:val="auto"/>
              </w:rPr>
            </w:pPr>
            <w:r>
              <w:rPr>
                <w:rFonts w:ascii="Arial" w:cs="Arial" w:eastAsia="Arial" w:hAnsi="Arial"/>
                <w:sz w:val="15"/>
                <w:szCs w:val="15"/>
                <w:color w:val="auto"/>
              </w:rPr>
              <w:t>technology</w:t>
            </w: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180" w:type="dxa"/>
            <w:vAlign w:val="bottom"/>
            <w:shd w:val="clear" w:color="auto" w:fill="CCEEFF"/>
          </w:tcPr>
          <w:p>
            <w:pPr>
              <w:ind w:left="380"/>
              <w:spacing w:after="0" w:line="158" w:lineRule="exact"/>
              <w:rPr>
                <w:sz w:val="20"/>
                <w:szCs w:val="20"/>
                <w:color w:val="auto"/>
              </w:rPr>
            </w:pPr>
            <w:r>
              <w:rPr>
                <w:rFonts w:ascii="Arial" w:cs="Arial" w:eastAsia="Arial" w:hAnsi="Arial"/>
                <w:sz w:val="15"/>
                <w:szCs w:val="15"/>
                <w:color w:val="auto"/>
              </w:rPr>
              <w:t>HalioDx</w:t>
            </w: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CCEEFF"/>
          </w:tcPr>
          <w:p>
            <w:pPr>
              <w:ind w:left="20"/>
              <w:spacing w:after="0" w:line="150" w:lineRule="exact"/>
              <w:rPr>
                <w:sz w:val="20"/>
                <w:szCs w:val="20"/>
                <w:color w:val="auto"/>
              </w:rPr>
            </w:pPr>
            <w:r>
              <w:rPr>
                <w:rFonts w:ascii="Arial" w:cs="Arial" w:eastAsia="Arial" w:hAnsi="Arial"/>
                <w:sz w:val="15"/>
                <w:szCs w:val="15"/>
                <w:color w:val="auto"/>
              </w:rPr>
              <w:t>customer</w:t>
            </w: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4,778</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(556)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4,222</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4,870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4,518</w:t>
            </w:r>
          </w:p>
        </w:tc>
        <w:tc>
          <w:tcPr>
            <w:tcW w:w="1040" w:type="dxa"/>
            <w:vAlign w:val="bottom"/>
            <w:gridSpan w:val="2"/>
            <w:vMerge w:val="restart"/>
            <w:shd w:val="clear" w:color="auto" w:fill="CCEEFF"/>
          </w:tcPr>
          <w:p>
            <w:pPr>
              <w:jc w:val="center"/>
              <w:ind w:left="405"/>
              <w:spacing w:after="0"/>
              <w:rPr>
                <w:sz w:val="20"/>
                <w:szCs w:val="20"/>
                <w:color w:val="auto"/>
              </w:rPr>
            </w:pPr>
            <w:r>
              <w:rPr>
                <w:rFonts w:ascii="Arial" w:cs="Arial" w:eastAsia="Arial" w:hAnsi="Arial"/>
                <w:sz w:val="15"/>
                <w:szCs w:val="15"/>
                <w:color w:val="auto"/>
                <w:w w:val="95"/>
              </w:rPr>
              <w:t>6</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relationships</w:t>
            </w: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380"/>
              <w:spacing w:after="0" w:line="154" w:lineRule="exact"/>
              <w:rPr>
                <w:sz w:val="20"/>
                <w:szCs w:val="20"/>
                <w:color w:val="auto"/>
              </w:rPr>
            </w:pPr>
            <w:r>
              <w:rPr>
                <w:rFonts w:ascii="Arial" w:cs="Arial" w:eastAsia="Arial" w:hAnsi="Arial"/>
                <w:sz w:val="15"/>
                <w:szCs w:val="15"/>
                <w:color w:val="auto"/>
              </w:rPr>
              <w:t>HalioDx</w:t>
            </w: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6,778</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(1,121)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5,657</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6,908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(710)</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6,198</w:t>
            </w:r>
          </w:p>
        </w:tc>
        <w:tc>
          <w:tcPr>
            <w:tcW w:w="1040" w:type="dxa"/>
            <w:vAlign w:val="bottom"/>
            <w:gridSpan w:val="2"/>
            <w:vMerge w:val="restart"/>
          </w:tcPr>
          <w:p>
            <w:pPr>
              <w:jc w:val="center"/>
              <w:ind w:left="405"/>
              <w:spacing w:after="0"/>
              <w:rPr>
                <w:sz w:val="20"/>
                <w:szCs w:val="20"/>
                <w:color w:val="auto"/>
              </w:rPr>
            </w:pPr>
            <w:r>
              <w:rPr>
                <w:rFonts w:ascii="Arial" w:cs="Arial" w:eastAsia="Arial" w:hAnsi="Arial"/>
                <w:sz w:val="15"/>
                <w:szCs w:val="15"/>
                <w:color w:val="auto"/>
                <w:w w:val="95"/>
              </w:rPr>
              <w:t>4</w:t>
            </w:r>
          </w:p>
        </w:tc>
        <w:tc>
          <w:tcPr>
            <w:tcW w:w="0" w:type="dxa"/>
            <w:vAlign w:val="bottom"/>
          </w:tcPr>
          <w:p>
            <w:pPr>
              <w:spacing w:after="0"/>
              <w:rPr>
                <w:sz w:val="1"/>
                <w:szCs w:val="1"/>
                <w:color w:val="auto"/>
              </w:rPr>
            </w:pPr>
          </w:p>
        </w:tc>
      </w:tr>
      <w:tr>
        <w:trPr>
          <w:trHeight w:val="193"/>
        </w:trPr>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w w:val="96"/>
              </w:rPr>
              <w:t>customer backlog</w:t>
            </w: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CCEEF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80" w:type="dxa"/>
            <w:vAlign w:val="bottom"/>
            <w:shd w:val="clear" w:color="auto" w:fill="CCEEFF"/>
          </w:tcPr>
          <w:p>
            <w:pPr>
              <w:ind w:left="480"/>
              <w:spacing w:after="0" w:line="138" w:lineRule="exact"/>
              <w:rPr>
                <w:sz w:val="20"/>
                <w:szCs w:val="20"/>
                <w:color w:val="auto"/>
              </w:rPr>
            </w:pPr>
            <w:r>
              <w:rPr>
                <w:rFonts w:ascii="Arial" w:cs="Arial" w:eastAsia="Arial" w:hAnsi="Arial"/>
                <w:sz w:val="15"/>
                <w:szCs w:val="15"/>
                <w:color w:val="auto"/>
              </w:rPr>
              <w:t>Total</w:t>
            </w:r>
          </w:p>
        </w:tc>
        <w:tc>
          <w:tcPr>
            <w:tcW w:w="4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80" w:type="dxa"/>
            <w:vAlign w:val="bottom"/>
            <w:shd w:val="clear" w:color="auto" w:fill="CCEEFF"/>
          </w:tcPr>
          <w:p>
            <w:pPr>
              <w:ind w:left="120"/>
              <w:spacing w:after="0" w:line="150" w:lineRule="exact"/>
              <w:rPr>
                <w:sz w:val="20"/>
                <w:szCs w:val="20"/>
                <w:color w:val="auto"/>
              </w:rPr>
            </w:pPr>
            <w:r>
              <w:rPr>
                <w:rFonts w:ascii="Arial" w:cs="Arial" w:eastAsia="Arial" w:hAnsi="Arial"/>
                <w:sz w:val="15"/>
                <w:szCs w:val="15"/>
                <w:color w:val="auto"/>
              </w:rPr>
              <w:t>finite-lived</w:t>
            </w: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220,757</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(31,829)</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188,928</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221,838</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(26,407)</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195,431</w:t>
            </w:r>
          </w:p>
        </w:tc>
        <w:tc>
          <w:tcPr>
            <w:tcW w:w="1040" w:type="dxa"/>
            <w:vAlign w:val="bottom"/>
            <w:gridSpan w:val="2"/>
            <w:vMerge w:val="restart"/>
            <w:shd w:val="clear" w:color="auto" w:fill="CCEEFF"/>
          </w:tcPr>
          <w:p>
            <w:pPr>
              <w:jc w:val="center"/>
              <w:ind w:left="385"/>
              <w:spacing w:after="0"/>
              <w:rPr>
                <w:sz w:val="20"/>
                <w:szCs w:val="20"/>
                <w:color w:val="auto"/>
              </w:rPr>
            </w:pPr>
            <w:r>
              <w:rPr>
                <w:rFonts w:ascii="Arial" w:cs="Arial" w:eastAsia="Arial" w:hAnsi="Arial"/>
                <w:sz w:val="15"/>
                <w:szCs w:val="15"/>
                <w:color w:val="auto"/>
                <w:w w:val="88"/>
              </w:rPr>
              <w:t>10.9</w:t>
            </w: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intangibles</w:t>
            </w: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tcPr>
          <w:p>
            <w:pPr>
              <w:ind w:left="20"/>
              <w:spacing w:after="0" w:line="154" w:lineRule="exact"/>
              <w:rPr>
                <w:sz w:val="20"/>
                <w:szCs w:val="20"/>
                <w:color w:val="auto"/>
              </w:rPr>
            </w:pPr>
            <w:r>
              <w:rPr>
                <w:rFonts w:ascii="Arial" w:cs="Arial" w:eastAsia="Arial" w:hAnsi="Arial"/>
                <w:sz w:val="15"/>
                <w:szCs w:val="15"/>
                <w:color w:val="auto"/>
              </w:rPr>
              <w:t>In-process</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tcPr>
          <w:p>
            <w:pPr>
              <w:ind w:left="80"/>
              <w:spacing w:after="0" w:line="150" w:lineRule="exact"/>
              <w:rPr>
                <w:sz w:val="20"/>
                <w:szCs w:val="20"/>
                <w:color w:val="auto"/>
              </w:rPr>
            </w:pPr>
            <w:r>
              <w:rPr>
                <w:rFonts w:ascii="Arial" w:cs="Arial" w:eastAsia="Arial" w:hAnsi="Arial"/>
                <w:sz w:val="15"/>
                <w:szCs w:val="15"/>
                <w:color w:val="auto"/>
              </w:rPr>
              <w:t>research and</w:t>
            </w: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7,300</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7,300</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7,300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7,300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80" w:type="dxa"/>
            <w:vAlign w:val="bottom"/>
          </w:tcPr>
          <w:p>
            <w:pPr>
              <w:ind w:left="80"/>
              <w:spacing w:after="0"/>
              <w:rPr>
                <w:sz w:val="20"/>
                <w:szCs w:val="20"/>
                <w:color w:val="auto"/>
              </w:rPr>
            </w:pPr>
            <w:r>
              <w:rPr>
                <w:rFonts w:ascii="Arial" w:cs="Arial" w:eastAsia="Arial" w:hAnsi="Arial"/>
                <w:sz w:val="15"/>
                <w:szCs w:val="15"/>
                <w:color w:val="auto"/>
              </w:rPr>
              <w:t>development</w:t>
            </w: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80" w:type="dxa"/>
            <w:vAlign w:val="bottom"/>
            <w:tcBorders>
              <w:top w:val="single" w:sz="8" w:color="CCEEFF"/>
            </w:tcBorders>
            <w:shd w:val="clear" w:color="auto" w:fill="CCEEFF"/>
          </w:tcPr>
          <w:p>
            <w:pPr>
              <w:ind w:left="480"/>
              <w:spacing w:after="0" w:line="138" w:lineRule="exact"/>
              <w:rPr>
                <w:sz w:val="20"/>
                <w:szCs w:val="20"/>
                <w:color w:val="auto"/>
              </w:rPr>
            </w:pPr>
            <w:r>
              <w:rPr>
                <w:rFonts w:ascii="Arial" w:cs="Arial" w:eastAsia="Arial" w:hAnsi="Arial"/>
                <w:sz w:val="15"/>
                <w:szCs w:val="15"/>
                <w:color w:val="auto"/>
              </w:rPr>
              <w:t>Total</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228,057</w:t>
            </w: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(31,829)</w:t>
            </w: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196,228</w:t>
            </w: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229,138</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(26,407)</w:t>
            </w:r>
          </w:p>
        </w:tc>
        <w:tc>
          <w:tcPr>
            <w:tcW w:w="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202,731</w:t>
            </w: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180" w:type="dxa"/>
            <w:vAlign w:val="bottom"/>
            <w:tcBorders>
              <w:bottom w:val="single" w:sz="8" w:color="CCEEFF"/>
            </w:tcBorders>
            <w:shd w:val="clear" w:color="auto" w:fill="CCEEFF"/>
          </w:tcPr>
          <w:p>
            <w:pPr>
              <w:ind w:left="120"/>
              <w:spacing w:after="0" w:line="171" w:lineRule="exact"/>
              <w:rPr>
                <w:sz w:val="20"/>
                <w:szCs w:val="20"/>
                <w:color w:val="auto"/>
              </w:rPr>
            </w:pPr>
            <w:r>
              <w:rPr>
                <w:rFonts w:ascii="Arial" w:cs="Arial" w:eastAsia="Arial" w:hAnsi="Arial"/>
                <w:sz w:val="15"/>
                <w:szCs w:val="15"/>
                <w:color w:val="auto"/>
                <w:w w:val="93"/>
              </w:rPr>
              <w:t>intangible assets</w:t>
            </w: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ind w:right="100" w:firstLine="375"/>
        <w:spacing w:after="0" w:line="266" w:lineRule="auto"/>
        <w:rPr>
          <w:sz w:val="20"/>
          <w:szCs w:val="20"/>
          <w:color w:val="auto"/>
        </w:rPr>
      </w:pPr>
      <w:r>
        <w:rPr>
          <w:rFonts w:ascii="Arial" w:cs="Arial" w:eastAsia="Arial" w:hAnsi="Arial"/>
          <w:sz w:val="17"/>
          <w:szCs w:val="17"/>
          <w:color w:val="auto"/>
        </w:rPr>
        <w:t>Amortization of the finite-lived intangible assets is recognized on a straight-line basis. Amortization expense of $5.5 million and $1.8 million was recognized for the three months ended March 31, 2022 and 2021, respectively.</w:t>
      </w:r>
    </w:p>
    <w:p>
      <w:pPr>
        <w:sectPr>
          <w:pgSz w:w="11900" w:h="16838" w:orient="portrait"/>
          <w:cols w:equalWidth="0" w:num="1">
            <w:col w:w="11340"/>
          </w:cols>
          <w:pgMar w:left="320" w:top="127" w:right="239" w:bottom="922"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16788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7" w:right="239" w:bottom="922" w:gutter="0" w:footer="0" w:header="0"/>
          <w:type w:val="continuous"/>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estimated future aggregate amortization expense as of March 31, 2022 is as follows (in thousands of dollars):</w:t>
      </w:r>
    </w:p>
    <w:p>
      <w:pPr>
        <w:spacing w:after="0" w:line="122"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9020" w:type="dxa"/>
            <w:vAlign w:val="bottom"/>
            <w:tcBorders>
              <w:bottom w:val="single" w:sz="8" w:color="CCEEFF"/>
            </w:tcBorders>
          </w:tcPr>
          <w:p>
            <w:pPr>
              <w:ind w:left="380"/>
              <w:spacing w:after="0"/>
              <w:rPr>
                <w:sz w:val="20"/>
                <w:szCs w:val="20"/>
                <w:color w:val="auto"/>
              </w:rPr>
            </w:pPr>
            <w:r>
              <w:rPr>
                <w:rFonts w:ascii="Arial" w:cs="Arial" w:eastAsia="Arial" w:hAnsi="Arial"/>
                <w:sz w:val="13"/>
                <w:szCs w:val="13"/>
                <w:b w:val="1"/>
                <w:bCs w:val="1"/>
                <w:color w:val="auto"/>
              </w:rPr>
              <w:t>Year Ending December 31,</w:t>
            </w: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Amounts</w:t>
            </w:r>
          </w:p>
        </w:tc>
      </w:tr>
      <w:tr>
        <w:trPr>
          <w:trHeight w:val="198"/>
        </w:trPr>
        <w:tc>
          <w:tcPr>
            <w:tcW w:w="9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2022 remainder of year</w:t>
            </w:r>
          </w:p>
        </w:tc>
        <w:tc>
          <w:tcPr>
            <w:tcW w:w="62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16,431</w:t>
            </w:r>
          </w:p>
        </w:tc>
      </w:tr>
      <w:tr>
        <w:trPr>
          <w:trHeight w:val="197"/>
        </w:trPr>
        <w:tc>
          <w:tcPr>
            <w:tcW w:w="9020" w:type="dxa"/>
            <w:vAlign w:val="bottom"/>
          </w:tcPr>
          <w:p>
            <w:pPr>
              <w:ind w:left="380"/>
              <w:spacing w:after="0"/>
              <w:rPr>
                <w:sz w:val="20"/>
                <w:szCs w:val="20"/>
                <w:color w:val="auto"/>
              </w:rPr>
            </w:pPr>
            <w:r>
              <w:rPr>
                <w:rFonts w:ascii="Arial" w:cs="Arial" w:eastAsia="Arial" w:hAnsi="Arial"/>
                <w:sz w:val="15"/>
                <w:szCs w:val="15"/>
                <w:color w:val="auto"/>
              </w:rPr>
              <w:t>2023</w:t>
            </w: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21,908</w:t>
            </w:r>
          </w:p>
        </w:tc>
      </w:tr>
      <w:tr>
        <w:trPr>
          <w:trHeight w:val="203"/>
        </w:trPr>
        <w:tc>
          <w:tcPr>
            <w:tcW w:w="9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2024</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21,868</w:t>
            </w:r>
          </w:p>
        </w:tc>
      </w:tr>
      <w:tr>
        <w:trPr>
          <w:trHeight w:val="197"/>
        </w:trPr>
        <w:tc>
          <w:tcPr>
            <w:tcW w:w="9020" w:type="dxa"/>
            <w:vAlign w:val="bottom"/>
          </w:tcPr>
          <w:p>
            <w:pPr>
              <w:ind w:left="380"/>
              <w:spacing w:after="0"/>
              <w:rPr>
                <w:sz w:val="20"/>
                <w:szCs w:val="20"/>
                <w:color w:val="auto"/>
              </w:rPr>
            </w:pPr>
            <w:r>
              <w:rPr>
                <w:rFonts w:ascii="Arial" w:cs="Arial" w:eastAsia="Arial" w:hAnsi="Arial"/>
                <w:sz w:val="15"/>
                <w:szCs w:val="15"/>
                <w:color w:val="auto"/>
              </w:rPr>
              <w:t>2025</w:t>
            </w: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20,725</w:t>
            </w:r>
          </w:p>
        </w:tc>
      </w:tr>
      <w:tr>
        <w:trPr>
          <w:trHeight w:val="203"/>
        </w:trPr>
        <w:tc>
          <w:tcPr>
            <w:tcW w:w="9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2026</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18,844</w:t>
            </w:r>
          </w:p>
        </w:tc>
      </w:tr>
      <w:tr>
        <w:trPr>
          <w:trHeight w:val="197"/>
        </w:trPr>
        <w:tc>
          <w:tcPr>
            <w:tcW w:w="90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Thereafter</w:t>
            </w:r>
          </w:p>
        </w:tc>
        <w:tc>
          <w:tcPr>
            <w:tcW w:w="6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89,152</w:t>
            </w:r>
          </w:p>
        </w:tc>
      </w:tr>
      <w:tr>
        <w:trPr>
          <w:trHeight w:val="221"/>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Total</w:t>
            </w:r>
          </w:p>
        </w:tc>
        <w:tc>
          <w:tcPr>
            <w:tcW w:w="6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188,928</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Supplies and Inventory</w:t>
      </w:r>
    </w:p>
    <w:p>
      <w:pPr>
        <w:spacing w:after="0" w:line="230"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As of March 31, 2022 and December 31, 2021, supplies and inventory consisted of $9.1 million and $8.2 million, respectively, of lab supplies and reagents consumed in the performance of testing services, and $3.3 million and $3.0 million, respectively, of inventory related to raw materials consumed in contract manufacturing process as well as finished diagnostic kits sourced from third parties related to product sales.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Accrued Liabilities</w:t>
      </w:r>
    </w:p>
    <w:p>
      <w:pPr>
        <w:spacing w:after="0" w:line="2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Accrued liabilities consisted of the following (in thousands of dollars):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2022</w:t>
            </w:r>
          </w:p>
        </w:tc>
        <w:tc>
          <w:tcPr>
            <w:tcW w:w="200" w:type="dxa"/>
            <w:vAlign w:val="bottom"/>
          </w:tcPr>
          <w:p>
            <w:pPr>
              <w:spacing w:after="0"/>
              <w:rPr>
                <w:sz w:val="17"/>
                <w:szCs w:val="17"/>
                <w:color w:val="auto"/>
              </w:rPr>
            </w:pPr>
          </w:p>
        </w:tc>
        <w:tc>
          <w:tcPr>
            <w:tcW w:w="1660" w:type="dxa"/>
            <w:vAlign w:val="bottom"/>
          </w:tcPr>
          <w:p>
            <w:pPr>
              <w:jc w:val="right"/>
              <w:ind w:right="245"/>
              <w:spacing w:after="0"/>
              <w:rPr>
                <w:sz w:val="20"/>
                <w:szCs w:val="20"/>
                <w:color w:val="auto"/>
              </w:rPr>
            </w:pPr>
            <w:r>
              <w:rPr>
                <w:rFonts w:ascii="Arial" w:cs="Arial" w:eastAsia="Arial" w:hAnsi="Arial"/>
                <w:sz w:val="15"/>
                <w:szCs w:val="15"/>
                <w:b w:val="1"/>
                <w:bCs w:val="1"/>
                <w:color w:val="auto"/>
                <w:w w:val="97"/>
              </w:rPr>
              <w:t>December 31, 2021</w:t>
            </w:r>
          </w:p>
        </w:tc>
      </w:tr>
      <w:tr>
        <w:trPr>
          <w:trHeight w:val="19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Accrued compensation expenses</w:t>
            </w:r>
          </w:p>
        </w:tc>
        <w:tc>
          <w:tcPr>
            <w:tcW w:w="26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29,525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30,792</w:t>
            </w:r>
          </w:p>
        </w:tc>
      </w:tr>
      <w:tr>
        <w:trPr>
          <w:trHeight w:val="19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Accrued other</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8,683</w:t>
            </w:r>
          </w:p>
        </w:tc>
      </w:tr>
      <w:tr>
        <w:trPr>
          <w:trHeight w:val="221"/>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accrued liabilities</w:t>
            </w:r>
          </w:p>
        </w:tc>
        <w:tc>
          <w:tcPr>
            <w:tcW w:w="2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38,543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39,475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Business Combinations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HalioDx</w:t>
      </w:r>
    </w:p>
    <w:p>
      <w:pPr>
        <w:spacing w:after="0" w:line="230"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On August 2, 2021, the Company acquired 100% of the equity interests (the "HalioDx Acquisition") of HalioDx SAS and 100% of the equity interest of HalioDx Inc., historically a wholly-owned subsidiary of HalioDx SAS, (collectively referred to as “HalioDx”). The HalioDx Acquisition gave the Company the capabilities and expertise to manufacture its own IVD test kits for use on the nCounter Analysis System. The acquisition also deepened the Company's scientific expertise into the rapidly growing area of immuno-oncology, expanded its reach into colon cancer with the Immunoscore test and further strengthened its offerings to biopharmaceutical and other partners. The consideration to acquire HalioDx was $319.6 million, comprised of $147.1 million in the form of 3.3 million shares of the Company’s common stock based on the Company's share price on the closing date, $4.2 million in liabilities, and the remainder in cash.</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9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summarizes the fair values of assets acquired and liabilities assumed in the acquisition of HalioDx at the date of acquisition (in thousands):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Cash and cash equivalents</w:t>
            </w:r>
          </w:p>
        </w:tc>
        <w:tc>
          <w:tcPr>
            <w:tcW w:w="140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5,938</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Accounts receivable</w:t>
            </w:r>
          </w:p>
        </w:tc>
        <w:tc>
          <w:tcPr>
            <w:tcW w:w="140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9,298</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Supplies inventory</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3,610</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Prepaids and other current assets</w:t>
            </w:r>
          </w:p>
        </w:tc>
        <w:tc>
          <w:tcPr>
            <w:tcW w:w="140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7,045</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Property and equipment, net</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2,716</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Right-of-use assets, financing lease</w:t>
            </w:r>
          </w:p>
        </w:tc>
        <w:tc>
          <w:tcPr>
            <w:tcW w:w="140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733</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Right-of-use assets, operating lease</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2,136</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Intangible assets</w:t>
            </w:r>
          </w:p>
        </w:tc>
        <w:tc>
          <w:tcPr>
            <w:tcW w:w="140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60,303</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Other assets</w:t>
            </w:r>
          </w:p>
        </w:tc>
        <w:tc>
          <w:tcPr>
            <w:tcW w:w="1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524</w:t>
            </w:r>
          </w:p>
        </w:tc>
      </w:tr>
      <w:tr>
        <w:trPr>
          <w:trHeight w:val="190"/>
        </w:trPr>
        <w:tc>
          <w:tcPr>
            <w:tcW w:w="8680" w:type="dxa"/>
            <w:vAlign w:val="bottom"/>
          </w:tcPr>
          <w:p>
            <w:pPr>
              <w:ind w:left="920"/>
              <w:spacing w:after="0"/>
              <w:rPr>
                <w:sz w:val="20"/>
                <w:szCs w:val="20"/>
                <w:color w:val="auto"/>
              </w:rPr>
            </w:pPr>
            <w:r>
              <w:rPr>
                <w:rFonts w:ascii="Arial" w:cs="Arial" w:eastAsia="Arial" w:hAnsi="Arial"/>
                <w:sz w:val="15"/>
                <w:szCs w:val="15"/>
                <w:color w:val="auto"/>
              </w:rPr>
              <w:t>Total identifiable assets acquired</w:t>
            </w:r>
          </w:p>
        </w:tc>
        <w:tc>
          <w:tcPr>
            <w:tcW w:w="1400" w:type="dxa"/>
            <w:vAlign w:val="bottom"/>
          </w:tcPr>
          <w:p>
            <w:pPr>
              <w:spacing w:after="0"/>
              <w:rPr>
                <w:sz w:val="16"/>
                <w:szCs w:val="16"/>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92,303</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Accounts payable</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(2,645)</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Accrued liabilities</w:t>
            </w:r>
          </w:p>
        </w:tc>
        <w:tc>
          <w:tcPr>
            <w:tcW w:w="1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(5,627)</w:t>
            </w:r>
          </w:p>
        </w:tc>
      </w:tr>
      <w:tr>
        <w:trPr>
          <w:trHeight w:val="203"/>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Current portion of financing lease liability</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r>
      <w:tr>
        <w:trPr>
          <w:trHeight w:val="197"/>
        </w:trPr>
        <w:tc>
          <w:tcPr>
            <w:tcW w:w="8680" w:type="dxa"/>
            <w:vAlign w:val="bottom"/>
          </w:tcPr>
          <w:p>
            <w:pPr>
              <w:ind w:left="740"/>
              <w:spacing w:after="0"/>
              <w:rPr>
                <w:sz w:val="20"/>
                <w:szCs w:val="20"/>
                <w:color w:val="auto"/>
              </w:rPr>
            </w:pPr>
            <w:r>
              <w:rPr>
                <w:rFonts w:ascii="Arial" w:cs="Arial" w:eastAsia="Arial" w:hAnsi="Arial"/>
                <w:sz w:val="15"/>
                <w:szCs w:val="15"/>
                <w:color w:val="auto"/>
              </w:rPr>
              <w:t>Current portion of operating lease liability</w:t>
            </w:r>
          </w:p>
        </w:tc>
        <w:tc>
          <w:tcPr>
            <w:tcW w:w="1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(448)</w:t>
            </w:r>
          </w:p>
        </w:tc>
      </w:tr>
      <w:tr>
        <w:trPr>
          <w:trHeight w:val="203"/>
        </w:trPr>
        <w:tc>
          <w:tcPr>
            <w:tcW w:w="86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Long-term debt</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(1,171)</w:t>
            </w:r>
          </w:p>
        </w:tc>
      </w:tr>
      <w:tr>
        <w:trPr>
          <w:trHeight w:val="197"/>
        </w:trPr>
        <w:tc>
          <w:tcPr>
            <w:tcW w:w="8680" w:type="dxa"/>
            <w:vAlign w:val="bottom"/>
          </w:tcPr>
          <w:p>
            <w:pPr>
              <w:ind w:left="740"/>
              <w:spacing w:after="0"/>
              <w:rPr>
                <w:sz w:val="20"/>
                <w:szCs w:val="20"/>
                <w:color w:val="auto"/>
              </w:rPr>
            </w:pPr>
            <w:r>
              <w:rPr>
                <w:rFonts w:ascii="Arial" w:cs="Arial" w:eastAsia="Arial" w:hAnsi="Arial"/>
                <w:sz w:val="15"/>
                <w:szCs w:val="15"/>
                <w:color w:val="auto"/>
              </w:rPr>
              <w:t>Deferred revenue</w:t>
            </w:r>
          </w:p>
        </w:tc>
        <w:tc>
          <w:tcPr>
            <w:tcW w:w="1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(3,250)</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Financing lease liability, net of current portion</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Operating lease liability, net of current portion</w:t>
            </w:r>
          </w:p>
        </w:tc>
        <w:tc>
          <w:tcPr>
            <w:tcW w:w="1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(1,687)</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Deferred tax liability</w:t>
            </w:r>
          </w:p>
        </w:tc>
        <w:tc>
          <w:tcPr>
            <w:tcW w:w="1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(6,946)</w:t>
            </w:r>
          </w:p>
        </w:tc>
      </w:tr>
      <w:tr>
        <w:trPr>
          <w:trHeight w:val="190"/>
        </w:trPr>
        <w:tc>
          <w:tcPr>
            <w:tcW w:w="8680" w:type="dxa"/>
            <w:vAlign w:val="bottom"/>
          </w:tcPr>
          <w:p>
            <w:pPr>
              <w:ind w:left="920"/>
              <w:spacing w:after="0"/>
              <w:rPr>
                <w:sz w:val="20"/>
                <w:szCs w:val="20"/>
                <w:color w:val="auto"/>
              </w:rPr>
            </w:pPr>
            <w:r>
              <w:rPr>
                <w:rFonts w:ascii="Arial" w:cs="Arial" w:eastAsia="Arial" w:hAnsi="Arial"/>
                <w:sz w:val="15"/>
                <w:szCs w:val="15"/>
                <w:color w:val="auto"/>
              </w:rPr>
              <w:t>Net identifiable assets acquired</w:t>
            </w:r>
          </w:p>
        </w:tc>
        <w:tc>
          <w:tcPr>
            <w:tcW w:w="1400" w:type="dxa"/>
            <w:vAlign w:val="bottom"/>
          </w:tcPr>
          <w:p>
            <w:pPr>
              <w:spacing w:after="0"/>
              <w:rPr>
                <w:sz w:val="16"/>
                <w:szCs w:val="16"/>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69,794</w:t>
            </w:r>
          </w:p>
        </w:tc>
      </w:tr>
      <w:tr>
        <w:trPr>
          <w:trHeight w:val="200"/>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Goodwill</w:t>
            </w:r>
          </w:p>
        </w:tc>
        <w:tc>
          <w:tcPr>
            <w:tcW w:w="14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249,846</w:t>
            </w:r>
          </w:p>
        </w:tc>
      </w:tr>
      <w:tr>
        <w:trPr>
          <w:trHeight w:val="196"/>
        </w:trPr>
        <w:tc>
          <w:tcPr>
            <w:tcW w:w="8680" w:type="dxa"/>
            <w:vAlign w:val="bottom"/>
          </w:tcPr>
          <w:p>
            <w:pPr>
              <w:ind w:left="920"/>
              <w:spacing w:after="0"/>
              <w:rPr>
                <w:sz w:val="20"/>
                <w:szCs w:val="20"/>
                <w:color w:val="auto"/>
              </w:rPr>
            </w:pPr>
            <w:r>
              <w:rPr>
                <w:rFonts w:ascii="Arial" w:cs="Arial" w:eastAsia="Arial" w:hAnsi="Arial"/>
                <w:sz w:val="15"/>
                <w:szCs w:val="15"/>
                <w:color w:val="auto"/>
              </w:rPr>
              <w:t>Total purchase price</w:t>
            </w:r>
          </w:p>
        </w:tc>
        <w:tc>
          <w:tcPr>
            <w:tcW w:w="140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319,640</w:t>
            </w:r>
          </w:p>
        </w:tc>
      </w:tr>
      <w:tr>
        <w:trPr>
          <w:trHeight w:val="20"/>
        </w:trPr>
        <w:tc>
          <w:tcPr>
            <w:tcW w:w="8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The Company's purchase price allocation for the HalioDx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certain income tax items, intangible assets, deferred revenue, accounts receivable, other assets, commitments and contingencies and goodwill. Additional information that existed as of the closing date but not known at the time of this filing may become known to the Company during the remainder of the measurement period, a period not to exceed 12 months from the closing date.</w:t>
      </w:r>
    </w:p>
    <w:p>
      <w:pPr>
        <w:spacing w:after="0" w:line="209"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Since the acquisition, the Company has recorded certain measurement period adjustments due to new information becoming available pertaining to the valuation of accounts payable and certain other assets. These adjustments were recorded as net increases to goodwill totaling $0.2 million and did not impact the condensed consolidated statements of operations.</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Decipher Biosciences</w:t>
      </w:r>
    </w:p>
    <w:p>
      <w:pPr>
        <w:spacing w:after="0" w:line="230"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On March 12, 2021, the Company acquired 100% of the equity interests of Decipher Biosciences, a privately-held company developing diagnostic tests in urologic cancers, for approximately $594.7 million (the "Decipher Acquisition").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93"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following table summarizes the fair values of assets acquired and liabilities assumed through the Company's acquisition of Decipher Biosciences at the date of acquisition (in thousands):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Cash and cash equivalents</w:t>
            </w:r>
          </w:p>
        </w:tc>
        <w:tc>
          <w:tcPr>
            <w:tcW w:w="1400" w:type="dxa"/>
            <w:vAlign w:val="bottom"/>
            <w:shd w:val="clear" w:color="auto" w:fill="CCEEFF"/>
          </w:tcPr>
          <w:p>
            <w:pPr>
              <w:jc w:val="right"/>
              <w:ind w:right="525"/>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19,782</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Accounts receivable</w:t>
            </w:r>
          </w:p>
        </w:tc>
        <w:tc>
          <w:tcPr>
            <w:tcW w:w="140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7,562</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Supplies inventory</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1,641</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Prepaids and other current assets</w:t>
            </w:r>
          </w:p>
        </w:tc>
        <w:tc>
          <w:tcPr>
            <w:tcW w:w="140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778</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Property and equipment, net</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1,737</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Right-of-use assets, operating lease</w:t>
            </w:r>
          </w:p>
        </w:tc>
        <w:tc>
          <w:tcPr>
            <w:tcW w:w="140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7,601</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Finite-lived intangible assets</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94,000</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Indefinite-lived intangible assets</w:t>
            </w:r>
          </w:p>
        </w:tc>
        <w:tc>
          <w:tcPr>
            <w:tcW w:w="140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5"/>
                <w:szCs w:val="15"/>
                <w:color w:val="auto"/>
              </w:rPr>
              <w:t>7,300</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Restricted cash</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146</w:t>
            </w:r>
          </w:p>
        </w:tc>
      </w:tr>
      <w:tr>
        <w:trPr>
          <w:trHeight w:val="197"/>
        </w:trPr>
        <w:tc>
          <w:tcPr>
            <w:tcW w:w="8680" w:type="dxa"/>
            <w:vAlign w:val="bottom"/>
            <w:tcBorders>
              <w:bottom w:val="single" w:sz="8" w:color="CCEEFF"/>
            </w:tcBorders>
          </w:tcPr>
          <w:p>
            <w:pPr>
              <w:ind w:left="720"/>
              <w:spacing w:after="0"/>
              <w:rPr>
                <w:sz w:val="20"/>
                <w:szCs w:val="20"/>
                <w:color w:val="auto"/>
              </w:rPr>
            </w:pPr>
            <w:r>
              <w:rPr>
                <w:rFonts w:ascii="Arial" w:cs="Arial" w:eastAsia="Arial" w:hAnsi="Arial"/>
                <w:sz w:val="15"/>
                <w:szCs w:val="15"/>
                <w:color w:val="auto"/>
              </w:rPr>
              <w:t>Other assets</w:t>
            </w:r>
          </w:p>
        </w:tc>
        <w:tc>
          <w:tcPr>
            <w:tcW w:w="1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3,075</w:t>
            </w:r>
          </w:p>
        </w:tc>
      </w:tr>
      <w:tr>
        <w:trPr>
          <w:trHeight w:val="196"/>
        </w:trPr>
        <w:tc>
          <w:tcPr>
            <w:tcW w:w="8680" w:type="dxa"/>
            <w:vAlign w:val="bottom"/>
            <w:shd w:val="clear" w:color="auto" w:fill="CCEEFF"/>
          </w:tcPr>
          <w:p>
            <w:pPr>
              <w:ind w:left="920"/>
              <w:spacing w:after="0"/>
              <w:rPr>
                <w:sz w:val="20"/>
                <w:szCs w:val="20"/>
                <w:color w:val="auto"/>
              </w:rPr>
            </w:pPr>
            <w:r>
              <w:rPr>
                <w:rFonts w:ascii="Arial" w:cs="Arial" w:eastAsia="Arial" w:hAnsi="Arial"/>
                <w:sz w:val="15"/>
                <w:szCs w:val="15"/>
                <w:color w:val="auto"/>
              </w:rPr>
              <w:t>Total identifiable assets acquired</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143,622</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Accounts payable</w:t>
            </w:r>
          </w:p>
        </w:tc>
        <w:tc>
          <w:tcPr>
            <w:tcW w:w="1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(2,351)</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Accrued liabilities</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(4,322)</w:t>
            </w:r>
          </w:p>
        </w:tc>
      </w:tr>
      <w:tr>
        <w:trPr>
          <w:trHeight w:val="197"/>
        </w:trPr>
        <w:tc>
          <w:tcPr>
            <w:tcW w:w="8680" w:type="dxa"/>
            <w:vAlign w:val="bottom"/>
          </w:tcPr>
          <w:p>
            <w:pPr>
              <w:ind w:left="720"/>
              <w:spacing w:after="0"/>
              <w:rPr>
                <w:sz w:val="20"/>
                <w:szCs w:val="20"/>
                <w:color w:val="auto"/>
              </w:rPr>
            </w:pPr>
            <w:r>
              <w:rPr>
                <w:rFonts w:ascii="Arial" w:cs="Arial" w:eastAsia="Arial" w:hAnsi="Arial"/>
                <w:sz w:val="15"/>
                <w:szCs w:val="15"/>
                <w:color w:val="auto"/>
              </w:rPr>
              <w:t>Operating lease obligations (current)</w:t>
            </w:r>
          </w:p>
        </w:tc>
        <w:tc>
          <w:tcPr>
            <w:tcW w:w="1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(1,241)</w:t>
            </w:r>
          </w:p>
        </w:tc>
      </w:tr>
      <w:tr>
        <w:trPr>
          <w:trHeight w:val="203"/>
        </w:trPr>
        <w:tc>
          <w:tcPr>
            <w:tcW w:w="86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Operating lease obligations, net of current portion</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(4,540)</w:t>
            </w:r>
          </w:p>
        </w:tc>
      </w:tr>
      <w:tr>
        <w:trPr>
          <w:trHeight w:val="197"/>
        </w:trPr>
        <w:tc>
          <w:tcPr>
            <w:tcW w:w="8680" w:type="dxa"/>
            <w:vAlign w:val="bottom"/>
            <w:tcBorders>
              <w:bottom w:val="single" w:sz="8" w:color="CCEEFF"/>
            </w:tcBorders>
          </w:tcPr>
          <w:p>
            <w:pPr>
              <w:ind w:left="720"/>
              <w:spacing w:after="0"/>
              <w:rPr>
                <w:sz w:val="20"/>
                <w:szCs w:val="20"/>
                <w:color w:val="auto"/>
              </w:rPr>
            </w:pPr>
            <w:r>
              <w:rPr>
                <w:rFonts w:ascii="Arial" w:cs="Arial" w:eastAsia="Arial" w:hAnsi="Arial"/>
                <w:sz w:val="15"/>
                <w:szCs w:val="15"/>
                <w:color w:val="auto"/>
              </w:rPr>
              <w:t>Deferred tax liability</w:t>
            </w:r>
          </w:p>
        </w:tc>
        <w:tc>
          <w:tcPr>
            <w:tcW w:w="1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(4,740)</w:t>
            </w:r>
          </w:p>
        </w:tc>
      </w:tr>
      <w:tr>
        <w:trPr>
          <w:trHeight w:val="196"/>
        </w:trPr>
        <w:tc>
          <w:tcPr>
            <w:tcW w:w="868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identifiable assets acquired</w:t>
            </w:r>
          </w:p>
        </w:tc>
        <w:tc>
          <w:tcPr>
            <w:tcW w:w="1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126,428</w:t>
            </w:r>
          </w:p>
        </w:tc>
      </w:tr>
      <w:tr>
        <w:trPr>
          <w:trHeight w:val="197"/>
        </w:trPr>
        <w:tc>
          <w:tcPr>
            <w:tcW w:w="8680" w:type="dxa"/>
            <w:vAlign w:val="bottom"/>
            <w:tcBorders>
              <w:bottom w:val="single" w:sz="8" w:color="CCEEFF"/>
            </w:tcBorders>
          </w:tcPr>
          <w:p>
            <w:pPr>
              <w:ind w:left="720"/>
              <w:spacing w:after="0"/>
              <w:rPr>
                <w:sz w:val="20"/>
                <w:szCs w:val="20"/>
                <w:color w:val="auto"/>
              </w:rPr>
            </w:pPr>
            <w:r>
              <w:rPr>
                <w:rFonts w:ascii="Arial" w:cs="Arial" w:eastAsia="Arial" w:hAnsi="Arial"/>
                <w:sz w:val="15"/>
                <w:szCs w:val="15"/>
                <w:color w:val="auto"/>
              </w:rPr>
              <w:t>Goodwill</w:t>
            </w:r>
          </w:p>
        </w:tc>
        <w:tc>
          <w:tcPr>
            <w:tcW w:w="1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468,266</w:t>
            </w:r>
          </w:p>
        </w:tc>
      </w:tr>
      <w:tr>
        <w:trPr>
          <w:trHeight w:val="221"/>
        </w:trPr>
        <w:tc>
          <w:tcPr>
            <w:tcW w:w="86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5"/>
                <w:szCs w:val="15"/>
                <w:color w:val="auto"/>
              </w:rPr>
              <w:t>Total purchase price</w:t>
            </w:r>
          </w:p>
        </w:tc>
        <w:tc>
          <w:tcPr>
            <w:tcW w:w="140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594,694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three months ended March 31, 2022, there were no measurement period adjustments.</w:t>
      </w:r>
    </w:p>
    <w:p>
      <w:pPr>
        <w:spacing w:after="0" w:line="23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Related Party Transactions</w:t>
      </w:r>
    </w:p>
    <w:p>
      <w:pPr>
        <w:spacing w:after="0" w:line="230"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Members of Veracyte's board of directors, Dr. Tina S. Nova, Ph.D. and Dr. Robert S. Epstein, M.D., M.S., served on the board of directors of Decipher Biosciences prior to the acquisition of Decipher Biosciences, with Dr. Nova additionally serving as President and Chief Executive Officer of Decipher Biosciences. Pursuant to Veracyte's related party transactions policy, Dr. Nova and Dr. Epstein recused themselves from all discussions of its board of directors related to the Decipher Acquisition, and the Decipher Acquisition was approved by each of the non-interested members of the board of directors. In connection with the Decipher Acquisition, certain Decipher Biosciences equity awards held by Dr. Nova and Dr. Epstein were fully-accelerated and certain incentive bonus payments were made to Dr. Nova pursuant to a management incentive plan established by the Decipher Biosciences board of directors, resulting in payments of approximately $26.5 million and $1.4 million to each of them, respectively. Dr. Nova resigned from Veracyte’s board of directors and now serves as Veracyte's President of its CLIA US Business. Dr. Epstein continues to serve on Veracyte’s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09"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52" w:lineRule="exact"/>
        <w:rPr>
          <w:sz w:val="20"/>
          <w:szCs w:val="20"/>
          <w:color w:val="auto"/>
        </w:rPr>
      </w:pPr>
    </w:p>
    <w:p>
      <w:pPr>
        <w:ind w:left="740" w:hanging="289"/>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104" w:lineRule="exact"/>
        <w:rPr>
          <w:rFonts w:ascii="Arial" w:cs="Arial" w:eastAsia="Arial" w:hAnsi="Arial"/>
          <w:sz w:val="17"/>
          <w:szCs w:val="17"/>
          <w:color w:val="auto"/>
        </w:rPr>
      </w:pPr>
    </w:p>
    <w:p>
      <w:pPr>
        <w:ind w:left="760" w:hanging="309"/>
        <w:spacing w:after="0" w:line="256" w:lineRule="auto"/>
        <w:tabs>
          <w:tab w:leader="none" w:pos="75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93" w:lineRule="exact"/>
        <w:rPr>
          <w:sz w:val="20"/>
          <w:szCs w:val="20"/>
          <w:color w:val="auto"/>
        </w:rPr>
      </w:pPr>
    </w:p>
    <w:p>
      <w:pPr>
        <w:ind w:left="740" w:hanging="289"/>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1"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The fair value of the Company’s financial assets includes money market funds, time deposits and deposits for leases of the Company's facilities. Money market funds, included in cash and cash equivalents in the accompanying condensed consolidated balance sheets, were $142.7 million and $159.2 million as of March 31, 2022 and December 31, 2021, respectively, and are Level I assets as described above. Included in prepaid expenses and other current assets as of March 31, 2022 and December 31, 2021 were time deposits with a bank valued at amortized cost of $2.8 million and $4.0 million, respectively, which approximates fair value, and are Level II assets as described above. The deposits for the leases, included in restricted cash, were $0.7 million as of both March 31, 2022 and December 31, 2021 and are a Level I assets as described above. There were no transfers between Levels 1, 2 or 3 for the three months ended March 31, 2022, and 2021.</w:t>
      </w:r>
    </w:p>
    <w:p>
      <w:pPr>
        <w:spacing w:after="0" w:line="155"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5"/>
          <w:szCs w:val="15"/>
          <w:color w:val="auto"/>
        </w:rPr>
        <w:t>On December 3, 2019, the Company acquired from NanoString the exclusive global diagnostics license to the nCounter Analysis System, the Prosigna breast cancer prognostic gene signature assay, and the LymphMark lymphoma subtyping assay.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and is remeasured to fair value at each reporting date until the contingent consideration is settled. As of March 31, 2022 and December 31, 2021, this contingency was remeasured to $8.4 million and $8.4 million, respectively, with the corresponding changes included in general and administrative expense in the Company's condensed consolidated statements of operations. For the three months ended March 31, 2022, and 2021 expenses of zero and $0.2 million, respectively, were recorded in general and administrative expense for the changes in carrying value. As of March 31, 2022, the achievement of one of the milestones is forecasted to occur within the next 12 months. As a result, $2.7 million of the contingent consideration is included in short term liabilities at March 31, 2022. 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March 31, 2022 and December 31, 2021, the Company calculated the estimated fair value of the milestones using the following significant unobservable inputs: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Borders>
              <w:bottom w:val="single" w:sz="8" w:color="auto"/>
            </w:tcBorders>
            <w:gridSpan w:val="3"/>
          </w:tcPr>
          <w:p>
            <w:pPr>
              <w:ind w:left="740"/>
              <w:spacing w:after="0"/>
              <w:rPr>
                <w:sz w:val="20"/>
                <w:szCs w:val="20"/>
                <w:color w:val="auto"/>
              </w:rPr>
            </w:pPr>
            <w:r>
              <w:rPr>
                <w:rFonts w:ascii="Arial" w:cs="Arial" w:eastAsia="Arial" w:hAnsi="Arial"/>
                <w:sz w:val="15"/>
                <w:szCs w:val="15"/>
                <w:b w:val="1"/>
                <w:bCs w:val="1"/>
                <w:color w:val="auto"/>
              </w:rPr>
              <w:t>Value or Range (Weighted-Average)</w:t>
            </w:r>
          </w:p>
        </w:tc>
      </w:tr>
      <w:tr>
        <w:trPr>
          <w:trHeight w:val="196"/>
        </w:trPr>
        <w:tc>
          <w:tcPr>
            <w:tcW w:w="7360" w:type="dxa"/>
            <w:vAlign w:val="bottom"/>
            <w:tcBorders>
              <w:bottom w:val="single" w:sz="8" w:color="auto"/>
            </w:tcBorders>
          </w:tcPr>
          <w:p>
            <w:pPr>
              <w:ind w:left="304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March 31, 2022</w:t>
            </w:r>
          </w:p>
        </w:tc>
        <w:tc>
          <w:tcPr>
            <w:tcW w:w="10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December 31, 2021</w:t>
            </w:r>
          </w:p>
        </w:tc>
      </w:tr>
      <w:tr>
        <w:trPr>
          <w:trHeight w:val="19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 rate</w:t>
            </w:r>
          </w:p>
        </w:tc>
        <w:tc>
          <w:tcPr>
            <w:tcW w:w="184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685"/>
              <w:spacing w:after="0"/>
              <w:rPr>
                <w:sz w:val="20"/>
                <w:szCs w:val="20"/>
                <w:color w:val="auto"/>
              </w:rPr>
            </w:pPr>
            <w:r>
              <w:rPr>
                <w:rFonts w:ascii="Arial" w:cs="Arial" w:eastAsia="Arial" w:hAnsi="Arial"/>
                <w:sz w:val="15"/>
                <w:szCs w:val="15"/>
                <w:color w:val="auto"/>
              </w:rPr>
              <w:t>5.9%</w:t>
            </w:r>
          </w:p>
        </w:tc>
      </w:tr>
      <w:tr>
        <w:trPr>
          <w:trHeight w:val="194"/>
        </w:trPr>
        <w:tc>
          <w:tcPr>
            <w:tcW w:w="7460" w:type="dxa"/>
            <w:vAlign w:val="bottom"/>
            <w:gridSpan w:val="2"/>
          </w:tcPr>
          <w:p>
            <w:pPr>
              <w:ind w:left="20"/>
              <w:spacing w:after="0"/>
              <w:rPr>
                <w:sz w:val="20"/>
                <w:szCs w:val="20"/>
                <w:color w:val="auto"/>
              </w:rPr>
            </w:pPr>
            <w:r>
              <w:rPr>
                <w:rFonts w:ascii="Arial" w:cs="Arial" w:eastAsia="Arial" w:hAnsi="Arial"/>
                <w:sz w:val="15"/>
                <w:szCs w:val="15"/>
                <w:color w:val="auto"/>
              </w:rPr>
              <w:t>Probability of achievement</w:t>
            </w:r>
          </w:p>
        </w:tc>
        <w:tc>
          <w:tcPr>
            <w:tcW w:w="1840" w:type="dxa"/>
            <w:vAlign w:val="bottom"/>
          </w:tcPr>
          <w:p>
            <w:pPr>
              <w:jc w:val="right"/>
              <w:ind w:right="265"/>
              <w:spacing w:after="0"/>
              <w:rPr>
                <w:sz w:val="20"/>
                <w:szCs w:val="20"/>
                <w:color w:val="auto"/>
              </w:rPr>
            </w:pPr>
            <w:r>
              <w:rPr>
                <w:rFonts w:ascii="Arial" w:cs="Arial" w:eastAsia="Arial" w:hAnsi="Arial"/>
                <w:sz w:val="15"/>
                <w:szCs w:val="15"/>
                <w:color w:val="auto"/>
              </w:rPr>
              <w:t>80% - 100% (94%)</w:t>
            </w:r>
          </w:p>
        </w:tc>
        <w:tc>
          <w:tcPr>
            <w:tcW w:w="100" w:type="dxa"/>
            <w:vAlign w:val="bottom"/>
          </w:tcPr>
          <w:p>
            <w:pPr>
              <w:spacing w:after="0"/>
              <w:rPr>
                <w:sz w:val="16"/>
                <w:szCs w:val="16"/>
                <w:color w:val="auto"/>
              </w:rPr>
            </w:pPr>
          </w:p>
        </w:tc>
        <w:tc>
          <w:tcPr>
            <w:tcW w:w="1840" w:type="dxa"/>
            <w:vAlign w:val="bottom"/>
          </w:tcPr>
          <w:p>
            <w:pPr>
              <w:jc w:val="right"/>
              <w:ind w:right="265"/>
              <w:spacing w:after="0"/>
              <w:rPr>
                <w:sz w:val="20"/>
                <w:szCs w:val="20"/>
                <w:color w:val="auto"/>
              </w:rPr>
            </w:pPr>
            <w:r>
              <w:rPr>
                <w:rFonts w:ascii="Arial" w:cs="Arial" w:eastAsia="Arial" w:hAnsi="Arial"/>
                <w:sz w:val="15"/>
                <w:szCs w:val="15"/>
                <w:color w:val="auto"/>
              </w:rPr>
              <w:t>80% - 100% (94%)</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Commitments and Contingencies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05"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The Company leases office and laboratory facilities in South San Francisco and San Diego, California, Austin, Texas, Marseille, France, and Richmond, Virginia, and leases certain equipment under various non-cancelable lease agreements. The lease terms extend to October 2030 and contain extension of lease terms and expansion options. The leases have a weighted average remaining lease term of 4.5 years as of March 31, 2022. The Company had deposits of $0.7 million included in long-term assets as of both March 31, 2022, and December 31, 2021 restricted from withdrawal and held by banks in the form of collateral for irrevocable standby letters of credit held as security for the leases.</w:t>
      </w:r>
    </w:p>
    <w:p>
      <w:pPr>
        <w:spacing w:after="0" w:line="204"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 xml:space="preserve">The Company determined its operating lease liabilities using payments through their current expiration dates and a weighted average discount rate of 6.4%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or ASC 842, the Company classified its deferred rent for tenant improvements with its operating lease right-of-use assets on the consolidated balance sheets. In connection with the acquisition of Decipher Biosciences, the Company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identified certain off-market rate leases and has estimated an intangible asset of $1.8 million which is included in operating lease assets and will be amortized over the remaining lease term.</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minimum lease payments under non-cancelable operating leases as of March 31, 2022 are as follows (in thousands of dollars):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Ending December 31,</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b w:val="1"/>
                <w:bCs w:val="1"/>
                <w:color w:val="auto"/>
              </w:rPr>
              <w:t>Amounts</w:t>
            </w:r>
          </w:p>
        </w:tc>
      </w:tr>
      <w:tr>
        <w:trPr>
          <w:trHeight w:val="196"/>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Remainder of 2022</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3,450</w:t>
            </w:r>
          </w:p>
        </w:tc>
      </w:tr>
      <w:tr>
        <w:trPr>
          <w:trHeight w:val="197"/>
        </w:trPr>
        <w:tc>
          <w:tcPr>
            <w:tcW w:w="9360" w:type="dxa"/>
            <w:vAlign w:val="bottom"/>
          </w:tcPr>
          <w:p>
            <w:pPr>
              <w:ind w:left="20"/>
              <w:spacing w:after="0"/>
              <w:rPr>
                <w:sz w:val="20"/>
                <w:szCs w:val="20"/>
                <w:color w:val="auto"/>
              </w:rPr>
            </w:pPr>
            <w:r>
              <w:rPr>
                <w:rFonts w:ascii="Arial" w:cs="Arial" w:eastAsia="Arial" w:hAnsi="Arial"/>
                <w:sz w:val="15"/>
                <w:szCs w:val="15"/>
                <w:color w:val="auto"/>
              </w:rPr>
              <w:t>2023</w:t>
            </w:r>
          </w:p>
        </w:tc>
        <w:tc>
          <w:tcPr>
            <w:tcW w:w="360" w:type="dxa"/>
            <w:vAlign w:val="bottom"/>
          </w:tcPr>
          <w:p>
            <w:pPr>
              <w:spacing w:after="0"/>
              <w:rPr>
                <w:sz w:val="17"/>
                <w:szCs w:val="17"/>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4,672</w:t>
            </w:r>
          </w:p>
        </w:tc>
      </w:tr>
      <w:tr>
        <w:trPr>
          <w:trHeight w:val="203"/>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4,431</w:t>
            </w:r>
          </w:p>
        </w:tc>
      </w:tr>
      <w:tr>
        <w:trPr>
          <w:trHeight w:val="197"/>
        </w:trPr>
        <w:tc>
          <w:tcPr>
            <w:tcW w:w="9360" w:type="dxa"/>
            <w:vAlign w:val="bottom"/>
          </w:tcPr>
          <w:p>
            <w:pPr>
              <w:ind w:left="20"/>
              <w:spacing w:after="0"/>
              <w:rPr>
                <w:sz w:val="20"/>
                <w:szCs w:val="20"/>
                <w:color w:val="auto"/>
              </w:rPr>
            </w:pPr>
            <w:r>
              <w:rPr>
                <w:rFonts w:ascii="Arial" w:cs="Arial" w:eastAsia="Arial" w:hAnsi="Arial"/>
                <w:sz w:val="15"/>
                <w:szCs w:val="15"/>
                <w:color w:val="auto"/>
              </w:rPr>
              <w:t>2025</w:t>
            </w:r>
          </w:p>
        </w:tc>
        <w:tc>
          <w:tcPr>
            <w:tcW w:w="360" w:type="dxa"/>
            <w:vAlign w:val="bottom"/>
          </w:tcPr>
          <w:p>
            <w:pPr>
              <w:spacing w:after="0"/>
              <w:rPr>
                <w:sz w:val="17"/>
                <w:szCs w:val="17"/>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4,482</w:t>
            </w:r>
          </w:p>
        </w:tc>
      </w:tr>
      <w:tr>
        <w:trPr>
          <w:trHeight w:val="203"/>
        </w:trPr>
        <w:tc>
          <w:tcPr>
            <w:tcW w:w="9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1,402</w:t>
            </w:r>
          </w:p>
        </w:tc>
      </w:tr>
      <w:tr>
        <w:trPr>
          <w:trHeight w:val="197"/>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1,570</w:t>
            </w:r>
          </w:p>
        </w:tc>
      </w:tr>
      <w:tr>
        <w:trPr>
          <w:trHeight w:val="196"/>
        </w:trPr>
        <w:tc>
          <w:tcPr>
            <w:tcW w:w="9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future minimum lease payments</w:t>
            </w: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20,007</w:t>
            </w:r>
          </w:p>
        </w:tc>
      </w:tr>
      <w:tr>
        <w:trPr>
          <w:trHeight w:val="197"/>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amount representing interest</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2,673</w:t>
            </w:r>
          </w:p>
        </w:tc>
      </w:tr>
      <w:tr>
        <w:trPr>
          <w:trHeight w:val="196"/>
        </w:trPr>
        <w:tc>
          <w:tcPr>
            <w:tcW w:w="9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Present value of future lease payments</w:t>
            </w: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17,334</w:t>
            </w:r>
          </w:p>
        </w:tc>
      </w:tr>
      <w:tr>
        <w:trPr>
          <w:trHeight w:val="197"/>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short-term lease liabilities</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3,849</w:t>
            </w:r>
          </w:p>
        </w:tc>
      </w:tr>
      <w:tr>
        <w:trPr>
          <w:trHeight w:val="221"/>
        </w:trPr>
        <w:tc>
          <w:tcPr>
            <w:tcW w:w="9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Long-term lease liabilities</w:t>
            </w: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95"/>
              </w:rPr>
              <w:t>$</w:t>
            </w:r>
          </w:p>
        </w:tc>
        <w:tc>
          <w:tcPr>
            <w:tcW w:w="15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13,485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0" w:lineRule="exact"/>
        <w:rPr>
          <w:sz w:val="20"/>
          <w:szCs w:val="20"/>
          <w:color w:val="auto"/>
        </w:rPr>
      </w:pPr>
    </w:p>
    <w:tbl>
      <w:tblPr>
        <w:tblLayout w:type="fixed"/>
        <w:tblInd w:w="1220"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5"/>
                <w:szCs w:val="15"/>
                <w:b w:val="1"/>
                <w:bCs w:val="1"/>
                <w:color w:val="auto"/>
                <w:w w:val="99"/>
              </w:rPr>
              <w:t>Three Months Ended March 31,</w:t>
            </w:r>
          </w:p>
        </w:tc>
      </w:tr>
      <w:tr>
        <w:trPr>
          <w:trHeight w:val="193"/>
        </w:trPr>
        <w:tc>
          <w:tcPr>
            <w:tcW w:w="5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rPr>
              <w:t>2021</w:t>
            </w:r>
          </w:p>
        </w:tc>
      </w:tr>
      <w:tr>
        <w:trPr>
          <w:trHeight w:val="196"/>
        </w:trPr>
        <w:tc>
          <w:tcPr>
            <w:tcW w:w="5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expense</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r>
      <w:tr>
        <w:trPr>
          <w:trHeight w:val="194"/>
        </w:trPr>
        <w:tc>
          <w:tcPr>
            <w:tcW w:w="5860" w:type="dxa"/>
            <w:vAlign w:val="bottom"/>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1,068</w:t>
            </w:r>
          </w:p>
        </w:tc>
        <w:tc>
          <w:tcPr>
            <w:tcW w:w="80" w:type="dxa"/>
            <w:vAlign w:val="bottom"/>
          </w:tcPr>
          <w:p>
            <w:pPr>
              <w:spacing w:after="0"/>
              <w:rPr>
                <w:sz w:val="16"/>
                <w:szCs w:val="16"/>
                <w:color w:val="auto"/>
              </w:rPr>
            </w:pPr>
          </w:p>
        </w:tc>
        <w:tc>
          <w:tcPr>
            <w:tcW w:w="320" w:type="dxa"/>
            <w:vAlign w:val="bottom"/>
          </w:tcPr>
          <w:p>
            <w:pPr>
              <w:jc w:val="right"/>
              <w:ind w:right="145"/>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588</w:t>
            </w:r>
          </w:p>
        </w:tc>
      </w:tr>
    </w:tbl>
    <w:p>
      <w:pPr>
        <w:spacing w:after="0" w:line="306"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The company has leased laboratory equipment under various financing leases. The total right-of-use assets and total financing lease liabilities for these financing leases were each $0.6 million as of March 31, 2022, and are included in property and equipment, net and other liabilities in the accompanying condensed consolidated balance sheets. As of December 31, 2021, the total right-of-use assets and total financing lease liabilities for these financing leases were $0.7 million and $0.6 million, respectively.</w:t>
      </w:r>
    </w:p>
    <w:p>
      <w:pPr>
        <w:spacing w:after="0" w:line="205"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The Company’s wholly-owned foreign subsidiary has entered into an arrangement under which it expects to sign a lease agreement for facilities which will be constructed in Marseille, France. The lease will commence upon completion of the construction of the office building which the Company currently expects to occur in the fourth quarter of 2023 at which time the Company will record a lease liability and a corresponding ROU asset. The initial term of the lease will be twelve years with annual rent of approximately $1.4 million, which is subject to change based on final construction.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05"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From time to time, the Company may be involved in legal proceedings arising in the ordinary course of business. The Company assesses contingencies to determine the degree of probability and range of possible loss for potential accrual in its condensed consolidated financial statements. An estimated loss contingency is accrued in the financial statements if it is probable that a liability has been incurred and the amount of the loss can be reasonably estimated. The Company believes there are no legal proceedings pending that could have, either individually or in the aggregate, a material adverse effect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VERACYTE, INC.</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 and Security Agreement</w:t>
      </w:r>
    </w:p>
    <w:p>
      <w:pPr>
        <w:spacing w:after="0" w:line="205"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On November 3, 2017, the Company entered into a loan and security agreement, or Loan and Security Agreement, with Silicon Valley Bank. The Loan and Security Agreement allows the Company to borrow up to $35.0 million, with a $25.0 million advance term loan, or Term Loan Advance, and a revolving line of credit of up to $10.0 million, or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March 31, 2022.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5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The Term Loan Advance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w:t>
      </w:r>
    </w:p>
    <w:p>
      <w:pPr>
        <w:spacing w:after="0" w:line="175"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5"/>
          <w:szCs w:val="15"/>
          <w:color w:val="auto"/>
        </w:rPr>
        <w:t>The Company may prepay the outstanding principal amount under the Term Loan Advance plus accrued and unpaid interest and, if the Term Loan Advance is repaid in full, a prepayment premium of $250,000. In 2019 and 2020, the Company prepaid $24.9 million and $0.1 million, respectively, of the principal amount of the Term Loan Advance. These prepayments did not trigger any prepayment premium because they were partial, not full, repayments of the principal amount. If the Loan and Security Agreement is terminated before maturity, then a termination fee equal to 1% of the Revolving Line of Credit, or $0.1 million, will be due.</w:t>
      </w:r>
    </w:p>
    <w:p>
      <w:pPr>
        <w:spacing w:after="0" w:line="172"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as well as affirmative and negative covenants. As of March 31, 2022, the Company was in compliance with the loan covenants. The Company’s obligations under the Loan and Security Agreement are secured by substantially all of its assets (excluding intellectual property), subject to certain customary exceptions.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debt obligation for borrowings made under the Loan and Security Agreement was as follows (in thousands of dollars):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b w:val="1"/>
                <w:bCs w:val="1"/>
                <w:color w:val="auto"/>
                <w:w w:val="97"/>
              </w:rPr>
              <w:t>December 31, 2021</w:t>
            </w:r>
          </w:p>
        </w:tc>
      </w:tr>
      <w:tr>
        <w:trPr>
          <w:trHeight w:val="19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Debt principal</w:t>
            </w:r>
          </w:p>
        </w:tc>
        <w:tc>
          <w:tcPr>
            <w:tcW w:w="1440" w:type="dxa"/>
            <w:vAlign w:val="bottom"/>
            <w:shd w:val="clear" w:color="auto" w:fill="CCEEFF"/>
          </w:tcPr>
          <w:p>
            <w:pPr>
              <w:jc w:val="right"/>
              <w:ind w:right="1265"/>
              <w:spacing w:after="0"/>
              <w:rPr>
                <w:sz w:val="20"/>
                <w:szCs w:val="20"/>
                <w:color w:val="auto"/>
              </w:rPr>
            </w:pPr>
            <w:r>
              <w:rPr>
                <w:rFonts w:ascii="Arial" w:cs="Arial" w:eastAsia="Arial" w:hAnsi="Arial"/>
                <w:sz w:val="15"/>
                <w:szCs w:val="15"/>
                <w:color w:val="auto"/>
                <w:w w:val="95"/>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9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End-of-term debt obligation</w:t>
            </w:r>
          </w:p>
        </w:tc>
        <w:tc>
          <w:tcPr>
            <w:tcW w:w="1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1,079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1,026</w:t>
            </w:r>
          </w:p>
        </w:tc>
      </w:tr>
      <w:tr>
        <w:trPr>
          <w:trHeight w:val="22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debt obligation</w:t>
            </w:r>
          </w:p>
        </w:tc>
        <w:tc>
          <w:tcPr>
            <w:tcW w:w="1440" w:type="dxa"/>
            <w:vAlign w:val="bottom"/>
            <w:tcBorders>
              <w:bottom w:val="single" w:sz="8" w:color="auto"/>
            </w:tcBorders>
            <w:shd w:val="clear" w:color="auto" w:fill="CCEEFF"/>
          </w:tcPr>
          <w:p>
            <w:pPr>
              <w:jc w:val="right"/>
              <w:ind w:right="1265"/>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1,079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1,026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As of March 31, 2022, the principal balance outstanding was one dollar. Future principal and end-of-term debt obligation payments under the Loan and Security Agreement are $1.2 million and due in October 2022. As of March 31, 2022 and December 31, 2021, the accrued interest payable under the Loan and Security Agreement was immaterial.</w:t>
      </w:r>
    </w:p>
    <w:p>
      <w:pPr>
        <w:spacing w:after="0" w:line="17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end-of-term debt obligation accretes over the term of the Loan and Security Agreement until maturity and is included in interest expense 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Stockholders’ Equity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had reserved shares of common stock for issuance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Pr>
          <w:p>
            <w:pPr>
              <w:spacing w:after="0"/>
              <w:rPr>
                <w:sz w:val="17"/>
                <w:szCs w:val="17"/>
                <w:color w:val="auto"/>
              </w:rPr>
            </w:pPr>
          </w:p>
        </w:tc>
        <w:tc>
          <w:tcPr>
            <w:tcW w:w="1960" w:type="dxa"/>
            <w:vAlign w:val="bottom"/>
            <w:gridSpan w:val="2"/>
          </w:tcPr>
          <w:p>
            <w:pPr>
              <w:ind w:left="440"/>
              <w:spacing w:after="0"/>
              <w:rPr>
                <w:sz w:val="20"/>
                <w:szCs w:val="20"/>
                <w:color w:val="auto"/>
              </w:rPr>
            </w:pPr>
            <w:r>
              <w:rPr>
                <w:rFonts w:ascii="Arial" w:cs="Arial" w:eastAsia="Arial" w:hAnsi="Arial"/>
                <w:sz w:val="15"/>
                <w:szCs w:val="15"/>
                <w:b w:val="1"/>
                <w:bCs w:val="1"/>
                <w:color w:val="auto"/>
              </w:rPr>
              <w:t>March 31, 2022</w:t>
            </w:r>
          </w:p>
        </w:tc>
        <w:tc>
          <w:tcPr>
            <w:tcW w:w="1860" w:type="dxa"/>
            <w:vAlign w:val="bottom"/>
          </w:tcPr>
          <w:p>
            <w:pPr>
              <w:jc w:val="right"/>
              <w:ind w:right="245"/>
              <w:spacing w:after="0"/>
              <w:rPr>
                <w:sz w:val="20"/>
                <w:szCs w:val="20"/>
                <w:color w:val="auto"/>
              </w:rPr>
            </w:pPr>
            <w:r>
              <w:rPr>
                <w:rFonts w:ascii="Arial" w:cs="Arial" w:eastAsia="Arial" w:hAnsi="Arial"/>
                <w:sz w:val="15"/>
                <w:szCs w:val="15"/>
                <w:b w:val="1"/>
                <w:bCs w:val="1"/>
                <w:color w:val="auto"/>
              </w:rPr>
              <w:t>December 31, 2021</w:t>
            </w:r>
          </w:p>
        </w:tc>
      </w:tr>
      <w:tr>
        <w:trPr>
          <w:trHeight w:val="196"/>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5,997,843</w:t>
            </w:r>
          </w:p>
        </w:tc>
        <w:tc>
          <w:tcPr>
            <w:tcW w:w="10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4,892,164</w:t>
            </w: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Arial" w:cs="Arial" w:eastAsia="Arial" w:hAnsi="Arial"/>
                <w:sz w:val="15"/>
                <w:szCs w:val="15"/>
                <w:color w:val="auto"/>
              </w:rPr>
              <w:t>5,929,676</w:t>
            </w:r>
          </w:p>
        </w:tc>
        <w:tc>
          <w:tcPr>
            <w:tcW w:w="100" w:type="dxa"/>
            <w:vAlign w:val="bottom"/>
          </w:tcPr>
          <w:p>
            <w:pPr>
              <w:spacing w:after="0"/>
              <w:rPr>
                <w:sz w:val="17"/>
                <w:szCs w:val="17"/>
                <w:color w:val="auto"/>
              </w:rPr>
            </w:pPr>
          </w:p>
        </w:tc>
        <w:tc>
          <w:tcPr>
            <w:tcW w:w="1860" w:type="dxa"/>
            <w:vAlign w:val="bottom"/>
          </w:tcPr>
          <w:p>
            <w:pPr>
              <w:jc w:val="right"/>
              <w:ind w:right="5"/>
              <w:spacing w:after="0"/>
              <w:rPr>
                <w:sz w:val="20"/>
                <w:szCs w:val="20"/>
                <w:color w:val="auto"/>
              </w:rPr>
            </w:pPr>
            <w:r>
              <w:rPr>
                <w:rFonts w:ascii="Arial" w:cs="Arial" w:eastAsia="Arial" w:hAnsi="Arial"/>
                <w:sz w:val="15"/>
                <w:szCs w:val="15"/>
                <w:color w:val="auto"/>
              </w:rPr>
              <w:t>4,418,364</w:t>
            </w: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1,408,296</w:t>
            </w:r>
          </w:p>
        </w:tc>
        <w:tc>
          <w:tcPr>
            <w:tcW w:w="100" w:type="dxa"/>
            <w:vAlign w:val="bottom"/>
            <w:shd w:val="clear" w:color="auto" w:fill="CCEEFF"/>
          </w:tcPr>
          <w:p>
            <w:pPr>
              <w:spacing w:after="0"/>
              <w:rPr>
                <w:sz w:val="17"/>
                <w:szCs w:val="17"/>
                <w:color w:val="auto"/>
              </w:rPr>
            </w:pPr>
          </w:p>
        </w:tc>
        <w:tc>
          <w:tcPr>
            <w:tcW w:w="1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1,490,130</w:t>
            </w:r>
          </w:p>
        </w:tc>
      </w:tr>
      <w:tr>
        <w:trPr>
          <w:trHeight w:val="196"/>
        </w:trPr>
        <w:tc>
          <w:tcPr>
            <w:tcW w:w="7400" w:type="dxa"/>
            <w:vAlign w:val="bottom"/>
          </w:tcPr>
          <w:p>
            <w:pPr>
              <w:ind w:left="120"/>
              <w:spacing w:after="0"/>
              <w:rPr>
                <w:sz w:val="20"/>
                <w:szCs w:val="20"/>
                <w:color w:val="auto"/>
              </w:rPr>
            </w:pPr>
            <w:r>
              <w:rPr>
                <w:rFonts w:ascii="Arial" w:cs="Arial" w:eastAsia="Arial" w:hAnsi="Arial"/>
                <w:sz w:val="15"/>
                <w:szCs w:val="15"/>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13,335,815</w:t>
            </w:r>
          </w:p>
        </w:tc>
        <w:tc>
          <w:tcPr>
            <w:tcW w:w="100" w:type="dxa"/>
            <w:vAlign w:val="bottom"/>
          </w:tcPr>
          <w:p>
            <w:pPr>
              <w:spacing w:after="0"/>
              <w:rPr>
                <w:sz w:val="17"/>
                <w:szCs w:val="17"/>
                <w:color w:val="auto"/>
              </w:rPr>
            </w:pPr>
          </w:p>
        </w:tc>
        <w:tc>
          <w:tcPr>
            <w:tcW w:w="1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10,800,658</w:t>
            </w:r>
          </w:p>
        </w:tc>
      </w:tr>
      <w:tr>
        <w:trPr>
          <w:trHeight w:val="20"/>
        </w:trPr>
        <w:tc>
          <w:tcPr>
            <w:tcW w:w="7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Components of Other Income (Loss)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Other income (loss), net consists of the following (in thousands of dollars):</w:t>
      </w:r>
    </w:p>
    <w:p>
      <w:pPr>
        <w:spacing w:after="0" w:line="255" w:lineRule="exact"/>
        <w:rPr>
          <w:sz w:val="20"/>
          <w:szCs w:val="20"/>
          <w:color w:val="auto"/>
        </w:rPr>
      </w:pPr>
    </w:p>
    <w:tbl>
      <w:tblPr>
        <w:tblLayout w:type="fixed"/>
        <w:tblInd w:w="176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5"/>
                <w:szCs w:val="15"/>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r>
      <w:tr>
        <w:trPr>
          <w:trHeight w:val="193"/>
        </w:trPr>
        <w:tc>
          <w:tcPr>
            <w:tcW w:w="43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196"/>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French research tax credits</w:t>
            </w:r>
          </w:p>
        </w:tc>
        <w:tc>
          <w:tcPr>
            <w:tcW w:w="114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892</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5"/>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300" w:type="dxa"/>
            <w:vAlign w:val="bottom"/>
          </w:tcPr>
          <w:p>
            <w:pPr>
              <w:spacing w:after="0"/>
              <w:rPr>
                <w:sz w:val="20"/>
                <w:szCs w:val="20"/>
                <w:color w:val="auto"/>
              </w:rPr>
            </w:pPr>
            <w:r>
              <w:rPr>
                <w:rFonts w:ascii="Arial" w:cs="Arial" w:eastAsia="Arial" w:hAnsi="Arial"/>
                <w:sz w:val="15"/>
                <w:szCs w:val="15"/>
                <w:color w:val="auto"/>
              </w:rPr>
              <w:t>Interest income</w:t>
            </w:r>
          </w:p>
        </w:tc>
        <w:tc>
          <w:tcPr>
            <w:tcW w:w="1140" w:type="dxa"/>
            <w:vAlign w:val="bottom"/>
          </w:tcPr>
          <w:p>
            <w:pPr>
              <w:spacing w:after="0"/>
              <w:rPr>
                <w:sz w:val="17"/>
                <w:szCs w:val="17"/>
                <w:color w:val="auto"/>
              </w:rPr>
            </w:pPr>
          </w:p>
        </w:tc>
        <w:tc>
          <w:tcPr>
            <w:tcW w:w="540" w:type="dxa"/>
            <w:vAlign w:val="bottom"/>
          </w:tcPr>
          <w:p>
            <w:pPr>
              <w:jc w:val="right"/>
              <w:ind w:right="5"/>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03"/>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197"/>
        </w:trPr>
        <w:tc>
          <w:tcPr>
            <w:tcW w:w="4300" w:type="dxa"/>
            <w:vAlign w:val="bottom"/>
          </w:tcPr>
          <w:p>
            <w:pPr>
              <w:spacing w:after="0"/>
              <w:rPr>
                <w:sz w:val="20"/>
                <w:szCs w:val="20"/>
                <w:color w:val="auto"/>
              </w:rPr>
            </w:pPr>
            <w:r>
              <w:rPr>
                <w:rFonts w:ascii="Arial" w:cs="Arial" w:eastAsia="Arial" w:hAnsi="Arial"/>
                <w:sz w:val="15"/>
                <w:szCs w:val="15"/>
                <w:color w:val="auto"/>
              </w:rPr>
              <w:t>Loss on currency revaluation</w:t>
            </w: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(238)</w:t>
            </w:r>
          </w:p>
        </w:tc>
      </w:tr>
      <w:tr>
        <w:trPr>
          <w:trHeight w:val="200"/>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3"/>
        </w:trPr>
        <w:tc>
          <w:tcPr>
            <w:tcW w:w="4300" w:type="dxa"/>
            <w:vAlign w:val="bottom"/>
          </w:tcPr>
          <w:p>
            <w:pPr>
              <w:spacing w:after="0"/>
              <w:rPr>
                <w:sz w:val="16"/>
                <w:szCs w:val="16"/>
                <w:color w:val="auto"/>
              </w:rPr>
            </w:pPr>
          </w:p>
        </w:tc>
        <w:tc>
          <w:tcPr>
            <w:tcW w:w="1140" w:type="dxa"/>
            <w:vAlign w:val="bottom"/>
            <w:tcBorders>
              <w:bottom w:val="single" w:sz="8" w:color="auto"/>
            </w:tcBorders>
          </w:tcPr>
          <w:p>
            <w:pPr>
              <w:jc w:val="right"/>
              <w:ind w:right="965"/>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784</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965"/>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w:t>
            </w:r>
          </w:p>
        </w:tc>
      </w:tr>
      <w:tr>
        <w:trPr>
          <w:trHeight w:val="21"/>
        </w:trPr>
        <w:tc>
          <w:tcPr>
            <w:tcW w:w="4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09"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The Company recorded an income tax benefit of $3,000 and $3.8 million for the three months ended March 31, 2022 and 2021, respectively. The income tax benefit for 2021 was primarily impacted by a discrete tax adjustment related to the release of certain valuation allowances on the Company's deferred tax assets upon recording of the deferred tax liabilities for the acquisition of Decipher Biosciences.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9"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Quarterly Report on Form 10-Q.</w:t>
      </w:r>
    </w:p>
    <w:p>
      <w:pPr>
        <w:spacing w:after="0" w:line="19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i w:val="1"/>
          <w:iCs w:val="1"/>
          <w:color w:val="auto"/>
        </w:rPr>
        <w:t>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in the section titled “Risk Factors” under Part II, Item 1A.</w:t>
      </w:r>
    </w:p>
    <w:p>
      <w:pPr>
        <w:spacing w:after="0" w:line="20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When used in this report, all references to "Veracyte," the "company," "we," "our" and "us" refer to Veracyte, Inc., together with its consolidated subsidiaries, unless otherwise noted.</w:t>
      </w:r>
    </w:p>
    <w:p>
      <w:pPr>
        <w:spacing w:after="0" w:line="167" w:lineRule="exact"/>
        <w:rPr>
          <w:sz w:val="20"/>
          <w:szCs w:val="20"/>
          <w:color w:val="auto"/>
        </w:rPr>
      </w:pPr>
    </w:p>
    <w:p>
      <w:pPr>
        <w:jc w:val="both"/>
        <w:ind w:firstLine="375"/>
        <w:spacing w:after="0" w:line="263" w:lineRule="auto"/>
        <w:rPr>
          <w:sz w:val="20"/>
          <w:szCs w:val="20"/>
          <w:color w:val="auto"/>
        </w:rPr>
      </w:pPr>
      <w:r>
        <w:rPr>
          <w:rFonts w:ascii="Arial" w:cs="Arial" w:eastAsia="Arial" w:hAnsi="Arial"/>
          <w:sz w:val="16"/>
          <w:szCs w:val="16"/>
          <w:color w:val="auto"/>
        </w:rPr>
        <w:t>Veracyte, the Veracyte logo, HalioDx, Decipher, Decipher GRID, Afirma, Percepta, Envisia, Prosigna, LymphMark, Immunoscore, TMExplore, Brightplex, Immunosign, “Know by Design” and “More about You” are registered trademarks of Veracyte, Inc. and its subsidiaries in the U.S. and selected countries. nCounter is the registered trademark of NanoString Technologies, Inc., or NanoString, in the U.S. and selected countries and used by Veracyte under license.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09"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We are a global diagnostics company that improves patient care by answering important clinical questions to inform diagnosis and treatment decisions throughout the patient journey in cancer and other diseases. Our growing menu of tests leverages advances in molecular science and machine learning technology to improve care for patients, enabling them to avoid risky, costly procedures and interventions, and reduce time to appropriate treatment.</w:t>
      </w:r>
    </w:p>
    <w:p>
      <w:pPr>
        <w:spacing w:after="0" w:line="59"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Our tests address eight of the 10 most prevalent cancers by incidence in the United States. In addition to making our tests available in the United States through our central laboratories, our exclusive license to the nCounter Analysis System positions us to deliver our tests to patients worldwide through laboratories and hospitals that can perform the tests locally.</w:t>
      </w:r>
    </w:p>
    <w:p>
      <w:pPr>
        <w:spacing w:after="0" w:line="75"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We develop tests that address significant unmet clinical needs in the diagnosis, prognosis and treatment of cancer and other diseases. We deploy a comprehensive strategic planning approach that broadly examines the clinical care spectrum in areas where our unique approach and expertise may potentially benefit physicians, patients and payers. In each disease area, our medical affairs and research teams focus intensely on understanding the patient journey and analyzing critical points of clinical decision-making, where having better information can impact what happens next for the patient.</w:t>
      </w:r>
    </w:p>
    <w:p>
      <w:pPr>
        <w:spacing w:after="0" w:line="64"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Our extensive team of research, bioinformatics and clinical professionals rely on deep scientific expertise and an extensive network of practicing physicians and key opinion leaders, or KOLs, to help inform new product development. This includes determining what clinical question each test should answer, where it should be positioned in the patient work-up and what sample type and technology should be used. We develop our molecular tests using advanced scientific methods, such as RNA whole-transcriptome sequencing and machine learning. Veracyte’s tests are purposefully designed to integrate easily into current physician protocols, delivering clinical utility and economic value to physicians, payers, and the healthcare system.</w:t>
      </w:r>
    </w:p>
    <w:p>
      <w:pPr>
        <w:spacing w:after="0" w:line="66"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We currently offer tests in thyroid cancer (Afirma); prostate cancer (Decipher Prostate); breast cancer (Prosigna); lung cancer (Percepta); interstitial lung diseases (Envisia); bladder cancer (Decipher Bladder); and colon cancer (Immunoscore). Our tests for kidney cancer and lymphoma are in development, the latter as a companion diagnostic.</w:t>
      </w:r>
    </w:p>
    <w:p>
      <w:pPr>
        <w:spacing w:after="0" w:line="75"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We serve global markets with two complementary and inter-related models. In the United States, we offer laboratory developed tests, or LDTs, which we perform in our centralized, CLIA-certified laboratories in South San Francisco and San Diego, California, and Richmond, Virginia, supported by our cytopathology expertise in our Austin, Texas CLIA lab. In addition, outside of the United States, we intend to offer our tests as in vitro diagnostic, or IVD, tests that run on the nCounter Analysis System by laboratories that perform them for physicians and their patients locally. We believe our broad menu of advanced diagnostic tests, combined with our ability to deliver them globally, uniquely position us in the diagnostics sector.</w:t>
      </w:r>
    </w:p>
    <w:p>
      <w:pPr>
        <w:spacing w:after="0" w:line="79"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In the process of developing leading diagnostics across the oncology market, we have collected a significant number of patient samples and proprietary data related to various cancer types. We combine these assets with our robust machine learning core competency to further enhance our research and clinical development capabilities, as well as build opportunities with biopharmaceutical and other partners.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In March 2021, Veracyte acquired Decipher Biosciences, expanding our genomic testing menu into urologic cancers. The acquisition also provided Veracyte with Decipher GRID (Genomic Resource for Intelligent Discovery), a platform and database that helps drive biopharmaceutical partnerships, KOL engagement and pipeline development in urologic cancers.</w:t>
      </w:r>
    </w:p>
    <w:p>
      <w:pPr>
        <w:spacing w:after="0" w:line="7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In August 2021, we acquired HalioDx, giving us the capabilities and expertise to manufacture our own IVD test kits for use on the nCounter Analysis System. The acquisition also deepened our scientific expertise into the rapidly growing area of immuno-oncology, expanded our reach into colon cancer with the Immunoscore test and further strengthened our offerings to biopharmaceutical and other partners.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w:t>
      </w:r>
    </w:p>
    <w:p>
      <w:pPr>
        <w:spacing w:after="0" w:line="234"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We believe the COVID-19 outbreak, including its numerous variants, has impacted our test volumes primarily during 2020 and 2021. Our customers, third-party contract manufacturers, carriers, suppliers and collaboration partners have been affected by the closure of hospitals, doctors' offices, manufacturing sites, or country borders, among other measures put in place around the world. Layoffs, furloughs and unplanned loss of staff (due to vaccination status or other reasons)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w:t>
      </w:r>
    </w:p>
    <w:p>
      <w:pPr>
        <w:spacing w:after="0" w:line="180"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Our Decipher Prostate test has been least impacted by the pandemic because our customers are mostly community-based urology practices, which generally remained more accessible to patients and our sales reps. Our Afirma thyroid cancer test was impacted by COVID-19 in 2020 and portions of 2021 as a majority of our samples come from large institutions which are less accessible to patients and our reps. We believe our pulmonology business has been the most impacted since the bronchoscopy procedures used to collect samples for our Percepta and Envisia tests are considered elective procedures and are performed in hospital settings, which have been more restrictive, and these tests are ordered by pulmonologists who could be largely preoccupied with caring for COVID-19 patients.</w:t>
      </w:r>
    </w:p>
    <w:p>
      <w:pPr>
        <w:spacing w:after="0" w:line="177"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The rapid increase in daily COVID-19 testing consumes reagents and supplies otherwise available to diagnostic testing companies like ours across the United States. When not limited by the expiration date of products, and when we feel it reasonable and feasible to do so, we are taking steps to manage our level of stock reserves, develop alternative sources of supply and implement procedures to mitigate the impact on our supply chain and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194"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The extent of the impact of COVID-19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and the impact to our sales and renewal cycles. See Risk Factors for further discussion of the possible impact of the COVID-19 pandemic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Reported Test Volume</w:t>
      </w:r>
    </w:p>
    <w:p>
      <w:pPr>
        <w:spacing w:after="0" w:line="20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Our performance depends on the number of tests that we perform and report as completed in our CLIA-certified laboratories and Prosigna tests processed on the nCounter Analysis System. Factors impacting the number of tests that we report as completed include, but are not limited to:</w:t>
      </w:r>
    </w:p>
    <w:p>
      <w:pPr>
        <w:spacing w:after="0" w:line="167" w:lineRule="exact"/>
        <w:rPr>
          <w:sz w:val="20"/>
          <w:szCs w:val="20"/>
          <w:color w:val="auto"/>
        </w:rPr>
      </w:pPr>
    </w:p>
    <w:p>
      <w:pPr>
        <w:ind w:left="900" w:hanging="29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COVID-19 on patients seeking to have tests performed;</w:t>
      </w:r>
    </w:p>
    <w:p>
      <w:pPr>
        <w:spacing w:after="0" w:line="17" w:lineRule="exact"/>
        <w:rPr>
          <w:rFonts w:ascii="Arial" w:cs="Arial" w:eastAsia="Arial" w:hAnsi="Arial"/>
          <w:sz w:val="17"/>
          <w:szCs w:val="17"/>
          <w:color w:val="auto"/>
        </w:rPr>
      </w:pPr>
    </w:p>
    <w:p>
      <w:pPr>
        <w:ind w:left="900" w:hanging="29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availability of hospital staff to perform and support procedures needed to collect samples for our tests;</w:t>
      </w:r>
    </w:p>
    <w:p>
      <w:pPr>
        <w:spacing w:after="0" w:line="4" w:lineRule="exact"/>
        <w:rPr>
          <w:rFonts w:ascii="Arial" w:cs="Arial" w:eastAsia="Arial" w:hAnsi="Arial"/>
          <w:sz w:val="17"/>
          <w:szCs w:val="17"/>
          <w:color w:val="auto"/>
        </w:rPr>
      </w:pPr>
    </w:p>
    <w:p>
      <w:pPr>
        <w:ind w:left="900" w:hanging="29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number of samples that we receive that meet the medical indication for each test performed;</w:t>
      </w:r>
    </w:p>
    <w:p>
      <w:pPr>
        <w:spacing w:after="0" w:line="4" w:lineRule="exact"/>
        <w:rPr>
          <w:rFonts w:ascii="Arial" w:cs="Arial" w:eastAsia="Arial" w:hAnsi="Arial"/>
          <w:sz w:val="17"/>
          <w:szCs w:val="17"/>
          <w:color w:val="auto"/>
        </w:rPr>
      </w:pPr>
    </w:p>
    <w:p>
      <w:pPr>
        <w:ind w:left="900" w:hanging="29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quantity and quality of the sample received;</w:t>
      </w:r>
    </w:p>
    <w:p>
      <w:pPr>
        <w:spacing w:after="0" w:line="4" w:lineRule="exact"/>
        <w:rPr>
          <w:rFonts w:ascii="Arial" w:cs="Arial" w:eastAsia="Arial" w:hAnsi="Arial"/>
          <w:sz w:val="17"/>
          <w:szCs w:val="17"/>
          <w:color w:val="auto"/>
        </w:rPr>
      </w:pPr>
    </w:p>
    <w:p>
      <w:pPr>
        <w:ind w:left="900" w:hanging="29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4" w:lineRule="exact"/>
        <w:rPr>
          <w:rFonts w:ascii="Arial" w:cs="Arial" w:eastAsia="Arial" w:hAnsi="Arial"/>
          <w:sz w:val="17"/>
          <w:szCs w:val="17"/>
          <w:color w:val="auto"/>
        </w:rPr>
      </w:pPr>
    </w:p>
    <w:p>
      <w:pPr>
        <w:ind w:left="900" w:hanging="29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patient's ability to pay or provide necessary insurance coverage for the tests performed;</w:t>
      </w:r>
    </w:p>
    <w:p>
      <w:pPr>
        <w:spacing w:after="0" w:line="4" w:lineRule="exact"/>
        <w:rPr>
          <w:rFonts w:ascii="Arial" w:cs="Arial" w:eastAsia="Arial" w:hAnsi="Arial"/>
          <w:sz w:val="17"/>
          <w:szCs w:val="17"/>
          <w:color w:val="auto"/>
        </w:rPr>
      </w:pPr>
    </w:p>
    <w:p>
      <w:pPr>
        <w:ind w:left="900" w:hanging="299"/>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time it takes us to perform our tests and report the results;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900" w:hanging="299"/>
        <w:spacing w:after="0" w:line="253" w:lineRule="auto"/>
        <w:tabs>
          <w:tab w:leader="none" w:pos="89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seasonality inherent in our business, such as the impact of work-days per period, timing of industry conferences and timing of when patient deductibles are exceeded, which also impacts the reimbursement we receive from insurers; and</w:t>
      </w:r>
    </w:p>
    <w:p>
      <w:pPr>
        <w:ind w:left="900" w:hanging="299"/>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ability to obtain prior authorization or meet other requirements instituted by payers, benefit managers, or regulators necessary to be paid for our tests.</w:t>
      </w:r>
    </w:p>
    <w:p>
      <w:pPr>
        <w:spacing w:after="0" w:line="240"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We generate a substantial amount of our revenue from Afirma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our Products</w:t>
      </w:r>
    </w:p>
    <w:p>
      <w:pPr>
        <w:spacing w:after="0" w:line="205"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Integrating acquired assets and advances to our collaborations</w:t>
      </w:r>
    </w:p>
    <w:p>
      <w:pPr>
        <w:spacing w:after="0" w:line="205"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Revenue growth, operational results and advances to our business strategy depends on our ability to integrate any acquired assets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Decipher Biosciences in March 2021 and HalioDx in August 2021 may impact our revenue and operating results as we integrate various functions.</w:t>
      </w:r>
    </w:p>
    <w:p>
      <w:pPr>
        <w:spacing w:after="0" w:line="164"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Revenue growth from our biopharmaceutical and IVD contract manufacturing partners depends on our ability to deliver services or information and achieve milestones.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30"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 xml:space="preserve">We recognize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Testing Revenue</w:t>
      </w:r>
    </w:p>
    <w:p>
      <w:pPr>
        <w:spacing w:after="0" w:line="234"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04"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7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75"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Generally, we calculate the average reimbursement from our products from all payers, for tests that are on average a year old, as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tests performed during the relevant period divided by the number of these tests performed during that same period.</w:t>
      </w:r>
    </w:p>
    <w:p>
      <w:pPr>
        <w:spacing w:after="0" w:line="166"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incur expense for tests in the period in which the test is conducted and recognize revenue for tests in the period in which our revenue recognition criteria are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met.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Revenue</w:t>
      </w:r>
    </w:p>
    <w:p>
      <w:pPr>
        <w:spacing w:after="0" w:line="209"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5"/>
          <w:szCs w:val="15"/>
          <w:color w:val="auto"/>
        </w:rPr>
        <w:t>Our products consist of the Prosigna breast cancer assay, the nCounter Analysis System and related diagnostic kits.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Biopharmaceutical and Other Revenue</w:t>
      </w:r>
    </w:p>
    <w:p>
      <w:pPr>
        <w:spacing w:after="0" w:line="209"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5"/>
          <w:szCs w:val="15"/>
          <w:color w:val="auto"/>
        </w:rPr>
        <w:t xml:space="preserve">We enter into arrangements to license or provide access to our assets or services, including testing services, clinical services, research and development, contract manufacturing and development, as well as other services. Such arrangements may require us to deliver various rights, data, services, manufactured diagnostic test kits, access and/or testing services to partner biopharmaceutical companies. One such arrangement is a collaborative arrangement that falls under the scope of ASC Topic 808, </w:t>
      </w:r>
      <w:r>
        <w:rPr>
          <w:rFonts w:ascii="Arial" w:cs="Arial" w:eastAsia="Arial" w:hAnsi="Arial"/>
          <w:sz w:val="15"/>
          <w:szCs w:val="15"/>
          <w:i w:val="1"/>
          <w:iCs w:val="1"/>
          <w:color w:val="auto"/>
        </w:rPr>
        <w:t>Collaborative Arrangements,</w:t>
      </w:r>
      <w:r>
        <w:rPr>
          <w:rFonts w:ascii="Arial" w:cs="Arial" w:eastAsia="Arial" w:hAnsi="Arial"/>
          <w:sz w:val="15"/>
          <w:szCs w:val="15"/>
          <w:color w:val="auto"/>
        </w:rPr>
        <w:t xml:space="preserve"> or ASC 808.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Milestone payments which fall under the scope of ASC 808, are recognized in the same manner as milestone payments from customers and are considered to be collaboration revenue. Payments received that are not related to sales or services to a customer or collaboration revenue are recorded as offsets against research and development expense or cost of biopharmaceutical and other revenue in our consolidated statements of operations.</w:t>
      </w:r>
    </w:p>
    <w:p>
      <w:pPr>
        <w:spacing w:after="0" w:line="183"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192"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and utilization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5"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Through March 31, 2022, we had derived most of our revenue from the sale of Afirma and the Decipher urologic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305" w:lineRule="exact"/>
        <w:rPr>
          <w:sz w:val="20"/>
          <w:szCs w:val="20"/>
          <w:color w:val="auto"/>
        </w:rPr>
      </w:pPr>
    </w:p>
    <w:tbl>
      <w:tblPr>
        <w:tblLayout w:type="fixed"/>
        <w:tblInd w:w="176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540" w:type="dxa"/>
            <w:vAlign w:val="bottom"/>
            <w:tcBorders>
              <w:bottom w:val="single" w:sz="8" w:color="auto"/>
            </w:tcBorders>
            <w:gridSpan w:val="3"/>
          </w:tcPr>
          <w:p>
            <w:pPr>
              <w:jc w:val="right"/>
              <w:ind w:right="665"/>
              <w:spacing w:after="0"/>
              <w:rPr>
                <w:sz w:val="20"/>
                <w:szCs w:val="20"/>
                <w:color w:val="auto"/>
              </w:rPr>
            </w:pPr>
            <w:r>
              <w:rPr>
                <w:rFonts w:ascii="Arial" w:cs="Arial" w:eastAsia="Arial" w:hAnsi="Arial"/>
                <w:sz w:val="15"/>
                <w:szCs w:val="15"/>
                <w:b w:val="1"/>
                <w:bCs w:val="1"/>
                <w:color w:val="auto"/>
              </w:rPr>
              <w:t>Three Months Ended March 31,</w:t>
            </w:r>
          </w:p>
        </w:tc>
      </w:tr>
      <w:tr>
        <w:trPr>
          <w:trHeight w:val="193"/>
        </w:trPr>
        <w:tc>
          <w:tcPr>
            <w:tcW w:w="42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b w:val="1"/>
                <w:bCs w:val="1"/>
                <w:color w:val="auto"/>
              </w:rPr>
              <w:t>2021</w:t>
            </w: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Medicare</w:t>
            </w: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r>
      <w:tr>
        <w:trPr>
          <w:trHeight w:val="197"/>
        </w:trPr>
        <w:tc>
          <w:tcPr>
            <w:tcW w:w="42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UnitedHealthcare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9 %</w:t>
            </w:r>
          </w:p>
        </w:tc>
        <w:tc>
          <w:tcPr>
            <w:tcW w:w="12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11 %</w:t>
            </w:r>
          </w:p>
        </w:tc>
      </w:tr>
      <w:tr>
        <w:trPr>
          <w:trHeight w:val="218"/>
        </w:trPr>
        <w:tc>
          <w:tcPr>
            <w:tcW w:w="42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firstLine="375"/>
        <w:spacing w:after="0" w:line="248"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05"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auto"/>
        </w:rPr>
        <w:t>The components of our cost of testing revenue are laboratory expenses, sample collection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reduce gross margins. This will disproportionately increase our aggregate cost of testing revenue until we achieve efficiencies in processing these new tests.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230"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Biopharmaceutical and Other Revenue</w:t>
      </w:r>
    </w:p>
    <w:p>
      <w:pPr>
        <w:spacing w:after="0" w:line="20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Our cost of biopharmaceutical and other revenue are the costs of performing activities under arrangements that require us to perform research and development, commercialization, contract manufacturing and development, and contract testing services on behalf of a customer. This cost is mainly comprised of compensation expense, laboratory supplies and pass-through costs.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05"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a majority of our research and development expenses in support of our pipeline products in 2021 and in the three months ended March 31, 2022. Going forward, we are investing in the development of our pipeline products, including required clinical studies, the development of current tests for the nCounter instrument and the transition of manufacturing to our Veracyte SAS facility.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05"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150 representatives is organized by business unit, with separate teams calling on thyroid cancer, urologic cancers, pulmonology and colorectal cancers physicians. The business units have dedicated marketing support, as well as a marketing operations team that serves the commercial organization broadly. Prosigna sales outside of the U.S. are led by country managers that call on laboratories and breast cancer oncologists, and have dedicated marketing support.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05"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General and administrative expenses include costs related to the acquisitions of Decipher Biosciences and HalioDx, which were included in general and administrative compensation expense and professional fees. We expect general and administrative expenses to continue to increase as we build our general and administration infrastructure as we continue to scale revenue, and to stabilize thereafter.</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 Amortization</w:t>
      </w:r>
    </w:p>
    <w:p>
      <w:pPr>
        <w:spacing w:after="0" w:line="20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Our finite-lived intangible assets, acquired in business combinations, are being amortized over 4 to 15 years, using the straight-line method. Amortization expense is expected to be approximately $21.9 million per year through 2024 and decrease thereafter.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Interest expense is attributable to our borrowings under debt agreements and costs associated with the prepayment of debt.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(Loss) Income, Net</w:t>
      </w:r>
    </w:p>
    <w:p>
      <w:pPr>
        <w:spacing w:after="0" w:line="205"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Other income, net consists primarily of realized and unrealized gains and losses on foreign currency transactions, French research tax credits, interest expense on our debt and interest income from our cash held in interest bearing accounts. The French research tax credits (crédit d’impôt recherche or CIR) are generated by our wholly-owned subsidiary, Veracyte SAS, in connection with its research efforts performed in Marseille, France.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230"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The functional currency of our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(loss) income,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months ended March 31, 2022 and 2021 (in thousands of dollars, except percentages and test volume):</w:t>
      </w:r>
    </w:p>
    <w:p>
      <w:pPr>
        <w:spacing w:after="0" w:line="330" w:lineRule="exact"/>
        <w:rPr>
          <w:sz w:val="20"/>
          <w:szCs w:val="20"/>
          <w:color w:val="auto"/>
        </w:rPr>
      </w:pPr>
    </w:p>
    <w:tbl>
      <w:tblPr>
        <w:tblLayout w:type="fixed"/>
        <w:tblInd w:w="136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2"/>
              </w:rPr>
              <w:t>Three Months Ended March 31,</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b w:val="1"/>
                <w:bCs w:val="1"/>
                <w:color w:val="auto"/>
                <w:w w:val="98"/>
              </w:rPr>
              <w:t>Change</w:t>
            </w:r>
          </w:p>
        </w:tc>
        <w:tc>
          <w:tcPr>
            <w:tcW w:w="940" w:type="dxa"/>
            <w:vAlign w:val="bottom"/>
            <w:gridSpan w:val="2"/>
          </w:tcPr>
          <w:p>
            <w:pPr>
              <w:jc w:val="center"/>
              <w:ind w:left="25"/>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20" w:type="dxa"/>
            <w:vAlign w:val="bottom"/>
          </w:tcPr>
          <w:p>
            <w:pPr>
              <w:ind w:left="120"/>
              <w:spacing w:after="0"/>
              <w:rPr>
                <w:sz w:val="20"/>
                <w:szCs w:val="20"/>
                <w:color w:val="auto"/>
              </w:rPr>
            </w:pPr>
            <w:r>
              <w:rPr>
                <w:rFonts w:ascii="Arial" w:cs="Arial" w:eastAsia="Arial" w:hAnsi="Arial"/>
                <w:sz w:val="15"/>
                <w:szCs w:val="15"/>
                <w:color w:val="auto"/>
              </w:rPr>
              <w:t>Testing revenue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55,980</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33,078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22,902</w:t>
            </w:r>
          </w:p>
        </w:tc>
        <w:tc>
          <w:tcPr>
            <w:tcW w:w="94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69%</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Product revenue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940" w:type="dxa"/>
            <w:vAlign w:val="bottom"/>
            <w:gridSpan w:val="2"/>
            <w:shd w:val="clear" w:color="auto" w:fill="CCEEFF"/>
          </w:tcPr>
          <w:p>
            <w:pPr>
              <w:jc w:val="center"/>
              <w:ind w:left="5"/>
              <w:spacing w:after="0"/>
              <w:rPr>
                <w:sz w:val="20"/>
                <w:szCs w:val="20"/>
                <w:color w:val="auto"/>
              </w:rPr>
            </w:pPr>
            <w:r>
              <w:rPr>
                <w:rFonts w:ascii="Arial" w:cs="Arial" w:eastAsia="Arial" w:hAnsi="Arial"/>
                <w:sz w:val="15"/>
                <w:szCs w:val="15"/>
                <w:color w:val="auto"/>
                <w:w w:val="94"/>
              </w:rPr>
              <w:t>(3)%</w:t>
            </w:r>
          </w:p>
        </w:tc>
        <w:tc>
          <w:tcPr>
            <w:tcW w:w="0" w:type="dxa"/>
            <w:vAlign w:val="bottom"/>
          </w:tcPr>
          <w:p>
            <w:pPr>
              <w:spacing w:after="0"/>
              <w:rPr>
                <w:sz w:val="1"/>
                <w:szCs w:val="1"/>
                <w:color w:val="auto"/>
              </w:rPr>
            </w:pPr>
          </w:p>
        </w:tc>
      </w:tr>
      <w:tr>
        <w:trPr>
          <w:trHeight w:val="197"/>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Biopharmaceutical and other revenue</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8,824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566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8,258</w:t>
            </w:r>
          </w:p>
        </w:tc>
        <w:tc>
          <w:tcPr>
            <w:tcW w:w="940" w:type="dxa"/>
            <w:vAlign w:val="bottom"/>
            <w:tcBorders>
              <w:bottom w:val="single" w:sz="8" w:color="CCEEFF"/>
            </w:tcBorders>
            <w:gridSpan w:val="2"/>
          </w:tcPr>
          <w:p>
            <w:pPr>
              <w:jc w:val="center"/>
              <w:ind w:left="25"/>
              <w:spacing w:after="0"/>
              <w:rPr>
                <w:sz w:val="20"/>
                <w:szCs w:val="20"/>
                <w:color w:val="auto"/>
              </w:rPr>
            </w:pPr>
            <w:r>
              <w:rPr>
                <w:rFonts w:ascii="Arial" w:cs="Arial" w:eastAsia="Arial" w:hAnsi="Arial"/>
                <w:sz w:val="15"/>
                <w:szCs w:val="15"/>
                <w:color w:val="auto"/>
                <w:w w:val="94"/>
              </w:rPr>
              <w:t>1459%</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revenue</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67,783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36,703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31,080</w:t>
            </w:r>
          </w:p>
        </w:tc>
        <w:tc>
          <w:tcPr>
            <w:tcW w:w="94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3"/>
              </w:rPr>
              <w:t>85%</w:t>
            </w:r>
          </w:p>
        </w:tc>
        <w:tc>
          <w:tcPr>
            <w:tcW w:w="0" w:type="dxa"/>
            <w:vAlign w:val="bottom"/>
          </w:tcPr>
          <w:p>
            <w:pPr>
              <w:spacing w:after="0"/>
              <w:rPr>
                <w:sz w:val="1"/>
                <w:szCs w:val="1"/>
                <w:color w:val="auto"/>
              </w:rPr>
            </w:pPr>
          </w:p>
        </w:tc>
      </w:tr>
      <w:tr>
        <w:trPr>
          <w:trHeight w:val="177"/>
        </w:trPr>
        <w:tc>
          <w:tcPr>
            <w:tcW w:w="4520" w:type="dxa"/>
            <w:vAlign w:val="bottom"/>
          </w:tcPr>
          <w:p>
            <w:pPr>
              <w:ind w:left="20"/>
              <w:spacing w:after="0"/>
              <w:rPr>
                <w:sz w:val="20"/>
                <w:szCs w:val="20"/>
                <w:color w:val="auto"/>
              </w:rPr>
            </w:pPr>
            <w:r>
              <w:rPr>
                <w:rFonts w:ascii="Arial" w:cs="Arial" w:eastAsia="Arial" w:hAnsi="Arial"/>
                <w:sz w:val="15"/>
                <w:szCs w:val="15"/>
                <w:color w:val="auto"/>
              </w:rPr>
              <w:t>Operating expense:</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testing revenue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17,523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10,832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6,691</w:t>
            </w:r>
          </w:p>
        </w:tc>
        <w:tc>
          <w:tcPr>
            <w:tcW w:w="94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3"/>
              </w:rPr>
              <w:t>62%</w:t>
            </w:r>
          </w:p>
        </w:tc>
        <w:tc>
          <w:tcPr>
            <w:tcW w:w="0" w:type="dxa"/>
            <w:vAlign w:val="bottom"/>
          </w:tcPr>
          <w:p>
            <w:pPr>
              <w:spacing w:after="0"/>
              <w:rPr>
                <w:sz w:val="1"/>
                <w:szCs w:val="1"/>
                <w:color w:val="auto"/>
              </w:rPr>
            </w:pPr>
          </w:p>
        </w:tc>
      </w:tr>
      <w:tr>
        <w:trPr>
          <w:trHeight w:val="197"/>
        </w:trPr>
        <w:tc>
          <w:tcPr>
            <w:tcW w:w="4520" w:type="dxa"/>
            <w:vAlign w:val="bottom"/>
          </w:tcPr>
          <w:p>
            <w:pPr>
              <w:ind w:left="120"/>
              <w:spacing w:after="0"/>
              <w:rPr>
                <w:sz w:val="20"/>
                <w:szCs w:val="20"/>
                <w:color w:val="auto"/>
              </w:rPr>
            </w:pPr>
            <w:r>
              <w:rPr>
                <w:rFonts w:ascii="Arial" w:cs="Arial" w:eastAsia="Arial" w:hAnsi="Arial"/>
                <w:sz w:val="15"/>
                <w:szCs w:val="15"/>
                <w:color w:val="auto"/>
              </w:rPr>
              <w:t>Cost of product revenue</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1,575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1,490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85</w:t>
            </w:r>
          </w:p>
        </w:tc>
        <w:tc>
          <w:tcPr>
            <w:tcW w:w="940" w:type="dxa"/>
            <w:vAlign w:val="bottom"/>
            <w:gridSpan w:val="2"/>
          </w:tcPr>
          <w:p>
            <w:pPr>
              <w:jc w:val="center"/>
              <w:ind w:left="25"/>
              <w:spacing w:after="0"/>
              <w:rPr>
                <w:sz w:val="20"/>
                <w:szCs w:val="20"/>
                <w:color w:val="auto"/>
              </w:rPr>
            </w:pPr>
            <w:r>
              <w:rPr>
                <w:rFonts w:ascii="Arial" w:cs="Arial" w:eastAsia="Arial" w:hAnsi="Arial"/>
                <w:sz w:val="15"/>
                <w:szCs w:val="15"/>
                <w:color w:val="auto"/>
                <w:w w:val="92"/>
              </w:rPr>
              <w:t>6%</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biopharmaceutical and other revenue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4,615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4,534</w:t>
            </w:r>
          </w:p>
        </w:tc>
        <w:tc>
          <w:tcPr>
            <w:tcW w:w="940" w:type="dxa"/>
            <w:vAlign w:val="bottom"/>
            <w:gridSpan w:val="2"/>
            <w:shd w:val="clear" w:color="auto" w:fill="CCEEFF"/>
          </w:tcPr>
          <w:p>
            <w:pPr>
              <w:jc w:val="center"/>
              <w:ind w:left="5"/>
              <w:spacing w:after="0"/>
              <w:rPr>
                <w:sz w:val="20"/>
                <w:szCs w:val="20"/>
                <w:color w:val="auto"/>
              </w:rPr>
            </w:pPr>
            <w:r>
              <w:rPr>
                <w:rFonts w:ascii="Arial" w:cs="Arial" w:eastAsia="Arial" w:hAnsi="Arial"/>
                <w:sz w:val="15"/>
                <w:szCs w:val="15"/>
                <w:color w:val="auto"/>
                <w:w w:val="90"/>
              </w:rPr>
              <w:t>5,598%</w:t>
            </w:r>
          </w:p>
        </w:tc>
        <w:tc>
          <w:tcPr>
            <w:tcW w:w="0" w:type="dxa"/>
            <w:vAlign w:val="bottom"/>
          </w:tcPr>
          <w:p>
            <w:pPr>
              <w:spacing w:after="0"/>
              <w:rPr>
                <w:sz w:val="1"/>
                <w:szCs w:val="1"/>
                <w:color w:val="auto"/>
              </w:rPr>
            </w:pPr>
          </w:p>
        </w:tc>
      </w:tr>
      <w:tr>
        <w:trPr>
          <w:trHeight w:val="197"/>
        </w:trPr>
        <w:tc>
          <w:tcPr>
            <w:tcW w:w="452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9,166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5,336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3,830</w:t>
            </w:r>
          </w:p>
        </w:tc>
        <w:tc>
          <w:tcPr>
            <w:tcW w:w="94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72%</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and marketing</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23,754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16,296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7,458</w:t>
            </w:r>
          </w:p>
        </w:tc>
        <w:tc>
          <w:tcPr>
            <w:tcW w:w="94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3"/>
              </w:rPr>
              <w:t>46%</w:t>
            </w:r>
          </w:p>
        </w:tc>
        <w:tc>
          <w:tcPr>
            <w:tcW w:w="0" w:type="dxa"/>
            <w:vAlign w:val="bottom"/>
          </w:tcPr>
          <w:p>
            <w:pPr>
              <w:spacing w:after="0"/>
              <w:rPr>
                <w:sz w:val="1"/>
                <w:szCs w:val="1"/>
                <w:color w:val="auto"/>
              </w:rPr>
            </w:pPr>
          </w:p>
        </w:tc>
      </w:tr>
      <w:tr>
        <w:trPr>
          <w:trHeight w:val="197"/>
        </w:trPr>
        <w:tc>
          <w:tcPr>
            <w:tcW w:w="4520" w:type="dxa"/>
            <w:vAlign w:val="bottom"/>
          </w:tcPr>
          <w:p>
            <w:pPr>
              <w:ind w:left="120"/>
              <w:spacing w:after="0"/>
              <w:rPr>
                <w:sz w:val="20"/>
                <w:szCs w:val="20"/>
                <w:color w:val="auto"/>
              </w:rPr>
            </w:pPr>
            <w:r>
              <w:rPr>
                <w:rFonts w:ascii="Arial" w:cs="Arial" w:eastAsia="Arial" w:hAnsi="Arial"/>
                <w:sz w:val="15"/>
                <w:szCs w:val="15"/>
                <w:color w:val="auto"/>
              </w:rPr>
              <w:t>General and administrative</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20,912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46,282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(25,370)</w:t>
            </w:r>
          </w:p>
        </w:tc>
        <w:tc>
          <w:tcPr>
            <w:tcW w:w="940" w:type="dxa"/>
            <w:vAlign w:val="bottom"/>
            <w:gridSpan w:val="2"/>
          </w:tcPr>
          <w:p>
            <w:pPr>
              <w:jc w:val="center"/>
              <w:ind w:left="5"/>
              <w:spacing w:after="0"/>
              <w:rPr>
                <w:sz w:val="20"/>
                <w:szCs w:val="20"/>
                <w:color w:val="auto"/>
              </w:rPr>
            </w:pPr>
            <w:r>
              <w:rPr>
                <w:rFonts w:ascii="Arial" w:cs="Arial" w:eastAsia="Arial" w:hAnsi="Arial"/>
                <w:sz w:val="15"/>
                <w:szCs w:val="15"/>
                <w:color w:val="auto"/>
                <w:w w:val="94"/>
              </w:rPr>
              <w:t>(55)%</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Intangible asset amortization</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5,486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1,801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3,685</w:t>
            </w:r>
          </w:p>
        </w:tc>
        <w:tc>
          <w:tcPr>
            <w:tcW w:w="94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3"/>
              </w:rPr>
              <w:t>205%</w:t>
            </w: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Total operating expenses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83,031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82,118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913</w:t>
            </w:r>
          </w:p>
        </w:tc>
        <w:tc>
          <w:tcPr>
            <w:tcW w:w="940" w:type="dxa"/>
            <w:vAlign w:val="bottom"/>
            <w:tcBorders>
              <w:bottom w:val="single" w:sz="8" w:color="CCEEFF"/>
            </w:tcBorders>
            <w:gridSpan w:val="2"/>
          </w:tcPr>
          <w:p>
            <w:pPr>
              <w:jc w:val="center"/>
              <w:ind w:left="25"/>
              <w:spacing w:after="0"/>
              <w:rPr>
                <w:sz w:val="20"/>
                <w:szCs w:val="20"/>
                <w:color w:val="auto"/>
              </w:rPr>
            </w:pPr>
            <w:r>
              <w:rPr>
                <w:rFonts w:ascii="Arial" w:cs="Arial" w:eastAsia="Arial" w:hAnsi="Arial"/>
                <w:sz w:val="15"/>
                <w:szCs w:val="15"/>
                <w:color w:val="auto"/>
                <w:w w:val="92"/>
              </w:rPr>
              <w:t>1%</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30,167</w:t>
            </w:r>
          </w:p>
        </w:tc>
        <w:tc>
          <w:tcPr>
            <w:tcW w:w="940" w:type="dxa"/>
            <w:vAlign w:val="bottom"/>
            <w:gridSpan w:val="2"/>
            <w:shd w:val="clear" w:color="auto" w:fill="CCEEFF"/>
          </w:tcPr>
          <w:p>
            <w:pPr>
              <w:jc w:val="center"/>
              <w:ind w:left="5"/>
              <w:spacing w:after="0"/>
              <w:rPr>
                <w:sz w:val="20"/>
                <w:szCs w:val="20"/>
                <w:color w:val="auto"/>
              </w:rPr>
            </w:pPr>
            <w:r>
              <w:rPr>
                <w:rFonts w:ascii="Arial" w:cs="Arial" w:eastAsia="Arial" w:hAnsi="Arial"/>
                <w:sz w:val="15"/>
                <w:szCs w:val="15"/>
                <w:color w:val="auto"/>
                <w:w w:val="94"/>
              </w:rPr>
              <w:t>(66)%</w:t>
            </w:r>
          </w:p>
        </w:tc>
        <w:tc>
          <w:tcPr>
            <w:tcW w:w="0" w:type="dxa"/>
            <w:vAlign w:val="bottom"/>
          </w:tcPr>
          <w:p>
            <w:pPr>
              <w:spacing w:after="0"/>
              <w:rPr>
                <w:sz w:val="1"/>
                <w:szCs w:val="1"/>
                <w:color w:val="auto"/>
              </w:rPr>
            </w:pPr>
          </w:p>
        </w:tc>
      </w:tr>
      <w:tr>
        <w:trPr>
          <w:trHeight w:val="19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(loss), net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784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1,032</w:t>
            </w:r>
          </w:p>
        </w:tc>
        <w:tc>
          <w:tcPr>
            <w:tcW w:w="940" w:type="dxa"/>
            <w:vAlign w:val="bottom"/>
            <w:tcBorders>
              <w:bottom w:val="single" w:sz="8" w:color="CCEEFF"/>
            </w:tcBorders>
            <w:gridSpan w:val="2"/>
          </w:tcPr>
          <w:p>
            <w:pPr>
              <w:jc w:val="center"/>
              <w:ind w:left="25"/>
              <w:spacing w:after="0"/>
              <w:rPr>
                <w:sz w:val="20"/>
                <w:szCs w:val="20"/>
                <w:color w:val="auto"/>
              </w:rPr>
            </w:pPr>
            <w:r>
              <w:rPr>
                <w:rFonts w:ascii="Arial" w:cs="Arial" w:eastAsia="Arial" w:hAnsi="Arial"/>
                <w:sz w:val="15"/>
                <w:szCs w:val="15"/>
                <w:color w:val="auto"/>
                <w:w w:val="90"/>
              </w:rPr>
              <w:t>(416)%</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before income taxes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(45,663)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31,199</w:t>
            </w:r>
          </w:p>
        </w:tc>
        <w:tc>
          <w:tcPr>
            <w:tcW w:w="940" w:type="dxa"/>
            <w:vAlign w:val="bottom"/>
            <w:gridSpan w:val="2"/>
            <w:shd w:val="clear" w:color="auto" w:fill="CCEEFF"/>
          </w:tcPr>
          <w:p>
            <w:pPr>
              <w:jc w:val="center"/>
              <w:ind w:left="5"/>
              <w:spacing w:after="0"/>
              <w:rPr>
                <w:sz w:val="20"/>
                <w:szCs w:val="20"/>
                <w:color w:val="auto"/>
              </w:rPr>
            </w:pPr>
            <w:r>
              <w:rPr>
                <w:rFonts w:ascii="Arial" w:cs="Arial" w:eastAsia="Arial" w:hAnsi="Arial"/>
                <w:sz w:val="15"/>
                <w:szCs w:val="15"/>
                <w:color w:val="auto"/>
                <w:w w:val="94"/>
              </w:rPr>
              <w:t>(68)%</w:t>
            </w:r>
          </w:p>
        </w:tc>
        <w:tc>
          <w:tcPr>
            <w:tcW w:w="0" w:type="dxa"/>
            <w:vAlign w:val="bottom"/>
          </w:tcPr>
          <w:p>
            <w:pPr>
              <w:spacing w:after="0"/>
              <w:rPr>
                <w:sz w:val="1"/>
                <w:szCs w:val="1"/>
                <w:color w:val="auto"/>
              </w:rPr>
            </w:pPr>
          </w:p>
        </w:tc>
      </w:tr>
      <w:tr>
        <w:trPr>
          <w:trHeight w:val="19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benefit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3,792</w:t>
            </w:r>
          </w:p>
        </w:tc>
        <w:tc>
          <w:tcPr>
            <w:tcW w:w="940" w:type="dxa"/>
            <w:vAlign w:val="bottom"/>
            <w:tcBorders>
              <w:bottom w:val="single" w:sz="8" w:color="CCEEFF"/>
            </w:tcBorders>
            <w:gridSpan w:val="2"/>
          </w:tcPr>
          <w:p>
            <w:pPr>
              <w:jc w:val="center"/>
              <w:ind w:left="25"/>
              <w:spacing w:after="0"/>
              <w:rPr>
                <w:sz w:val="20"/>
                <w:szCs w:val="20"/>
                <w:color w:val="auto"/>
              </w:rPr>
            </w:pPr>
            <w:r>
              <w:rPr>
                <w:rFonts w:ascii="Arial" w:cs="Arial" w:eastAsia="Arial" w:hAnsi="Arial"/>
                <w:sz w:val="15"/>
                <w:szCs w:val="15"/>
                <w:color w:val="auto"/>
                <w:w w:val="91"/>
              </w:rPr>
              <w:t>(99.9)%</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(14,461)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(41,868)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27,407</w:t>
            </w:r>
          </w:p>
        </w:tc>
        <w:tc>
          <w:tcPr>
            <w:tcW w:w="940" w:type="dxa"/>
            <w:vAlign w:val="bottom"/>
            <w:gridSpan w:val="2"/>
            <w:shd w:val="clear" w:color="auto" w:fill="CCEEFF"/>
          </w:tcPr>
          <w:p>
            <w:pPr>
              <w:jc w:val="center"/>
              <w:ind w:left="5"/>
              <w:spacing w:after="0"/>
              <w:rPr>
                <w:sz w:val="20"/>
                <w:szCs w:val="20"/>
                <w:color w:val="auto"/>
              </w:rPr>
            </w:pPr>
            <w:r>
              <w:rPr>
                <w:rFonts w:ascii="Arial" w:cs="Arial" w:eastAsia="Arial" w:hAnsi="Arial"/>
                <w:sz w:val="15"/>
                <w:szCs w:val="15"/>
                <w:color w:val="auto"/>
                <w:w w:val="94"/>
              </w:rPr>
              <w:t>(65)%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Other Operating Data: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Diagnostic tests reported</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21,039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12,303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8,736</w:t>
            </w:r>
          </w:p>
        </w:tc>
        <w:tc>
          <w:tcPr>
            <w:tcW w:w="94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3"/>
              </w:rPr>
              <w:t>71%</w:t>
            </w:r>
          </w:p>
        </w:tc>
        <w:tc>
          <w:tcPr>
            <w:tcW w:w="0" w:type="dxa"/>
            <w:vAlign w:val="bottom"/>
          </w:tcPr>
          <w:p>
            <w:pPr>
              <w:spacing w:after="0"/>
              <w:rPr>
                <w:sz w:val="1"/>
                <w:szCs w:val="1"/>
                <w:color w:val="auto"/>
              </w:rPr>
            </w:pPr>
          </w:p>
        </w:tc>
      </w:tr>
      <w:tr>
        <w:trPr>
          <w:trHeight w:val="19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Product tests sold</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2,206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2,134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72</w:t>
            </w:r>
          </w:p>
        </w:tc>
        <w:tc>
          <w:tcPr>
            <w:tcW w:w="940" w:type="dxa"/>
            <w:vAlign w:val="bottom"/>
            <w:tcBorders>
              <w:bottom w:val="single" w:sz="8" w:color="CCEEFF"/>
            </w:tcBorders>
            <w:gridSpan w:val="2"/>
          </w:tcPr>
          <w:p>
            <w:pPr>
              <w:jc w:val="center"/>
              <w:ind w:left="25"/>
              <w:spacing w:after="0"/>
              <w:rPr>
                <w:sz w:val="20"/>
                <w:szCs w:val="20"/>
                <w:color w:val="auto"/>
              </w:rPr>
            </w:pPr>
            <w:r>
              <w:rPr>
                <w:rFonts w:ascii="Arial" w:cs="Arial" w:eastAsia="Arial" w:hAnsi="Arial"/>
                <w:sz w:val="15"/>
                <w:szCs w:val="15"/>
                <w:color w:val="auto"/>
                <w:w w:val="92"/>
              </w:rPr>
              <w:t>3%</w:t>
            </w:r>
          </w:p>
        </w:tc>
        <w:tc>
          <w:tcPr>
            <w:tcW w:w="0" w:type="dxa"/>
            <w:vAlign w:val="bottom"/>
          </w:tcPr>
          <w:p>
            <w:pPr>
              <w:spacing w:after="0"/>
              <w:rPr>
                <w:sz w:val="1"/>
                <w:szCs w:val="1"/>
                <w:color w:val="auto"/>
              </w:rPr>
            </w:pPr>
          </w:p>
        </w:tc>
      </w:tr>
      <w:tr>
        <w:trPr>
          <w:trHeight w:val="221"/>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test volume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23,245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14,437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8,808</w:t>
            </w:r>
          </w:p>
        </w:tc>
        <w:tc>
          <w:tcPr>
            <w:tcW w:w="940" w:type="dxa"/>
            <w:vAlign w:val="bottom"/>
            <w:tcBorders>
              <w:bottom w:val="single" w:sz="8" w:color="CCEEFF"/>
            </w:tcBorders>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3"/>
              </w:rPr>
              <w:t>61%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 expense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6,556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2,550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4,006</w:t>
            </w:r>
          </w:p>
        </w:tc>
        <w:tc>
          <w:tcPr>
            <w:tcW w:w="94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93"/>
              </w:rPr>
              <w:t>157%</w:t>
            </w:r>
          </w:p>
        </w:tc>
        <w:tc>
          <w:tcPr>
            <w:tcW w:w="0" w:type="dxa"/>
            <w:vAlign w:val="bottom"/>
          </w:tcPr>
          <w:p>
            <w:pPr>
              <w:spacing w:after="0"/>
              <w:rPr>
                <w:sz w:val="1"/>
                <w:szCs w:val="1"/>
                <w:color w:val="auto"/>
              </w:rPr>
            </w:pPr>
          </w:p>
        </w:tc>
      </w:tr>
      <w:tr>
        <w:trPr>
          <w:trHeight w:val="194"/>
        </w:trPr>
        <w:tc>
          <w:tcPr>
            <w:tcW w:w="452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6,855</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3,855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5"/>
              <w:spacing w:after="0"/>
              <w:rPr>
                <w:sz w:val="20"/>
                <w:szCs w:val="20"/>
                <w:color w:val="auto"/>
              </w:rPr>
            </w:pPr>
            <w:r>
              <w:rPr>
                <w:rFonts w:ascii="Arial" w:cs="Arial" w:eastAsia="Arial" w:hAnsi="Arial"/>
                <w:sz w:val="15"/>
                <w:szCs w:val="15"/>
                <w:color w:val="auto"/>
              </w:rPr>
              <w:t>3,000</w:t>
            </w:r>
          </w:p>
        </w:tc>
        <w:tc>
          <w:tcPr>
            <w:tcW w:w="940" w:type="dxa"/>
            <w:vAlign w:val="bottom"/>
            <w:gridSpan w:val="2"/>
          </w:tcPr>
          <w:p>
            <w:pPr>
              <w:jc w:val="center"/>
              <w:ind w:left="25"/>
              <w:spacing w:after="0"/>
              <w:rPr>
                <w:sz w:val="20"/>
                <w:szCs w:val="20"/>
                <w:color w:val="auto"/>
              </w:rPr>
            </w:pPr>
            <w:r>
              <w:rPr>
                <w:rFonts w:ascii="Arial" w:cs="Arial" w:eastAsia="Arial" w:hAnsi="Arial"/>
                <w:sz w:val="15"/>
                <w:szCs w:val="15"/>
                <w:color w:val="auto"/>
                <w:w w:val="93"/>
              </w:rPr>
              <w:t>78%</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05"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Revenue increased $31.1 million for the three months ended March 31, 2022 compared to the same period in 2021. This was primarily due to a $22.9 million increase in testing revenue driven by a 71% volume increase in our diagnostic tests, as well as an $8.3 million increase in our Biopharmaceutical and other revenue. Testing revenue and tests reported for the three months ended March 31, 2022 increased primarily due to the addition of the Decipher urology tests following our acquisition of Decipher Biosciences on March 12, 2021, which contributed $25.0 million of testing revenue during the three months ended March 31, 2022. Product revenue decreased $0.1 million for the three months ended March 31, 2022 compared to same period in 2021, as volume growth was offset by a decline in exchange rates. Biopharmaceutical and other revenue primarily increased for the three months ended March 31, 2022 due to the operations of HalioDx following its acquisition on August 2, 2021 which contributed $7.2 million of biopharmaceutical and other revenue.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Cost of revenue</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months ended March 31, 2022 and 2021 is as follows (in thousands of dollars, except percentages):</w:t>
      </w:r>
    </w:p>
    <w:p>
      <w:pPr>
        <w:spacing w:after="0" w:line="330" w:lineRule="exact"/>
        <w:rPr>
          <w:sz w:val="20"/>
          <w:szCs w:val="20"/>
          <w:color w:val="auto"/>
        </w:rPr>
      </w:pPr>
    </w:p>
    <w:tbl>
      <w:tblPr>
        <w:tblLayout w:type="fixed"/>
        <w:tblInd w:w="1620" w:type="dxa"/>
        <w:tblCellMar>
          <w:top w:w="0" w:type="dxa"/>
          <w:left w:w="0" w:type="dxa"/>
          <w:bottom w:w="0" w:type="dxa"/>
          <w:right w:w="0" w:type="dxa"/>
        </w:tblCellMar>
      </w:tblPr>
      <w:tr>
        <w:trPr>
          <w:trHeight w:val="197"/>
        </w:trPr>
        <w:tc>
          <w:tcPr>
            <w:tcW w:w="3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tcPr>
          <w:p>
            <w:pPr>
              <w:ind w:left="80"/>
              <w:spacing w:after="0"/>
              <w:rPr>
                <w:sz w:val="20"/>
                <w:szCs w:val="20"/>
                <w:color w:val="auto"/>
              </w:rPr>
            </w:pPr>
            <w:r>
              <w:rPr>
                <w:rFonts w:ascii="Arial" w:cs="Arial" w:eastAsia="Arial" w:hAnsi="Arial"/>
                <w:sz w:val="15"/>
                <w:szCs w:val="15"/>
                <w:b w:val="1"/>
                <w:bCs w:val="1"/>
                <w:color w:val="auto"/>
                <w:w w:val="95"/>
              </w:rPr>
              <w:t>Three Months Ended March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5"/>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5"/>
                <w:szCs w:val="15"/>
                <w:b w:val="1"/>
                <w:bCs w:val="1"/>
                <w:color w:val="auto"/>
              </w:rPr>
              <w:t>Change</w:t>
            </w:r>
          </w:p>
        </w:tc>
        <w:tc>
          <w:tcPr>
            <w:tcW w:w="940" w:type="dxa"/>
            <w:vAlign w:val="bottom"/>
          </w:tcPr>
          <w:p>
            <w:pPr>
              <w:jc w:val="right"/>
              <w:ind w:right="325"/>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testing revenue:</w:t>
            </w: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20" w:type="dxa"/>
            <w:vAlign w:val="bottom"/>
          </w:tcPr>
          <w:p>
            <w:pPr>
              <w:ind w:left="120"/>
              <w:spacing w:after="0"/>
              <w:rPr>
                <w:sz w:val="20"/>
                <w:szCs w:val="20"/>
                <w:color w:val="auto"/>
              </w:rPr>
            </w:pPr>
            <w:r>
              <w:rPr>
                <w:rFonts w:ascii="Arial" w:cs="Arial" w:eastAsia="Arial" w:hAnsi="Arial"/>
                <w:sz w:val="15"/>
                <w:szCs w:val="15"/>
                <w:color w:val="auto"/>
              </w:rPr>
              <w:t>Laboratory costs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8,730</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5,753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2,977</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52 %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Sample collection costs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1,207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63 %</w:t>
            </w:r>
          </w:p>
        </w:tc>
        <w:tc>
          <w:tcPr>
            <w:tcW w:w="0" w:type="dxa"/>
            <w:vAlign w:val="bottom"/>
          </w:tcPr>
          <w:p>
            <w:pPr>
              <w:spacing w:after="0"/>
              <w:rPr>
                <w:sz w:val="1"/>
                <w:szCs w:val="1"/>
                <w:color w:val="auto"/>
              </w:rPr>
            </w:pPr>
          </w:p>
        </w:tc>
      </w:tr>
      <w:tr>
        <w:trPr>
          <w:trHeight w:val="197"/>
        </w:trPr>
        <w:tc>
          <w:tcPr>
            <w:tcW w:w="392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2,335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1,631</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70 %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License fees and royalties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492 %</w:t>
            </w:r>
          </w:p>
        </w:tc>
        <w:tc>
          <w:tcPr>
            <w:tcW w:w="0" w:type="dxa"/>
            <w:vAlign w:val="bottom"/>
          </w:tcPr>
          <w:p>
            <w:pPr>
              <w:spacing w:after="0"/>
              <w:rPr>
                <w:sz w:val="1"/>
                <w:szCs w:val="1"/>
                <w:color w:val="auto"/>
              </w:rPr>
            </w:pPr>
          </w:p>
        </w:tc>
      </w:tr>
      <w:tr>
        <w:trPr>
          <w:trHeight w:val="197"/>
        </w:trPr>
        <w:tc>
          <w:tcPr>
            <w:tcW w:w="3920" w:type="dxa"/>
            <w:vAlign w:val="bottom"/>
          </w:tcPr>
          <w:p>
            <w:pPr>
              <w:ind w:left="12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271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59 %</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17,523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10,832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Cost of product revenue: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Product costs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197"/>
        </w:trPr>
        <w:tc>
          <w:tcPr>
            <w:tcW w:w="3920" w:type="dxa"/>
            <w:vAlign w:val="bottom"/>
          </w:tcPr>
          <w:p>
            <w:pPr>
              <w:ind w:left="120"/>
              <w:spacing w:after="0"/>
              <w:rPr>
                <w:sz w:val="20"/>
                <w:szCs w:val="20"/>
                <w:color w:val="auto"/>
              </w:rPr>
            </w:pPr>
            <w:r>
              <w:rPr>
                <w:rFonts w:ascii="Arial" w:cs="Arial" w:eastAsia="Arial" w:hAnsi="Arial"/>
                <w:sz w:val="15"/>
                <w:szCs w:val="15"/>
                <w:color w:val="auto"/>
              </w:rPr>
              <w:t>License fees and royalties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275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7"/>
        </w:trPr>
        <w:tc>
          <w:tcPr>
            <w:tcW w:w="3920" w:type="dxa"/>
            <w:vAlign w:val="bottom"/>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66</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392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1,575</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1,490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biopharmaceutical and other revenue: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2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2,337</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2,299</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6,050 %</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Laboratory expense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7"/>
        </w:trPr>
        <w:tc>
          <w:tcPr>
            <w:tcW w:w="3920" w:type="dxa"/>
            <w:vAlign w:val="bottom"/>
          </w:tcPr>
          <w:p>
            <w:pPr>
              <w:ind w:left="120"/>
              <w:spacing w:after="0"/>
              <w:rPr>
                <w:sz w:val="20"/>
                <w:szCs w:val="20"/>
                <w:color w:val="auto"/>
              </w:rPr>
            </w:pPr>
            <w:r>
              <w:rPr>
                <w:rFonts w:ascii="Arial" w:cs="Arial" w:eastAsia="Arial" w:hAnsi="Arial"/>
                <w:sz w:val="15"/>
                <w:szCs w:val="15"/>
                <w:color w:val="auto"/>
              </w:rPr>
              <w:t>License fees and royalties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7"/>
        </w:trPr>
        <w:tc>
          <w:tcPr>
            <w:tcW w:w="3920" w:type="dxa"/>
            <w:vAlign w:val="bottom"/>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1,997</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4,644 %</w:t>
            </w:r>
          </w:p>
        </w:tc>
        <w:tc>
          <w:tcPr>
            <w:tcW w:w="0" w:type="dxa"/>
            <w:vAlign w:val="bottom"/>
          </w:tcPr>
          <w:p>
            <w:pPr>
              <w:spacing w:after="0"/>
              <w:rPr>
                <w:sz w:val="1"/>
                <w:szCs w:val="1"/>
                <w:color w:val="auto"/>
              </w:rPr>
            </w:pPr>
          </w:p>
        </w:tc>
      </w:tr>
      <w:tr>
        <w:trPr>
          <w:trHeight w:val="200"/>
        </w:trPr>
        <w:tc>
          <w:tcPr>
            <w:tcW w:w="3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392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4,615</w:t>
            </w:r>
          </w:p>
        </w:tc>
        <w:tc>
          <w:tcPr>
            <w:tcW w:w="3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81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4,534</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5,598 %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Cost of testing revenue increased $6.7 million for the three months ended March 31, 2022 compared to the same period in 2021. Following the acquisition of Decipher Biosciences in March 2021, its operations are included in cost of testing revenue and contributed approximately $5.1 million for the three months ended March 31, 2022. The remaining increase for cost of testing is related to increased volume in testing primarily related to Afirma.</w:t>
      </w:r>
    </w:p>
    <w:p>
      <w:pPr>
        <w:spacing w:after="0" w:line="159"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Cost of product revenue is related to sales of Prosigna. Cost of product revenue increased $0.1 million, or 6%, for the three months ended March 31, 2022 compared to the same period in 2021, primarily due to a 3% increase in product tests sold.</w:t>
      </w:r>
    </w:p>
    <w:p>
      <w:pPr>
        <w:spacing w:after="0" w:line="192"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Cost of biopharmaceutical and other revenue includes labor costs incurred by our employees working on customer projects, laboratory supplies and pass-through expenses incurred on these projects. Cost of biopharmaceutical and other revenue includes the operations of HalioDx following its acquisition on August 2, 2021, which contributed approximately $4.3 million of cost of revenue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months ended March 31, 2022 and 2021 is as follows (in thousands of dollars, except percentages):</w:t>
      </w:r>
    </w:p>
    <w:p>
      <w:pPr>
        <w:spacing w:after="0" w:line="330" w:lineRule="exact"/>
        <w:rPr>
          <w:sz w:val="20"/>
          <w:szCs w:val="20"/>
          <w:color w:val="auto"/>
        </w:rPr>
      </w:pPr>
    </w:p>
    <w:tbl>
      <w:tblPr>
        <w:tblLayout w:type="fixed"/>
        <w:tblInd w:w="1800" w:type="dxa"/>
        <w:tblCellMar>
          <w:top w:w="0" w:type="dxa"/>
          <w:left w:w="0" w:type="dxa"/>
          <w:bottom w:w="0" w:type="dxa"/>
          <w:right w:w="0" w:type="dxa"/>
        </w:tblCellMar>
      </w:tblPr>
      <w:tr>
        <w:trPr>
          <w:trHeight w:val="197"/>
        </w:trPr>
        <w:tc>
          <w:tcPr>
            <w:tcW w:w="3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5"/>
                <w:szCs w:val="15"/>
                <w:b w:val="1"/>
                <w:bCs w:val="1"/>
                <w:color w:val="auto"/>
                <w:w w:val="92"/>
              </w:rPr>
              <w:t>Three Months Ended March 31,</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3"/>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25"/>
              <w:spacing w:after="0"/>
              <w:rPr>
                <w:sz w:val="20"/>
                <w:szCs w:val="20"/>
                <w:color w:val="auto"/>
              </w:rPr>
            </w:pPr>
            <w:r>
              <w:rPr>
                <w:rFonts w:ascii="Arial" w:cs="Arial" w:eastAsia="Arial" w:hAnsi="Arial"/>
                <w:sz w:val="15"/>
                <w:szCs w:val="15"/>
                <w:b w:val="1"/>
                <w:bCs w:val="1"/>
                <w:color w:val="auto"/>
              </w:rPr>
              <w:t>2022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45"/>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b w:val="1"/>
                <w:bCs w:val="1"/>
                <w:color w:val="auto"/>
                <w:w w:val="98"/>
              </w:rPr>
              <w:t>Change</w:t>
            </w:r>
          </w:p>
        </w:tc>
        <w:tc>
          <w:tcPr>
            <w:tcW w:w="840" w:type="dxa"/>
            <w:vAlign w:val="bottom"/>
            <w:gridSpan w:val="2"/>
          </w:tcPr>
          <w:p>
            <w:pPr>
              <w:jc w:val="center"/>
              <w:ind w:left="25"/>
              <w:spacing w:after="0"/>
              <w:rPr>
                <w:sz w:val="20"/>
                <w:szCs w:val="20"/>
                <w:color w:val="auto"/>
              </w:rPr>
            </w:pPr>
            <w:r>
              <w:rPr>
                <w:rFonts w:ascii="Arial" w:cs="Arial" w:eastAsia="Arial" w:hAnsi="Arial"/>
                <w:sz w:val="15"/>
                <w:szCs w:val="15"/>
                <w:b w:val="1"/>
                <w:bCs w:val="1"/>
                <w:color w:val="auto"/>
              </w:rPr>
              <w:t>%</w:t>
            </w: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Research and development expense:</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197"/>
        </w:trPr>
        <w:tc>
          <w:tcPr>
            <w:tcW w:w="374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7,125</w:t>
            </w:r>
          </w:p>
        </w:tc>
        <w:tc>
          <w:tcPr>
            <w:tcW w:w="3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3,888</w:t>
            </w:r>
          </w:p>
        </w:tc>
        <w:tc>
          <w:tcPr>
            <w:tcW w:w="1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3,237</w:t>
            </w:r>
          </w:p>
        </w:tc>
        <w:tc>
          <w:tcPr>
            <w:tcW w:w="840" w:type="dxa"/>
            <w:vAlign w:val="bottom"/>
            <w:gridSpan w:val="2"/>
          </w:tcPr>
          <w:p>
            <w:pPr>
              <w:jc w:val="center"/>
              <w:ind w:left="25"/>
              <w:spacing w:after="0"/>
              <w:rPr>
                <w:sz w:val="20"/>
                <w:szCs w:val="20"/>
                <w:color w:val="auto"/>
              </w:rPr>
            </w:pPr>
            <w:r>
              <w:rPr>
                <w:rFonts w:ascii="Arial" w:cs="Arial" w:eastAsia="Arial" w:hAnsi="Arial"/>
                <w:sz w:val="15"/>
                <w:szCs w:val="15"/>
                <w:color w:val="auto"/>
                <w:w w:val="86"/>
              </w:rPr>
              <w:t>83%</w:t>
            </w:r>
          </w:p>
        </w:tc>
      </w:tr>
      <w:tr>
        <w:trPr>
          <w:trHeight w:val="203"/>
        </w:trPr>
        <w:tc>
          <w:tcPr>
            <w:tcW w:w="3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 research and development expense</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84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86"/>
              </w:rPr>
              <w:t>30%</w:t>
            </w:r>
          </w:p>
        </w:tc>
      </w:tr>
      <w:tr>
        <w:trPr>
          <w:trHeight w:val="197"/>
        </w:trPr>
        <w:tc>
          <w:tcPr>
            <w:tcW w:w="3740" w:type="dxa"/>
            <w:vAlign w:val="bottom"/>
          </w:tcPr>
          <w:p>
            <w:pPr>
              <w:ind w:left="120"/>
              <w:spacing w:after="0"/>
              <w:rPr>
                <w:sz w:val="20"/>
                <w:szCs w:val="20"/>
                <w:color w:val="auto"/>
              </w:rPr>
            </w:pPr>
            <w:r>
              <w:rPr>
                <w:rFonts w:ascii="Arial" w:cs="Arial" w:eastAsia="Arial" w:hAnsi="Arial"/>
                <w:sz w:val="15"/>
                <w:szCs w:val="15"/>
                <w:color w:val="auto"/>
              </w:rPr>
              <w:t>Professional fees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(77)</w:t>
            </w:r>
          </w:p>
        </w:tc>
        <w:tc>
          <w:tcPr>
            <w:tcW w:w="840" w:type="dxa"/>
            <w:vAlign w:val="bottom"/>
            <w:gridSpan w:val="2"/>
          </w:tcPr>
          <w:p>
            <w:pPr>
              <w:jc w:val="center"/>
              <w:ind w:left="25"/>
              <w:spacing w:after="0"/>
              <w:rPr>
                <w:sz w:val="20"/>
                <w:szCs w:val="20"/>
                <w:color w:val="auto"/>
              </w:rPr>
            </w:pPr>
            <w:r>
              <w:rPr>
                <w:rFonts w:ascii="Arial" w:cs="Arial" w:eastAsia="Arial" w:hAnsi="Arial"/>
                <w:sz w:val="15"/>
                <w:szCs w:val="15"/>
                <w:color w:val="auto"/>
                <w:w w:val="94"/>
              </w:rPr>
              <w:t>(24)%</w:t>
            </w:r>
          </w:p>
        </w:tc>
      </w:tr>
      <w:tr>
        <w:trPr>
          <w:trHeight w:val="203"/>
        </w:trPr>
        <w:tc>
          <w:tcPr>
            <w:tcW w:w="3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84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88"/>
              </w:rPr>
              <w:t>115%</w:t>
            </w:r>
          </w:p>
        </w:tc>
      </w:tr>
      <w:tr>
        <w:trPr>
          <w:trHeight w:val="197"/>
        </w:trPr>
        <w:tc>
          <w:tcPr>
            <w:tcW w:w="3740" w:type="dxa"/>
            <w:vAlign w:val="bottom"/>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288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256</w:t>
            </w:r>
          </w:p>
        </w:tc>
        <w:tc>
          <w:tcPr>
            <w:tcW w:w="840" w:type="dxa"/>
            <w:vAlign w:val="bottom"/>
            <w:gridSpan w:val="2"/>
          </w:tcPr>
          <w:p>
            <w:pPr>
              <w:jc w:val="center"/>
              <w:ind w:left="25"/>
              <w:spacing w:after="0"/>
              <w:rPr>
                <w:sz w:val="20"/>
                <w:szCs w:val="20"/>
                <w:color w:val="auto"/>
              </w:rPr>
            </w:pPr>
            <w:r>
              <w:rPr>
                <w:rFonts w:ascii="Arial" w:cs="Arial" w:eastAsia="Arial" w:hAnsi="Arial"/>
                <w:sz w:val="15"/>
                <w:szCs w:val="15"/>
                <w:color w:val="auto"/>
                <w:w w:val="88"/>
              </w:rPr>
              <w:t>800%</w:t>
            </w:r>
          </w:p>
        </w:tc>
      </w:tr>
      <w:tr>
        <w:trPr>
          <w:trHeight w:val="200"/>
        </w:trPr>
        <w:tc>
          <w:tcPr>
            <w:tcW w:w="3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578</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840" w:type="dxa"/>
            <w:vAlign w:val="bottom"/>
            <w:gridSpan w:val="2"/>
            <w:shd w:val="clear" w:color="auto" w:fill="CCEEFF"/>
          </w:tcPr>
          <w:p>
            <w:pPr>
              <w:jc w:val="center"/>
              <w:ind w:left="25"/>
              <w:spacing w:after="0"/>
              <w:rPr>
                <w:sz w:val="20"/>
                <w:szCs w:val="20"/>
                <w:color w:val="auto"/>
              </w:rPr>
            </w:pPr>
            <w:r>
              <w:rPr>
                <w:rFonts w:ascii="Arial" w:cs="Arial" w:eastAsia="Arial" w:hAnsi="Arial"/>
                <w:sz w:val="15"/>
                <w:szCs w:val="15"/>
                <w:color w:val="auto"/>
                <w:w w:val="86"/>
              </w:rPr>
              <w:t>39%</w:t>
            </w:r>
          </w:p>
        </w:tc>
      </w:tr>
      <w:tr>
        <w:trPr>
          <w:trHeight w:val="196"/>
        </w:trPr>
        <w:tc>
          <w:tcPr>
            <w:tcW w:w="374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9,166</w:t>
            </w:r>
          </w:p>
        </w:tc>
        <w:tc>
          <w:tcPr>
            <w:tcW w:w="36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5,336</w:t>
            </w:r>
          </w:p>
        </w:tc>
        <w:tc>
          <w:tcPr>
            <w:tcW w:w="1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3,830</w:t>
            </w:r>
          </w:p>
        </w:tc>
        <w:tc>
          <w:tcPr>
            <w:tcW w:w="840" w:type="dxa"/>
            <w:vAlign w:val="bottom"/>
            <w:gridSpan w:val="2"/>
          </w:tcPr>
          <w:p>
            <w:pPr>
              <w:jc w:val="center"/>
              <w:ind w:left="25"/>
              <w:spacing w:after="0"/>
              <w:rPr>
                <w:sz w:val="20"/>
                <w:szCs w:val="20"/>
                <w:color w:val="auto"/>
              </w:rPr>
            </w:pPr>
            <w:r>
              <w:rPr>
                <w:rFonts w:ascii="Arial" w:cs="Arial" w:eastAsia="Arial" w:hAnsi="Arial"/>
                <w:sz w:val="15"/>
                <w:szCs w:val="15"/>
                <w:color w:val="auto"/>
                <w:w w:val="86"/>
              </w:rPr>
              <w:t>72%</w:t>
            </w:r>
          </w:p>
        </w:tc>
      </w:tr>
      <w:tr>
        <w:trPr>
          <w:trHeight w:val="20"/>
        </w:trPr>
        <w:tc>
          <w:tcPr>
            <w:tcW w:w="3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375"/>
        <w:spacing w:after="0" w:line="298" w:lineRule="auto"/>
        <w:rPr>
          <w:sz w:val="20"/>
          <w:szCs w:val="20"/>
          <w:color w:val="auto"/>
        </w:rPr>
      </w:pPr>
      <w:r>
        <w:rPr>
          <w:rFonts w:ascii="Arial" w:cs="Arial" w:eastAsia="Arial" w:hAnsi="Arial"/>
          <w:sz w:val="16"/>
          <w:szCs w:val="16"/>
          <w:color w:val="auto"/>
        </w:rPr>
        <w:t>Research and development expense increased $3.8 million, or 72%, for the three months ended March 31, 2022 compared to the same period in 2021. The increase in compensation expense was primarily due to an increase in headcount, including the addition of Decipher and HalioDx employees.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months ended March 31, 2022 and 2021 is as follows (in thousands of dollars, except percentages):</w:t>
      </w:r>
    </w:p>
    <w:p>
      <w:pPr>
        <w:spacing w:after="0" w:line="330" w:lineRule="exact"/>
        <w:rPr>
          <w:sz w:val="20"/>
          <w:szCs w:val="20"/>
          <w:color w:val="auto"/>
        </w:rPr>
      </w:pPr>
    </w:p>
    <w:tbl>
      <w:tblPr>
        <w:tblLayout w:type="fixed"/>
        <w:tblInd w:w="2000" w:type="dxa"/>
        <w:tblCellMar>
          <w:top w:w="0" w:type="dxa"/>
          <w:left w:w="0" w:type="dxa"/>
          <w:bottom w:w="0" w:type="dxa"/>
          <w:right w:w="0" w:type="dxa"/>
        </w:tblCellMar>
      </w:tblPr>
      <w:tr>
        <w:trPr>
          <w:trHeight w:val="197"/>
        </w:trPr>
        <w:tc>
          <w:tcPr>
            <w:tcW w:w="3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2"/>
              </w:rPr>
              <w:t>Three Months Ended March 31,</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3"/>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b w:val="1"/>
                <w:bCs w:val="1"/>
                <w:color w:val="auto"/>
                <w:w w:val="98"/>
              </w:rPr>
              <w:t>Change</w:t>
            </w: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r>
      <w:tr>
        <w:trPr>
          <w:trHeight w:val="19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Selling and marketing expense:</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197"/>
        </w:trPr>
        <w:tc>
          <w:tcPr>
            <w:tcW w:w="324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18,328</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12,157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6,171</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51 %</w:t>
            </w:r>
          </w:p>
        </w:tc>
      </w:tr>
      <w:tr>
        <w:trPr>
          <w:trHeight w:val="203"/>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Direct marketing expense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w:t>
            </w:r>
          </w:p>
        </w:tc>
      </w:tr>
      <w:tr>
        <w:trPr>
          <w:trHeight w:val="197"/>
        </w:trPr>
        <w:tc>
          <w:tcPr>
            <w:tcW w:w="3240" w:type="dxa"/>
            <w:vAlign w:val="bottom"/>
          </w:tcPr>
          <w:p>
            <w:pPr>
              <w:ind w:left="120"/>
              <w:spacing w:after="0"/>
              <w:rPr>
                <w:sz w:val="20"/>
                <w:szCs w:val="20"/>
                <w:color w:val="auto"/>
              </w:rPr>
            </w:pPr>
            <w:r>
              <w:rPr>
                <w:rFonts w:ascii="Arial" w:cs="Arial" w:eastAsia="Arial" w:hAnsi="Arial"/>
                <w:sz w:val="15"/>
                <w:szCs w:val="15"/>
                <w:color w:val="auto"/>
              </w:rPr>
              <w:t>Professional fees</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455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712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(257)</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(36)%</w:t>
            </w:r>
          </w:p>
        </w:tc>
      </w:tr>
      <w:tr>
        <w:trPr>
          <w:trHeight w:val="203"/>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108 %</w:t>
            </w:r>
          </w:p>
        </w:tc>
      </w:tr>
      <w:tr>
        <w:trPr>
          <w:trHeight w:val="197"/>
        </w:trPr>
        <w:tc>
          <w:tcPr>
            <w:tcW w:w="32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1,310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927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383</w:t>
            </w:r>
          </w:p>
        </w:tc>
        <w:tc>
          <w:tcPr>
            <w:tcW w:w="9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5"/>
                <w:szCs w:val="15"/>
                <w:color w:val="auto"/>
              </w:rPr>
              <w:t>41 %</w:t>
            </w:r>
          </w:p>
        </w:tc>
      </w:tr>
      <w:tr>
        <w:trPr>
          <w:trHeight w:val="216"/>
        </w:trPr>
        <w:tc>
          <w:tcPr>
            <w:tcW w:w="32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23,754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16,296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27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Selling and marketing expense increased $7.5 million, or 46%, for the three months ended March 31, 2022 compared to the same period in 2021. The increase in compensation expense was primarily due to the addition of Decipher employees in March 2021, as well as HalioDx employees in August 2021. The increase in other expenses were primarily due to the addition of Decipher Biosciences, inclusive of travel and entertainment.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General and administrative</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Comparison of the three months ended March 31, 2022 and 2021 is as follows (in thousands of dollars, except percentages):</w:t>
      </w:r>
    </w:p>
    <w:p>
      <w:pPr>
        <w:spacing w:after="0" w:line="330" w:lineRule="exact"/>
        <w:rPr>
          <w:sz w:val="20"/>
          <w:szCs w:val="20"/>
          <w:color w:val="auto"/>
        </w:rPr>
      </w:pPr>
    </w:p>
    <w:tbl>
      <w:tblPr>
        <w:tblLayout w:type="fixed"/>
        <w:tblInd w:w="2000" w:type="dxa"/>
        <w:tblCellMar>
          <w:top w:w="0" w:type="dxa"/>
          <w:left w:w="0" w:type="dxa"/>
          <w:bottom w:w="0" w:type="dxa"/>
          <w:right w:w="0" w:type="dxa"/>
        </w:tblCellMar>
      </w:tblPr>
      <w:tr>
        <w:trPr>
          <w:trHeight w:val="197"/>
        </w:trPr>
        <w:tc>
          <w:tcPr>
            <w:tcW w:w="3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2"/>
              </w:rPr>
              <w:t>Three Months Ended March 31,</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3"/>
        </w:trPr>
        <w:tc>
          <w:tcPr>
            <w:tcW w:w="3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5"/>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65"/>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65"/>
              <w:spacing w:after="0"/>
              <w:rPr>
                <w:sz w:val="20"/>
                <w:szCs w:val="20"/>
                <w:color w:val="auto"/>
              </w:rPr>
            </w:pPr>
            <w:r>
              <w:rPr>
                <w:rFonts w:ascii="Arial" w:cs="Arial" w:eastAsia="Arial" w:hAnsi="Arial"/>
                <w:sz w:val="15"/>
                <w:szCs w:val="15"/>
                <w:b w:val="1"/>
                <w:bCs w:val="1"/>
                <w:color w:val="auto"/>
                <w:w w:val="98"/>
              </w:rPr>
              <w:t>Change</w:t>
            </w: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w:t>
            </w:r>
          </w:p>
        </w:tc>
      </w:tr>
      <w:tr>
        <w:trPr>
          <w:trHeight w:val="19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General and administrative expense:</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197"/>
        </w:trPr>
        <w:tc>
          <w:tcPr>
            <w:tcW w:w="3240" w:type="dxa"/>
            <w:vAlign w:val="bottom"/>
          </w:tcPr>
          <w:p>
            <w:pPr>
              <w:ind w:left="120"/>
              <w:spacing w:after="0"/>
              <w:rPr>
                <w:sz w:val="20"/>
                <w:szCs w:val="20"/>
                <w:color w:val="auto"/>
              </w:rPr>
            </w:pPr>
            <w:r>
              <w:rPr>
                <w:rFonts w:ascii="Arial" w:cs="Arial" w:eastAsia="Arial" w:hAnsi="Arial"/>
                <w:sz w:val="15"/>
                <w:szCs w:val="15"/>
                <w:color w:val="auto"/>
              </w:rPr>
              <w:t>Compensation expense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15,098</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32,352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(17,254)</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(53)%</w:t>
            </w:r>
          </w:p>
        </w:tc>
      </w:tr>
      <w:tr>
        <w:trPr>
          <w:trHeight w:val="203"/>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Professional fees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4,962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13,242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(63)%</w:t>
            </w:r>
          </w:p>
        </w:tc>
      </w:tr>
      <w:tr>
        <w:trPr>
          <w:trHeight w:val="197"/>
        </w:trPr>
        <w:tc>
          <w:tcPr>
            <w:tcW w:w="3240" w:type="dxa"/>
            <w:vAlign w:val="bottom"/>
          </w:tcPr>
          <w:p>
            <w:pPr>
              <w:ind w:left="120"/>
              <w:spacing w:after="0"/>
              <w:rPr>
                <w:sz w:val="20"/>
                <w:szCs w:val="20"/>
                <w:color w:val="auto"/>
              </w:rPr>
            </w:pPr>
            <w:r>
              <w:rPr>
                <w:rFonts w:ascii="Arial" w:cs="Arial" w:eastAsia="Arial" w:hAnsi="Arial"/>
                <w:sz w:val="15"/>
                <w:szCs w:val="15"/>
                <w:color w:val="auto"/>
              </w:rPr>
              <w:t>Occupancy expenses</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1,511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745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766</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103 %</w:t>
            </w:r>
          </w:p>
        </w:tc>
      </w:tr>
      <w:tr>
        <w:trPr>
          <w:trHeight w:val="203"/>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27 %</w:t>
            </w:r>
          </w:p>
        </w:tc>
      </w:tr>
      <w:tr>
        <w:trPr>
          <w:trHeight w:val="197"/>
        </w:trPr>
        <w:tc>
          <w:tcPr>
            <w:tcW w:w="3240" w:type="dxa"/>
            <w:vAlign w:val="bottom"/>
          </w:tcPr>
          <w:p>
            <w:pPr>
              <w:ind w:left="120"/>
              <w:spacing w:after="0"/>
              <w:rPr>
                <w:sz w:val="20"/>
                <w:szCs w:val="20"/>
                <w:color w:val="auto"/>
              </w:rPr>
            </w:pPr>
            <w:r>
              <w:rPr>
                <w:rFonts w:ascii="Arial" w:cs="Arial" w:eastAsia="Arial" w:hAnsi="Arial"/>
                <w:sz w:val="15"/>
                <w:szCs w:val="15"/>
                <w:color w:val="auto"/>
              </w:rPr>
              <w:t>Other expenses</w:t>
            </w: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1,983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1,644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339</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21 %</w:t>
            </w:r>
          </w:p>
        </w:tc>
      </w:tr>
      <w:tr>
        <w:trPr>
          <w:trHeight w:val="200"/>
        </w:trPr>
        <w:tc>
          <w:tcPr>
            <w:tcW w:w="32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Allocations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(3,159)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50 %</w:t>
            </w:r>
          </w:p>
        </w:tc>
      </w:tr>
      <w:tr>
        <w:trPr>
          <w:trHeight w:val="196"/>
        </w:trPr>
        <w:tc>
          <w:tcPr>
            <w:tcW w:w="3240" w:type="dxa"/>
            <w:vAlign w:val="bottom"/>
          </w:tcPr>
          <w:p>
            <w:pPr>
              <w:ind w:left="320"/>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20,912</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46,282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(25,370)</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(55)%</w:t>
            </w:r>
          </w:p>
        </w:tc>
      </w:tr>
      <w:tr>
        <w:trPr>
          <w:trHeight w:val="20"/>
        </w:trPr>
        <w:tc>
          <w:tcPr>
            <w:tcW w:w="3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General and administrative expense decreased by $25.4 million for the three months ended March 31, 2022, compared to the same period in 2021. This decrease is driven by expenses recognized in the three months ended March 31, 2021 related to the acquisition of Decipher Biosciences, including $25.1 million of stock-based compensation and $10.0 million of professional fees and other costs associated with the transaction. Following the acquisitions of Decipher Biosciences in March 2021 and HalioDx in August 2021, their operations contributed to an increase in general and administrative expenses of $7.7 million. The remaining $3.7 million increase was primarily due to annual compensation adjustments and investments in infrastructure.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(loss), net</w:t>
      </w:r>
    </w:p>
    <w:p>
      <w:pPr>
        <w:spacing w:after="0" w:line="230"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Other income (loss), net, increased $1.0 million for the three months ended March 31, 2022 compared to the same period in 2021, due to an increase of $0.9 million from operations in France related to the CIR during the period and an increase of $0.1 million of unrealized foreign currency gain (loss). The Company recognizes other income from the CIR over time based on when the research and development expenses are incurred.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benefit</w:t>
      </w:r>
    </w:p>
    <w:p>
      <w:pPr>
        <w:spacing w:after="0" w:line="20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We recorded an income tax benefit of $3,000 and $3.8 million for the three months ended March 31, 2022 and 2021, respectively. The income tax benefit for 2021 was primarily impacted by a discrete tax adjustment related to the release of certain valuation allowances on the Company's deferred tax assets upon recording of the deferred tax liabilities for the acquisition of Decipher Biosciences.</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9"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From inception through March 31, 2022, we have been financed primarily through net proceeds from the sale of our equity securities. We have incurred net losses since our inception. For the three months ended March 31, 2022, we had a net loss of $14.5 million, and we expect to incur additional losses for the remainder of 2022 and potentially in future years. As of March 31, 2022, we had an accumulated deficit of $371.6 million.</w:t>
      </w:r>
    </w:p>
    <w:p>
      <w:pPr>
        <w:spacing w:after="0" w:line="200"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We believe our existing cash and cash equivalents of $163.6 million as of March 31, 2022, and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7 to our unaudited condensed consolidated financial statements included in this Quarterly Report on Form 10-Q for more information about our Loan and Security Agreement), capital expenditures, lease obligations and general corporate expenses associated with the growth of our business. However, we may also use cash to acquire or invest in complementary businesses, technologies, services or products that would change our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30"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We lease office and laboratory facilities in South San Francisco and San Diego, California; Austin, Texas; Marseille, France; and Richmond, Virginia, and lease certain equipment under various non-cancelable lease agreements. The lease terms extend to October 2030 and contain extension of lease term and expansion options. As of March 31, 2022, the leases have a weighted average remaining lease term of 4.5 years and total future minimum lease payments of $20.0 million.</w:t>
      </w:r>
    </w:p>
    <w:p>
      <w:pPr>
        <w:spacing w:after="0" w:line="166"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Veracyte SAS has signed a lease agreement for facilities which will be constructed in Marseille, France. The lease will commence upon completion of the construction of the office building which we currently expect to occur in the fourth quarter of 2023 at which time we will record a lease liability and a corresponding ROU asset. The initial term of the lease will be twelve years with annual rent of approximately $1.4 million, which is subject to change based on final construction.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205"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w:t>
      </w:r>
    </w:p>
    <w:p>
      <w:pPr>
        <w:spacing w:after="0" w:line="207"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We may prepay the outstanding principal amount under the Term Loan plus accrued and unpaid interest and, if the Term Loan is repaid in full, a prepayment premium of $250,000. If the Loan and Security Agreement is terminated before maturity, then a termination fee equal to 1% of the Revolving Line of Credit, or $0.1 million, will be due. In addition, a final payment on the Term Loan in the amount of $1.2 million is due upon the earlier of the maturity date of the Term Loan or its payment in full. In 2019 and 2020, we prepaid $24.9 million and $0.1 million, respectively, of the principal amount of the Term Loan Advance, and did not incur any prepayment premium as we did not repay the Term Loan Advance in full. As of March 31, 2022, the principal balance outstanding was one dollar.</w:t>
      </w:r>
    </w:p>
    <w:p>
      <w:pPr>
        <w:spacing w:after="0" w:line="17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Loan and Security Agreement contains customary representations, warranties, and events of default, as well as affirmative and negative covenants. As of March 31, 2022, we were in compliance with all such covenants.</w:t>
      </w:r>
    </w:p>
    <w:p>
      <w:pPr>
        <w:spacing w:after="0" w:line="16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Our obligations under the Loan and Security Agreement are secured by substantially all of our assets (excluding intellectual property), subject to certain customary exceptions.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cash flows for the three months ended March 31, 2022 and 2021 (in thousands of dollars):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Pr>
          <w:p>
            <w:pPr>
              <w:spacing w:after="0"/>
              <w:rPr>
                <w:sz w:val="17"/>
                <w:szCs w:val="17"/>
                <w:color w:val="auto"/>
              </w:rPr>
            </w:pPr>
          </w:p>
        </w:tc>
        <w:tc>
          <w:tcPr>
            <w:tcW w:w="312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5"/>
                <w:szCs w:val="15"/>
                <w:b w:val="1"/>
                <w:bCs w:val="1"/>
                <w:color w:val="auto"/>
              </w:rPr>
              <w:t>Three Months Ended March 31,</w:t>
            </w:r>
          </w:p>
        </w:tc>
        <w:tc>
          <w:tcPr>
            <w:tcW w:w="700" w:type="dxa"/>
            <w:vAlign w:val="bottom"/>
            <w:tcBorders>
              <w:bottom w:val="single" w:sz="8" w:color="auto"/>
            </w:tcBorders>
          </w:tcPr>
          <w:p>
            <w:pPr>
              <w:spacing w:after="0"/>
              <w:rPr>
                <w:sz w:val="17"/>
                <w:szCs w:val="17"/>
                <w:color w:val="auto"/>
              </w:rPr>
            </w:pPr>
          </w:p>
        </w:tc>
      </w:tr>
      <w:tr>
        <w:trPr>
          <w:trHeight w:val="193"/>
        </w:trPr>
        <w:tc>
          <w:tcPr>
            <w:tcW w:w="74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2021</w:t>
            </w:r>
          </w:p>
        </w:tc>
        <w:tc>
          <w:tcPr>
            <w:tcW w:w="700" w:type="dxa"/>
            <w:vAlign w:val="bottom"/>
            <w:tcBorders>
              <w:bottom w:val="single" w:sz="8" w:color="auto"/>
            </w:tcBorders>
          </w:tcPr>
          <w:p>
            <w:pPr>
              <w:spacing w:after="0"/>
              <w:rPr>
                <w:sz w:val="16"/>
                <w:szCs w:val="16"/>
                <w:color w:val="auto"/>
              </w:rPr>
            </w:pPr>
          </w:p>
        </w:tc>
      </w:tr>
      <w:tr>
        <w:trPr>
          <w:trHeight w:val="196"/>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operating activities</w:t>
            </w:r>
          </w:p>
        </w:tc>
        <w:tc>
          <w:tcPr>
            <w:tcW w:w="1240" w:type="dxa"/>
            <w:vAlign w:val="bottom"/>
            <w:shd w:val="clear" w:color="auto" w:fill="CCEEFF"/>
          </w:tcPr>
          <w:p>
            <w:pPr>
              <w:jc w:val="right"/>
              <w:ind w:right="1065"/>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center"/>
              <w:ind w:left="65"/>
              <w:spacing w:after="0"/>
              <w:rPr>
                <w:sz w:val="20"/>
                <w:szCs w:val="20"/>
                <w:color w:val="auto"/>
              </w:rPr>
            </w:pPr>
            <w:r>
              <w:rPr>
                <w:rFonts w:ascii="Arial" w:cs="Arial" w:eastAsia="Arial" w:hAnsi="Arial"/>
                <w:sz w:val="15"/>
                <w:szCs w:val="15"/>
                <w:color w:val="auto"/>
                <w:w w:val="92"/>
              </w:rPr>
              <w:t>(8,872)</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85"/>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(40,561)</w:t>
            </w:r>
          </w:p>
        </w:tc>
      </w:tr>
      <w:tr>
        <w:trPr>
          <w:trHeight w:val="197"/>
        </w:trPr>
        <w:tc>
          <w:tcPr>
            <w:tcW w:w="740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1240" w:type="dxa"/>
            <w:vAlign w:val="bottom"/>
          </w:tcPr>
          <w:p>
            <w:pPr>
              <w:spacing w:after="0"/>
              <w:rPr>
                <w:sz w:val="17"/>
                <w:szCs w:val="17"/>
                <w:color w:val="auto"/>
              </w:rPr>
            </w:pPr>
          </w:p>
        </w:tc>
        <w:tc>
          <w:tcPr>
            <w:tcW w:w="620" w:type="dxa"/>
            <w:vAlign w:val="bottom"/>
          </w:tcPr>
          <w:p>
            <w:pPr>
              <w:jc w:val="center"/>
              <w:ind w:left="65"/>
              <w:spacing w:after="0"/>
              <w:rPr>
                <w:sz w:val="20"/>
                <w:szCs w:val="20"/>
                <w:color w:val="auto"/>
              </w:rPr>
            </w:pPr>
            <w:r>
              <w:rPr>
                <w:rFonts w:ascii="Arial" w:cs="Arial" w:eastAsia="Arial" w:hAnsi="Arial"/>
                <w:sz w:val="15"/>
                <w:szCs w:val="15"/>
                <w:color w:val="auto"/>
                <w:w w:val="92"/>
              </w:rPr>
              <w:t>(2,453)</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9"/>
              </w:rPr>
              <w:t>(575,607)</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jc w:val="center"/>
              <w:ind w:left="85"/>
              <w:spacing w:after="0"/>
              <w:rPr>
                <w:sz w:val="20"/>
                <w:szCs w:val="20"/>
                <w:color w:val="auto"/>
              </w:rPr>
            </w:pPr>
            <w:r>
              <w:rPr>
                <w:rFonts w:ascii="Arial" w:cs="Arial" w:eastAsia="Arial" w:hAnsi="Arial"/>
                <w:sz w:val="15"/>
                <w:szCs w:val="15"/>
                <w:color w:val="auto"/>
                <w:w w:val="90"/>
              </w:rPr>
              <w:t>1,990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591,012</w:t>
            </w:r>
          </w:p>
        </w:tc>
      </w:tr>
    </w:tbl>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205"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Cash used in operating activities for the three months ended March 31, 2022 was $8.9 million. The net loss of $14.5 million includes non-cash charges of $6.6 million of stock-based compensation expense, $6.6 million of depreciation and amortization, which includes $5.5 million of intangible asset amortization, and non-cash lease expense of $0.6 million. Cash used as a result of changes in operating assets and liabilities was $8.4 million, primarily comprised of an increase in accounts receivable of $3.6 million, an increase in prepaid expense and other current assets of $2.1 million, an increase in supplies and inventory of $1.2 million, a decrease in accounts payable of $1.0 million, a decrease in operating lease liability of $0.6 million and a decrease in accrued liabilities and deferred revenue of $0.4 million, partially offset by a decrease in other assets of $0.5 million.</w:t>
      </w:r>
    </w:p>
    <w:p>
      <w:pPr>
        <w:spacing w:after="0" w:line="184"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Cash used in operating activities for the three months ended March 31, 2021 was $40.6 million. The net loss of $41.9 million includes non-cash charges of $3.9 million of stock-based compensation expense, $2.6 million of depreciation and amortization, which includes $1.8 million of intangible asset amortization, non-cash lease expense of $0.3 million, $0.2 million expense for the revaluation of the contingent consideration related to the NanoString transaction and $3.8 million of deferred income taxes. Cash used as a result of changes in operating assets and liabilities was $1.9 million, primarily comprised of an increase in accounts receivable of $3.7 million and a decrease in operating lease liability of $0.4 million, partially offset by an increase in accounts payable of $1.9 million and an increase in accrued liabilities and deferred revenue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Cash used in investing activities, for the three months ended March 31, 2022, was $2.5 million for the acquisition of property and equipment.</w:t>
      </w:r>
    </w:p>
    <w:p>
      <w:pPr>
        <w:spacing w:after="0" w:line="20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Cash used in investing activities, for the three months ended March 31, 2021, was $575.6 million primarily for the acquisition of Decipher Biosciences on March 12, 2021.</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20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Cash provided by financing activities, for the three months ended March 31, 2022, was $2.0 million, consisting of $3.5 million in proceeds from the exercise of options to purchase our common stock and the purchase of stock under our Employee Stock Purchase Plan, or ESPP, partially offset by $1.4 million in tax payments during the period related to the vesting of restricted stock units granted to employees.</w:t>
      </w:r>
    </w:p>
    <w:p>
      <w:pPr>
        <w:spacing w:after="0" w:line="175"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Cash provided by financing activities, for the three months ended March 31, 2021, was $591.0 million, consisting of $593.8 million in net proceeds from the issuance of common stock in a public offering in February 2021, $4.0 million in proceeds from the exercise of options to purchase our common stock and purchase of stock under our ESPP, partially offset by $6.8 million in tax payments during the period related to the vesting of restricted stock units granted to employees.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09" w:lineRule="exact"/>
        <w:rPr>
          <w:sz w:val="20"/>
          <w:szCs w:val="20"/>
          <w:color w:val="auto"/>
        </w:rPr>
      </w:pPr>
    </w:p>
    <w:p>
      <w:pPr>
        <w:jc w:val="both"/>
        <w:ind w:firstLine="375"/>
        <w:spacing w:after="0" w:line="257"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which requires entities to recognize and measure contract assets and contract liabilities acquired in a business combination in accordance with ASC</w:t>
      </w:r>
      <w:r>
        <w:rPr>
          <w:rFonts w:ascii="Arial" w:cs="Arial" w:eastAsia="Arial" w:hAnsi="Arial"/>
          <w:sz w:val="16"/>
          <w:szCs w:val="16"/>
          <w:i w:val="1"/>
          <w:iCs w:val="1"/>
          <w:color w:val="auto"/>
        </w:rPr>
        <w:t xml:space="preserve"> </w:t>
      </w:r>
      <w:r>
        <w:rPr>
          <w:rFonts w:ascii="Arial" w:cs="Arial" w:eastAsia="Arial" w:hAnsi="Arial"/>
          <w:sz w:val="16"/>
          <w:szCs w:val="16"/>
          <w:color w:val="auto"/>
        </w:rPr>
        <w:t>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new standard is effective on a prospective basis for fiscal years beginning after December 15, 2022, with early adoption permitted. We do not expect to have a material impact on our consolidated financial statements and related disclosures from the adoption of this guidance.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30"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$163.6 million as of March 31, 2022 which consisted of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Risk</w:t>
      </w:r>
    </w:p>
    <w:p>
      <w:pPr>
        <w:spacing w:after="0" w:line="230"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As of March 31, 2022 we held $10.9 million of bank deposits and time deposits denominated in Euros. Such Euro denominated deposits carry a degree of risk from changes in currency exchange rates as the gains or losses from changes in exchange rates are included in our net loss and comprehensive loss. As of March 31, 2022 a hypothetical 10% appreciation or depreciation of the U.S. dollar relative to the Euro would have increased or decreased our net loss by $1.1 million for three months ended March 31, 2022.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Inflation Risk</w:t>
      </w:r>
    </w:p>
    <w:p>
      <w:pPr>
        <w:spacing w:after="0" w:line="2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do not believe that inflation has had a material effect on our business, financial condition, or operating results.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(a) Evaluation of Disclosure Controls and Procedures</w:t>
      </w:r>
    </w:p>
    <w:p>
      <w:pPr>
        <w:spacing w:after="0" w:line="234"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1"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(b) Changes in Internal Control over Financial Reporting</w:t>
      </w:r>
    </w:p>
    <w:p>
      <w:pPr>
        <w:spacing w:after="0" w:line="23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We continuously seek to improve the efficiency and effectiveness of our internal controls. This results in refinements to processes throughout our Company. There were no changes in our internal control over financial reporting (as such term is defined in Rule 13a-15(f) under the Exchange Act) identified in connection with the evaluation identified above that occurred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Risk Factors</w:t>
      </w:r>
    </w:p>
    <w:p>
      <w:pPr>
        <w:spacing w:after="0" w:line="221" w:lineRule="exact"/>
        <w:rPr>
          <w:sz w:val="20"/>
          <w:szCs w:val="20"/>
          <w:color w:val="auto"/>
        </w:rPr>
      </w:pPr>
    </w:p>
    <w:p>
      <w:pPr>
        <w:ind w:firstLine="375"/>
        <w:spacing w:after="0" w:line="251" w:lineRule="auto"/>
        <w:rPr>
          <w:sz w:val="20"/>
          <w:szCs w:val="20"/>
          <w:color w:val="auto"/>
        </w:rPr>
      </w:pPr>
      <w:r>
        <w:rPr>
          <w:rFonts w:ascii="Arial" w:cs="Arial" w:eastAsia="Arial" w:hAnsi="Arial"/>
          <w:sz w:val="17"/>
          <w:szCs w:val="17"/>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Risks Related to Our Business</w:t>
      </w:r>
    </w:p>
    <w:p>
      <w:pPr>
        <w:spacing w:after="0" w:line="217" w:lineRule="exact"/>
        <w:rPr>
          <w:sz w:val="20"/>
          <w:szCs w:val="20"/>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We have a history of losses, and we expect to incur net losses for the foreseeable future and may never achieve or sustain profitability.</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231F20"/>
        </w:rPr>
        <w:t>Our financial results currently depend mainly on sales of our Afirma and Decipher Prostate tests, and we will need to generate sufficient revenue from these and our other diagnostic tests to grow our business.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5"/>
          <w:szCs w:val="15"/>
          <w:color w:val="231F20"/>
        </w:rPr>
      </w:pPr>
      <w:r>
        <w:rPr>
          <w:rFonts w:ascii="Arial" w:cs="Arial" w:eastAsia="Arial" w:hAnsi="Arial"/>
          <w:sz w:val="15"/>
          <w:szCs w:val="15"/>
          <w:color w:val="231F20"/>
        </w:rPr>
        <w:t>If we are unable to grow sales of our portfolio of tests including Prosigna, Percepta, Envisia, Decipher Bladder and Immunoscore, our business may suffer.</w:t>
      </w:r>
    </w:p>
    <w:p>
      <w:pPr>
        <w:spacing w:after="0" w:line="77" w:lineRule="exact"/>
        <w:rPr>
          <w:rFonts w:ascii="Arial" w:cs="Arial" w:eastAsia="Arial" w:hAnsi="Arial"/>
          <w:sz w:val="15"/>
          <w:szCs w:val="15"/>
          <w:color w:val="231F20"/>
        </w:rPr>
      </w:pPr>
    </w:p>
    <w:p>
      <w:pPr>
        <w:ind w:left="600" w:hanging="300"/>
        <w:spacing w:after="0" w:line="266" w:lineRule="auto"/>
        <w:tabs>
          <w:tab w:leader="none" w:pos="596"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We depend on a few payers for a significant portion of our revenue and if one or more significant payers stops providing reimbursement or decreases the amount of reimbursement for our tests, our revenue could decline.</w:t>
      </w:r>
    </w:p>
    <w:p>
      <w:pPr>
        <w:spacing w:after="0" w:line="17" w:lineRule="exact"/>
        <w:rPr>
          <w:rFonts w:ascii="Arial" w:cs="Arial" w:eastAsia="Arial" w:hAnsi="Arial"/>
          <w:sz w:val="17"/>
          <w:szCs w:val="17"/>
          <w:color w:val="231F20"/>
        </w:rPr>
      </w:pPr>
    </w:p>
    <w:p>
      <w:pPr>
        <w:ind w:left="600" w:hanging="300"/>
        <w:spacing w:after="0"/>
        <w:tabs>
          <w:tab w:leader="none" w:pos="60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We have estimated the sizes of the markets for our current and future products and services, and these markets may be different than we estimate.</w:t>
      </w:r>
    </w:p>
    <w:p>
      <w:pPr>
        <w:spacing w:after="0" w:line="66" w:lineRule="exact"/>
        <w:rPr>
          <w:rFonts w:ascii="Arial" w:cs="Arial" w:eastAsia="Arial" w:hAnsi="Arial"/>
          <w:sz w:val="16"/>
          <w:szCs w:val="16"/>
          <w:color w:val="231F20"/>
        </w:rPr>
      </w:pPr>
    </w:p>
    <w:p>
      <w:pPr>
        <w:ind w:left="600" w:hanging="300"/>
        <w:spacing w:after="0" w:line="266" w:lineRule="auto"/>
        <w:tabs>
          <w:tab w:leader="none" w:pos="596"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7" w:lineRule="exact"/>
        <w:rPr>
          <w:rFonts w:ascii="Arial" w:cs="Arial" w:eastAsia="Arial" w:hAnsi="Arial"/>
          <w:sz w:val="17"/>
          <w:szCs w:val="17"/>
          <w:color w:val="231F20"/>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We may experience limits on our revenue if physicians decide not to order our tests or if patients decide not to use our tests.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If we fail to comply with federal, state and foreign licensing requirements, we could lose the ability to perform our tests or experience disruptions to our business.</w:t>
      </w:r>
    </w:p>
    <w:p>
      <w:pPr>
        <w:spacing w:after="0" w:line="17" w:lineRule="exact"/>
        <w:rPr>
          <w:rFonts w:ascii="Arial" w:cs="Arial" w:eastAsia="Arial" w:hAnsi="Arial"/>
          <w:sz w:val="17"/>
          <w:szCs w:val="17"/>
          <w:color w:val="231F20"/>
        </w:rPr>
      </w:pPr>
    </w:p>
    <w:p>
      <w:pPr>
        <w:ind w:left="600" w:hanging="300"/>
        <w:spacing w:after="0" w:line="266" w:lineRule="auto"/>
        <w:tabs>
          <w:tab w:leader="none" w:pos="596"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spacing w:after="0" w:line="17" w:lineRule="exact"/>
        <w:rPr>
          <w:rFonts w:ascii="Arial" w:cs="Arial" w:eastAsia="Arial" w:hAnsi="Arial"/>
          <w:sz w:val="17"/>
          <w:szCs w:val="17"/>
          <w:color w:val="231F20"/>
        </w:rPr>
      </w:pPr>
    </w:p>
    <w:p>
      <w:pPr>
        <w:ind w:left="600" w:hanging="300"/>
        <w:spacing w:after="0" w:line="266" w:lineRule="auto"/>
        <w:tabs>
          <w:tab w:leader="none" w:pos="596"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7" w:lineRule="exact"/>
        <w:rPr>
          <w:rFonts w:ascii="Arial" w:cs="Arial" w:eastAsia="Arial" w:hAnsi="Arial"/>
          <w:sz w:val="17"/>
          <w:szCs w:val="17"/>
          <w:color w:val="231F20"/>
        </w:rPr>
      </w:pPr>
    </w:p>
    <w:p>
      <w:pPr>
        <w:ind w:left="600" w:hanging="300"/>
        <w:spacing w:after="0" w:line="266" w:lineRule="auto"/>
        <w:tabs>
          <w:tab w:leader="none" w:pos="596"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Our future success and international growth depends, in part, on our ability to adapt and manufacture select tests to be performed on the nCounter Analysis System.</w:t>
      </w:r>
    </w:p>
    <w:p>
      <w:pPr>
        <w:spacing w:after="0" w:line="17" w:lineRule="exact"/>
        <w:rPr>
          <w:rFonts w:ascii="Arial" w:cs="Arial" w:eastAsia="Arial" w:hAnsi="Arial"/>
          <w:sz w:val="17"/>
          <w:szCs w:val="17"/>
          <w:color w:val="231F20"/>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231F20"/>
        </w:rPr>
        <w:t>If we are not successful in advancing our biopharma collaborations, or if our general strategy of seeking growth through such collaborations is not successful, our prospects and financial condition will suffer.</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The COVID-19 pandemic has had, and may continue to have, an adverse effect on our business, results of operations and financial condition.</w:t>
      </w:r>
    </w:p>
    <w:p>
      <w:pPr>
        <w:spacing w:after="0" w:line="66" w:lineRule="exact"/>
        <w:rPr>
          <w:rFonts w:ascii="Arial" w:cs="Arial" w:eastAsia="Arial" w:hAnsi="Arial"/>
          <w:sz w:val="16"/>
          <w:szCs w:val="16"/>
          <w:color w:val="231F20"/>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231F20"/>
        </w:rPr>
        <w:t>We rely on sole suppliers for some of the reagents, equipment, and other materials used to perform our tests, and we may not be able to find replacements or transition to alternative suppliers.</w:t>
      </w:r>
    </w:p>
    <w:p>
      <w:pPr>
        <w:spacing w:after="0" w:line="17"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231F20"/>
        </w:rPr>
        <w:t>We depend on a specialized cytopathology practice to perform the cytopathology component of our Afirma test, and our ability to perform our diagnostic solution would be harmed if we were required to secure a replacement.</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We may be unable to manage our future growth effectively, which could make it difficult to execute our business strategy.</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If we are unable to support demand for our commercial tests, our business could suffer.</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231F20"/>
        </w:rPr>
        <w:t>Changes in healthcare policy, including legislation reforming the U.S. healthcare system, may have a material adverse effect on our financial condition and operations.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Because of Medicare billing rules, we may not receive reimbursement for all tests provided to Medicare patients.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the FDA or foreign authorities were to begin regulating those of our tests that are not currently regulated, we could incur substantial costs and delays associated with trying to obtain premarket clearance, approval or certification.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7"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obtain marketing authorizations, approvals, clearances or certifications to market Prosigna in additional countries or if regulatory limitations are placed on our diagnostic kit products, our business and growth will be harmed.</w:t>
      </w:r>
    </w:p>
    <w:p>
      <w:pPr>
        <w:spacing w:after="0" w:line="17"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are subject to ongoing and increasingly extensive regulatory requirements, which may be subject to change, and our failure to comply with these requirements could substantially harm our business.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compete successfully, we may be unable to increase or sustain our revenue or achieve profitability.</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experienced significant changes in our senior management team, and the loss of one or more of our executive officers, or the inability to attract and retain highly-skilled employees or other key personnel could adversely affect our business.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Billing for our diagnostic tests is complex, and we must dedicate substantial time and resources to the billing process to be paid.</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our internal sales force is less successful than anticipated, our business expansion plans could suffer and our ability to generate revenue could be diminished.</w:t>
      </w:r>
    </w:p>
    <w:p>
      <w:pPr>
        <w:spacing w:after="0" w:line="77" w:lineRule="exact"/>
        <w:rPr>
          <w:rFonts w:ascii="Arial" w:cs="Arial" w:eastAsia="Arial" w:hAnsi="Arial"/>
          <w:sz w:val="15"/>
          <w:szCs w:val="15"/>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17"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International expansion of our business exposes us to business, personnel, regulatory, political, operational, financial, and economic risks associated with doing business outside of the United States.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operating results may be adversely affected by unfavorable economic and market conditions.</w:t>
      </w:r>
    </w:p>
    <w:p>
      <w:pPr>
        <w:spacing w:after="0" w:line="54" w:lineRule="exact"/>
        <w:rPr>
          <w:rFonts w:ascii="Arial" w:cs="Arial" w:eastAsia="Arial" w:hAnsi="Arial"/>
          <w:sz w:val="17"/>
          <w:szCs w:val="17"/>
          <w:color w:val="auto"/>
        </w:rPr>
      </w:pPr>
    </w:p>
    <w:p>
      <w:pPr>
        <w:ind w:left="600" w:hanging="300"/>
        <w:spacing w:after="0" w:line="313" w:lineRule="auto"/>
        <w:tabs>
          <w:tab w:leader="none" w:pos="596" w:val="left"/>
        </w:tabs>
        <w:numPr>
          <w:ilvl w:val="0"/>
          <w:numId w:val="9"/>
        </w:numPr>
        <w:rPr>
          <w:rFonts w:ascii="Arial" w:cs="Arial" w:eastAsia="Arial" w:hAnsi="Arial"/>
          <w:sz w:val="15"/>
          <w:szCs w:val="15"/>
          <w:color w:val="auto"/>
        </w:rPr>
      </w:pPr>
      <w:r>
        <w:rPr>
          <w:rFonts w:ascii="Arial" w:cs="Arial" w:eastAsia="Arial" w:hAnsi="Arial"/>
          <w:sz w:val="15"/>
          <w:szCs w:val="15"/>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ind w:left="600" w:hanging="300"/>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protect our intellectual property effectively, our business would be harmed.</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involved in litigation related to intellectual property, which could be time-intensive and costly and may adversely affect our business, operating results or financial condition.</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Risks Related to our Recent Acquisition</w:t>
      </w:r>
      <w:r>
        <w:rPr>
          <w:rFonts w:ascii="Arial" w:cs="Arial" w:eastAsia="Arial" w:hAnsi="Arial"/>
          <w:sz w:val="17"/>
          <w:szCs w:val="17"/>
          <w:color w:val="auto"/>
        </w:rPr>
        <w:t>s</w:t>
      </w:r>
    </w:p>
    <w:p>
      <w:pPr>
        <w:spacing w:after="0" w:line="267" w:lineRule="exact"/>
        <w:rPr>
          <w:sz w:val="20"/>
          <w:szCs w:val="20"/>
          <w:color w:val="auto"/>
        </w:rPr>
      </w:pPr>
    </w:p>
    <w:p>
      <w:pPr>
        <w:ind w:left="600" w:hanging="300"/>
        <w:spacing w:after="0" w:line="266" w:lineRule="auto"/>
        <w:tabs>
          <w:tab w:leader="none" w:pos="596"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The recently completed acquisitions of HalioDx and Decipher Biosciences each present risks and we must successfully integrate the HalioDx and Decipher Biosciences businesses to realize the financial goals that we currently anticipate.</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Risks Related to Being a Public Compa</w:t>
      </w:r>
      <w:r>
        <w:rPr>
          <w:rFonts w:ascii="Arial" w:cs="Arial" w:eastAsia="Arial" w:hAnsi="Arial"/>
          <w:sz w:val="17"/>
          <w:szCs w:val="17"/>
          <w:color w:val="auto"/>
        </w:rPr>
        <w:t>ny</w:t>
      </w:r>
    </w:p>
    <w:p>
      <w:pPr>
        <w:spacing w:after="0" w:line="267" w:lineRule="exact"/>
        <w:rPr>
          <w:sz w:val="20"/>
          <w:szCs w:val="20"/>
          <w:color w:val="auto"/>
        </w:rPr>
      </w:pPr>
    </w:p>
    <w:p>
      <w:pPr>
        <w:ind w:left="600" w:hanging="300"/>
        <w:spacing w:after="0" w:line="266" w:lineRule="auto"/>
        <w:tabs>
          <w:tab w:leader="none" w:pos="596" w:val="left"/>
        </w:tabs>
        <w:numPr>
          <w:ilvl w:val="0"/>
          <w:numId w:val="11"/>
        </w:numPr>
        <w:rPr>
          <w:rFonts w:ascii="Arial" w:cs="Arial" w:eastAsia="Arial" w:hAnsi="Arial"/>
          <w:sz w:val="17"/>
          <w:szCs w:val="17"/>
          <w:color w:val="231F20"/>
        </w:rPr>
      </w:pPr>
      <w:r>
        <w:rPr>
          <w:rFonts w:ascii="Arial" w:cs="Arial" w:eastAsia="Arial" w:hAnsi="Arial"/>
          <w:sz w:val="17"/>
          <w:szCs w:val="17"/>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Risks Related to Our Common Stock</w:t>
      </w:r>
    </w:p>
    <w:p>
      <w:pPr>
        <w:spacing w:after="0" w:line="267" w:lineRule="exact"/>
        <w:rPr>
          <w:sz w:val="20"/>
          <w:szCs w:val="20"/>
          <w:color w:val="auto"/>
        </w:rPr>
      </w:pPr>
    </w:p>
    <w:p>
      <w:pPr>
        <w:ind w:left="600" w:hanging="300"/>
        <w:spacing w:after="0"/>
        <w:tabs>
          <w:tab w:leader="none" w:pos="600" w:val="left"/>
        </w:tabs>
        <w:numPr>
          <w:ilvl w:val="0"/>
          <w:numId w:val="12"/>
        </w:numPr>
        <w:rPr>
          <w:rFonts w:ascii="Arial" w:cs="Arial" w:eastAsia="Arial" w:hAnsi="Arial"/>
          <w:sz w:val="17"/>
          <w:szCs w:val="17"/>
          <w:color w:val="231F20"/>
        </w:rPr>
      </w:pPr>
      <w:r>
        <w:rPr>
          <w:rFonts w:ascii="Arial" w:cs="Arial" w:eastAsia="Arial" w:hAnsi="Arial"/>
          <w:sz w:val="17"/>
          <w:szCs w:val="17"/>
          <w:color w:val="auto"/>
        </w:rPr>
        <w:t>Our stock price may be volatile, and you may not be able to sell shares of our common stock at or above the price you paid.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history of losses, and we expect to incur net losses for the foreseeable future and may never achieve or sustain profitability.</w:t>
      </w:r>
    </w:p>
    <w:p>
      <w:pPr>
        <w:spacing w:after="0" w:line="230"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We have incurred net losses since our inception. For the three months ended March 31, 2022, we had a net loss of $14 million and as of March 31, 2022, we had an accumulated deficit of $372 million. We expect to incur additional losses in the future, and we may never achieve revenue sufficient to offset our expenses. We expect to continue to devote substantially all of our resources to increase adoption of and reimbursement for our molecular diagnostic portfolio of tests, and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development of additional tests. We may never achieve or sustain profitability, and our failure to achieve and sustain profitability in the future could cause the market price of our common stock to decline.</w:t>
      </w:r>
    </w:p>
    <w:p>
      <w:pPr>
        <w:spacing w:after="0" w:line="192"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Our financial results currently depend mainly on sales of our Afirma and Decipher Prostate tests, and we will need to generate sufficient revenue from these and our other diagnostic tests to grow our business.</w:t>
      </w:r>
    </w:p>
    <w:p>
      <w:pPr>
        <w:spacing w:after="0" w:line="192"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Most of our revenue to date has been derived from the sale of our Afirma tests, which are used in the diagnosis of thyroid cancer. We also derive significant revenue from our Decipher urological tests. Over the next few years, we expect to continue to derive a substantial portion of our revenue from sales of our Afirma and Decipher tests. To date, we have derived a smaller portion of our revenue from our Prosigna, Percepta, Envisia, and Immunoscore tests. Once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Decipher Prostate, Prosigna, Percepta, Envisia, Decipher Bladder, and Immunoscore tests, or develop and commercialize other tests, our revenue and our ability to achieve and sustain profitability would be impaired, and the market price of our common stock could decline.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are unable to grow sales of our portfolio of tests including Prosigna, Percepta, Envisia, Decipher Bladder, and Immunoscore, our business may suffer.</w:t>
      </w:r>
    </w:p>
    <w:p>
      <w:pPr>
        <w:spacing w:after="0" w:line="253"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Although Prosigna, Percepta, Envisia, Decipher Bladder and Immunoscore have not contributed significant revenue to date, we expect them to grow and become an increasingly important component of our strategic focus, as well as our results of operations. We plan to introduce new tests going forward as well. There can be no assurance that physicians will request our new tests be performed in sufficient volumes for our revenue to meet our projections. Additionally, we anticipate expanding the reach of our tests to international markets through the distribution of the nCounter Analysis System; if our distribution of this platform is unsuccessful, or if our products are not widely adopted internationally, our business and results of operations may be adversely affected.</w:t>
      </w:r>
    </w:p>
    <w:p>
      <w:pPr>
        <w:spacing w:after="0" w:line="191"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92"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191"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Revenue for tests performed on patients covered by Medicare and UnitedHealthcare Group was 30% and 10%, respectively, of our revenue for the year ended December 31, 2021, compared with 24% and 11%, respectively, for the year ended December 31, 2020.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an LCD.</w:t>
      </w:r>
    </w:p>
    <w:p>
      <w:pPr>
        <w:spacing w:after="0" w:line="194"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of the payment rates based on 2017 reporting by one year through December 31, 2021. In March 2020, through the CARES Act, Congress further delayed the next reporting period to 2022 for final payments made between January 1 and June 30, 2019, extending the applicability for the payment rates based on 2017 reporting through December 31, 2022. In December 2021, through the Protecting Medicare and American Farmers from Sequester Cuts Act, Congress further delayed the next reporting period to 2023. 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Since the Afirma GSC code 81546 was newly issued in 2021, the first PAMA data collection period for 81546 under the current triennial data collection and reporting process would be January 2023 through June 2023. There is no guarantee that the Afirma GSC Medicare rate will not be negatively impacted starting in 2027 based on the reported weighted median of private commercial payers.</w:t>
      </w:r>
    </w:p>
    <w:p>
      <w:pPr>
        <w:spacing w:after="0" w:line="195" w:lineRule="exact"/>
        <w:rPr>
          <w:sz w:val="20"/>
          <w:szCs w:val="20"/>
          <w:color w:val="auto"/>
        </w:rPr>
      </w:pPr>
    </w:p>
    <w:p>
      <w:pPr>
        <w:jc w:val="both"/>
        <w:ind w:firstLine="375"/>
        <w:spacing w:after="0" w:line="248" w:lineRule="auto"/>
        <w:rPr>
          <w:sz w:val="20"/>
          <w:szCs w:val="20"/>
          <w:color w:val="auto"/>
        </w:rPr>
      </w:pPr>
      <w:r>
        <w:rPr>
          <w:rFonts w:ascii="Arial" w:cs="Arial" w:eastAsia="Arial" w:hAnsi="Arial"/>
          <w:sz w:val="17"/>
          <w:szCs w:val="17"/>
          <w:color w:val="auto"/>
        </w:rPr>
        <w:t>New CPT Proprietary Laboratory Analyses, or PLA, codes were also established for Afirma Xpression Atlas (0204U) and Afirma MTC (0208U), effective October 1, 2020. CMS has priced 0204U at the same rate of $2,919.60 as CPT 81455. The new payment rate for 0204U became effective January 1, 2021. In 2020 CMS did not price 0208U, and instead assigned the code to the “gapfilling” process, under which the individual MACs will set the payment rate for the test in 2021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In July 2021, Veracyte submitted an application to the CPT Editorial Panel to request deletion of 0208U in order to replace the code with a new CPT code, for Afirma MTC as a stand-alone test. On October 1, the CPT Editorial Panel deleted CPT code 0208U effective January 1, 2022, so the median of MAC gapfill rates will not take effect on January 1, 2022.</w:t>
      </w:r>
    </w:p>
    <w:p>
      <w:pPr>
        <w:spacing w:after="0" w:line="211"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American Medical Association Current Procedural Terminology code, or CPT code, 81542, for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We submit claims to Medicare for Decipher Prostate Biopsy and Decipher Prostate RP using CPT code 81542. CMS assigned 81542 to the gapfilling process in 2020, and it has been priced effective January 1, 2021 at $3,873, based on CMS’ revision of the median of payment rates set by the MACs through the gapfilling process. There can be no assurance that the Medicare payment rates for Decipher Prostate Biopsy and Decipher Prostate RP will not decrease during a future reporting cycle under PAMA.</w:t>
      </w:r>
    </w:p>
    <w:p>
      <w:pPr>
        <w:spacing w:after="0" w:line="20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An LCD was issued for Prosigna by Palmetto GBA in August 2015, which has been in effect since October 1, 2015. There can be no assurance that the Afirma or Prosigna rates will not decrease during subsequent reporting cycles under PAMA.</w:t>
      </w:r>
    </w:p>
    <w:p>
      <w:pPr>
        <w:spacing w:after="0" w:line="19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20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We submit claims to Medicare for Percepta using an unlisted code under the MolDX program and MolDX priced Percepta at $3,220. There is no assurance that MolDX won’t reprice Percepta in the future and the rate could be lower than $3,220.</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Noridian Healthcare Solutions provided Medicare coverage for the Envisia Genomic Classifier on April 11, 2019.</w:t>
      </w:r>
    </w:p>
    <w:p>
      <w:pPr>
        <w:spacing w:after="0" w:line="230"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reported annually. There can be no assurance that the Medicare payment rate for Envisia will not be reduced when it is set based on the volume-weighted median of private payer rates when we are required to report private payer rates for Envisia under PAMA in subsequent reporting cycles.</w:t>
      </w:r>
    </w:p>
    <w:p>
      <w:pPr>
        <w:spacing w:after="0" w:line="192"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200"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We will submit claims to Medicare for Decipher Bladder using CPT code 0016M. CMS assigned 0016M to the gapfilling process in 2021. There is no assurance that the gapfilling process will not result in a lower-than-expected payment rate for 0016M, or that the Medicare payment rate for Decipher Bladder will not decrease during a future reporting cycle under PAMA.</w:t>
      </w:r>
    </w:p>
    <w:p>
      <w:pPr>
        <w:spacing w:after="0" w:line="200"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HalioDx’s Immunoscore test is currently not subject to a coverage policy from Medicare or any of the MACs. HalioDx’s Immunoscore test has been assigned CPT code 0261U effective October 1, 2021. The Immunoscore code went through the national payment determination process, was crosswalked to CPT code 0108U and assigned a rate of $2,513.25 effective January 1, 2022. There is no assurance that the clinical laboratory fee schedule rate for Immunoscore will not decrease during a future reporting cycle under PAMA or that Medicare may require a coverage policy in the future.</w:t>
      </w:r>
    </w:p>
    <w:p>
      <w:pPr>
        <w:spacing w:after="0" w:line="189"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Although we have entered into contracts with certain third-party payers that establish in-network allowable rates of reimbursement for many of our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estimated the sizes of the markets for our current and future products and services, and these markets may be different than we estimate.</w:t>
      </w:r>
    </w:p>
    <w:p>
      <w:pPr>
        <w:spacing w:after="0" w:line="253"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Our estimates of the annual addressable markets for our current tests, products and services and those under development are based on a number of internal and third-party estimates, including, without limitation, the number of patients who have developed one or more of a broad range of cancers and certain diseases, the number of individuals who are at a higher risk for developing one or more of broad range of cancers and certain diseases, the number of individuals with certain diseases we or our collaborators are able to detect through our tests, products and services, the proportion of patients in each market whose needs can be addressed by our or our collaborators’ tests, products and services, the number of potential tests utilized per patient and the assumed prices at which we can sell our current and future tests, products and services for markets that have not been established. While we believe our assumptions and the data underlying our estimates are reasonable, these assumptions and estimates may not be as accurate as we initially intended and the conditions upon which our assumptions or estimates are based may change at any time. As a result, our estimates of the annual addressable market for our current or future tests, products and services may ultimately be incorrect. If the actual number of patients who would benefit from our tests, products or services, the price at which we can sell future tests, products and services or the annual addressable market for our tests, products or services is smaller than we have estimated, it may impair our sales growth and have an adverse impact on our business.</w:t>
      </w:r>
    </w:p>
    <w:p>
      <w:pPr>
        <w:spacing w:after="0" w:line="186" w:lineRule="exact"/>
        <w:rPr>
          <w:sz w:val="20"/>
          <w:szCs w:val="20"/>
          <w:color w:val="auto"/>
        </w:rPr>
      </w:pPr>
    </w:p>
    <w:p>
      <w:pPr>
        <w:jc w:val="both"/>
        <w:ind w:firstLine="120"/>
        <w:spacing w:after="0" w:line="298"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69"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0" w:lineRule="exact"/>
        <w:rPr>
          <w:sz w:val="20"/>
          <w:szCs w:val="20"/>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104"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pre-authorized and appropriate for the specific patient;</w:t>
      </w:r>
    </w:p>
    <w:p>
      <w:pPr>
        <w:spacing w:after="0" w:line="104"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104"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104"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Since each payer makes its own decision as to whether to establish a coverage policy or enter into a contract to reimburse our tests, seeking these approvals is a time-consuming and costly process.</w:t>
      </w:r>
    </w:p>
    <w:p>
      <w:pPr>
        <w:spacing w:after="0" w:line="192"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We are an out-of-network provider with some commercial payers in the U.S.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04"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Decipher Prostate, Prosigna, Percepta, Envisia, Decipher Bladder, and Immunoscore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our tests.</w:t>
      </w:r>
    </w:p>
    <w:p>
      <w:pPr>
        <w:spacing w:after="0" w:line="230"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spacing w:after="0" w:line="209" w:lineRule="exact"/>
        <w:rPr>
          <w:sz w:val="20"/>
          <w:szCs w:val="20"/>
          <w:color w:val="auto"/>
        </w:rPr>
      </w:pPr>
    </w:p>
    <w:p>
      <w:pPr>
        <w:jc w:val="both"/>
        <w:ind w:firstLine="375"/>
        <w:spacing w:after="0" w:line="298" w:lineRule="auto"/>
        <w:rPr>
          <w:sz w:val="20"/>
          <w:szCs w:val="20"/>
          <w:color w:val="auto"/>
        </w:rPr>
      </w:pPr>
      <w:r>
        <w:rPr>
          <w:rFonts w:ascii="Arial" w:cs="Arial" w:eastAsia="Arial" w:hAnsi="Arial"/>
          <w:sz w:val="16"/>
          <w:szCs w:val="16"/>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w:t>
      </w:r>
    </w:p>
    <w:p>
      <w:pPr>
        <w:spacing w:after="0" w:line="169"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The strength of the clinical data supporting the use of the Decipher Prostate Biopsy and Decipher Prostate RP tests have led to the tests’ inclusion in national guidelines. For example, in the 2020 NCCN Practice Guidelines for Prostate Cancer, the Decipher Prostate RP test is “recommended” for use to improve therapy decision making. It is the only test to achieve this designation for post-surgery patients with localized prostate cancer. Further, in September 2021, the 2022 NCCN guidelines were released and recommend specific treatment decisions for patients based on their Decipher Prostate RP score.</w:t>
      </w:r>
    </w:p>
    <w:p>
      <w:pPr>
        <w:spacing w:after="0" w:line="189"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or are unable to cause our genomic tests to be included in other influential guidelines, we may be at a disadvantage in gaining market acceptance and market share relative to our competitors.</w:t>
      </w:r>
    </w:p>
    <w:p>
      <w:pPr>
        <w:spacing w:after="0" w:line="205" w:lineRule="exact"/>
        <w:rPr>
          <w:sz w:val="20"/>
          <w:szCs w:val="20"/>
          <w:color w:val="auto"/>
        </w:rPr>
      </w:pPr>
    </w:p>
    <w:p>
      <w:pPr>
        <w:jc w:val="both"/>
        <w:ind w:firstLine="375"/>
        <w:spacing w:after="0" w:line="298" w:lineRule="auto"/>
        <w:rPr>
          <w:sz w:val="20"/>
          <w:szCs w:val="20"/>
          <w:color w:val="auto"/>
        </w:rPr>
      </w:pPr>
      <w:r>
        <w:rPr>
          <w:rFonts w:ascii="Arial" w:cs="Arial" w:eastAsia="Arial" w:hAnsi="Arial"/>
          <w:sz w:val="16"/>
          <w:szCs w:val="16"/>
          <w:color w:val="auto"/>
        </w:rPr>
        <w:t>Our lung products are not yet integrated into practice guidelines and physicians may be reluctant to order tests that are not recommended in these guidelines. The Prosigna test is included in practice guidelines in the United States and internationally but faces competition from other products globally.</w:t>
      </w:r>
    </w:p>
    <w:p>
      <w:pPr>
        <w:spacing w:after="0" w:line="169"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Because our Afirma, Decipher Prostate Biopsy, Decipher Prostate RP, Percepta, Envisia, Decipher Bladder, and Immunoscore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markets have existing practices and standards of care that are different than those in the United States, we may face challenges with the adoption of our tests in international markets.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limits on our revenue if patients decide not to use our tests.</w:t>
      </w:r>
    </w:p>
    <w:p>
      <w:pPr>
        <w:spacing w:after="0" w:line="230"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5"/>
          <w:szCs w:val="15"/>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53"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Austin, Texas, Marseille, France or Richmond, Virginia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83"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Percepta, Envisia and Decipher Bladder tests, and will be seeking approval for the Immunoscore test. We will be required to obtain approval for other tests we may offer in the future. If we were to lose our CLIA certificate or California license for our South San Francisco, San Diego, or Richmond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which could result in a delay in processing tests during that transition and increased costs. If we were to lose our CLIA certificate for our Marseille or Richmond laboratories, whether as a result of revocation, suspension, limitation or otherwise, we would no longer be able to perform our Immunoscore test.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99" w:lineRule="exact"/>
        <w:rPr>
          <w:sz w:val="20"/>
          <w:szCs w:val="20"/>
          <w:color w:val="auto"/>
        </w:rPr>
      </w:pPr>
    </w:p>
    <w:p>
      <w:pPr>
        <w:jc w:val="both"/>
        <w:ind w:firstLine="120"/>
        <w:spacing w:after="0" w:line="251"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spacing w:after="0" w:line="192"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Our quarterly financial and operating results depend on sales of our products in the markets we operate and are sensitive to a number of factors, including patient and clinician demand, market condition,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189" w:lineRule="exact"/>
        <w:rPr>
          <w:sz w:val="20"/>
          <w:szCs w:val="20"/>
          <w:color w:val="auto"/>
        </w:rPr>
      </w:pPr>
    </w:p>
    <w:p>
      <w:pPr>
        <w:ind w:left="1200" w:hanging="524"/>
        <w:spacing w:after="0"/>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conduct substantial research and development;</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 the necessary testing samples and related data;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1200" w:hanging="524"/>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conduct clinical validation studies;</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expend significant funds;</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 and scale-up our laboratory processes;</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 and train our sales force;</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gain acceptance from ordering clinicians at a larger number of hospitals;</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gain acceptance from ordering laboratories; and</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seek and obtain regulatory clearances, approvals or certifications of our new solutions, as required by applicable regulatory bodies.</w:t>
      </w:r>
    </w:p>
    <w:p>
      <w:pPr>
        <w:spacing w:after="0" w:line="230" w:lineRule="exact"/>
        <w:rPr>
          <w:sz w:val="20"/>
          <w:szCs w:val="20"/>
          <w:color w:val="auto"/>
        </w:rPr>
      </w:pPr>
    </w:p>
    <w:p>
      <w:pPr>
        <w:ind w:firstLine="375"/>
        <w:spacing w:after="0" w:line="266" w:lineRule="auto"/>
        <w:rPr>
          <w:sz w:val="20"/>
          <w:szCs w:val="20"/>
          <w:color w:val="auto"/>
        </w:rPr>
      </w:pPr>
      <w:r>
        <w:rPr>
          <w:rFonts w:ascii="Arial" w:cs="Arial" w:eastAsia="Arial" w:hAnsi="Arial"/>
          <w:sz w:val="17"/>
          <w:szCs w:val="17"/>
          <w:color w:val="auto"/>
        </w:rPr>
        <w:t>This process involves a high degree of risk and may take up to several years or more. Our test development and commercialization efforts may be delayed or fail for many reasons, including:</w:t>
      </w:r>
    </w:p>
    <w:p>
      <w:pPr>
        <w:spacing w:after="0" w:line="192" w:lineRule="exact"/>
        <w:rPr>
          <w:sz w:val="20"/>
          <w:szCs w:val="20"/>
          <w:color w:val="auto"/>
        </w:rPr>
      </w:pPr>
    </w:p>
    <w:p>
      <w:pPr>
        <w:ind w:left="1200" w:hanging="524"/>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of the test at the research or development stage;</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difficulty in accessing suitable testing samples, especially testing samples with known clinical results;</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lack of clinical validation data to support the effectiveness of the test;</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delays resulting from the failure of third-party suppliers or contractors to meet their obligations in a timely and cost-effective manner;</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obtain or maintain necessary clearances, approvals or certifications to market the test; or</w:t>
      </w:r>
    </w:p>
    <w:p>
      <w:pPr>
        <w:spacing w:after="0" w:line="54" w:lineRule="exact"/>
        <w:rPr>
          <w:rFonts w:ascii="Arial" w:cs="Arial" w:eastAsia="Arial" w:hAnsi="Arial"/>
          <w:sz w:val="17"/>
          <w:szCs w:val="17"/>
          <w:color w:val="auto"/>
        </w:rPr>
      </w:pPr>
    </w:p>
    <w:p>
      <w:pPr>
        <w:ind w:left="1200" w:hanging="524"/>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lack of commercial acceptance by patients, clinicians or third-party payers.</w:t>
      </w:r>
    </w:p>
    <w:p>
      <w:pPr>
        <w:spacing w:after="0" w:line="230"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diagnostic tests, we will have to make additional investments in our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w:t>
      </w:r>
    </w:p>
    <w:p>
      <w:pPr>
        <w:spacing w:after="0" w:line="194"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195"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If a strategy of seeking growth through acquisitions and collaborations is not successful, or if we do not successfully integrate companies or assets that we acquire into our business, our prospects and financial condition will suffer.</w:t>
      </w:r>
    </w:p>
    <w:p>
      <w:pPr>
        <w:spacing w:after="0" w:line="192"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5"/>
          <w:szCs w:val="15"/>
          <w:color w:val="auto"/>
        </w:rPr>
        <w:t>As an element of our growth strategy, we may pursue opportunities to license assets or purchase companies or assets that we believe would complement our current business or help us expand into new markets. For example, we acquired the nCounter Analysis System and Prosigna test from NanoString, we also acquired Decipher Biosciences and HalioDx. We may pursue additional acquisitions of complementary businesses or assets as part of our business strategy. There can be no assurance that we will successfully integrate the assets acquired from such acquisitions into our existing business, in general, or that our 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94"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Our future success and international growth depends, in part, on our ability to adapt and manufacture select tests to be performed on the nCounter Analysis System.</w:t>
      </w:r>
    </w:p>
    <w:p>
      <w:pPr>
        <w:spacing w:after="0" w:line="192"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Our strategy to expand into international markets depends on our ability to successfully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genetic tests to be performed on the nCounter Analysis System, or if the nCounter Analysis System fails to be competitive against other diagnostic tests,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not successful in advancing our biopharma collaborations, our prospects and financial condition will suffer.</w:t>
      </w:r>
    </w:p>
    <w:p>
      <w:pPr>
        <w:spacing w:after="0" w:line="230"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We have previously entered into technology licensing and collaboration arrangements, such as our collaborations with Johnson &amp; Johnson in December 2018, with Acerta Pharma, the hematology research and development arm of AstraZeneca, in December 2019 and with CareDx in May 2020, as well as our investment in MAVIDx in July 2020, which reflect an important element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COVID-19 pandemic has had, and may continue to have, an adverse effect on our business, results of operations and financial condition.</w:t>
      </w:r>
    </w:p>
    <w:p>
      <w:pPr>
        <w:spacing w:after="0" w:line="241"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5"/>
          <w:szCs w:val="15"/>
          <w:color w:val="auto"/>
        </w:rPr>
        <w:t>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The global COVID-19 pandemic continues to evolve. Certain jurisdictions have begun re-opening only to return to restrictions due to increases in new COVID-19 cases and the emergence of new variant strains of COVID-19. Changes in our operations in response to COVID-19 or employee illnesses resulting from the pandemic may result in inefficiencies or delays, including in sales and product development efforts, timing to receive patient sample shipments and additional costs related to business continuity initiatives, that cannot be fully mitigated through succession planning, employees working remotely or teleconferencing technologies. To date, the FDA has approved several vaccines, certain of which are subject to an Emergency Use Authorization, or EUA, for certain uses. Although vaccines are increasingly available in the United States and Europe, and certain countries in South America, Asia and Oceania, there can be no guarantee that the vaccines will be effective against new strains of the virus or that the vaccines will be broadly accepted. Also there can be no guarantee that federal, state, local and foreign agencies will not continue to take other cautionary steps to combat the virus to reduce the incidence of new cases, which could negatively impact our volumes and revenue and limit our ability to reliably forecast our test volumes and levels of revenue.</w:t>
      </w:r>
    </w:p>
    <w:p>
      <w:pPr>
        <w:spacing w:after="0" w:line="18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92" w:lineRule="exact"/>
        <w:rPr>
          <w:sz w:val="20"/>
          <w:szCs w:val="20"/>
          <w:color w:val="auto"/>
        </w:rPr>
      </w:pPr>
    </w:p>
    <w:p>
      <w:pPr>
        <w:ind w:left="600" w:hanging="300"/>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Inability of healthcare providers to deliver anticipated testing volumes due to temporary or permanent staff attrition as a result of vaccine mandates.</w:t>
      </w:r>
    </w:p>
    <w:p>
      <w:pPr>
        <w:spacing w:after="0" w:line="200" w:lineRule="exact"/>
        <w:rPr>
          <w:rFonts w:ascii="Arial" w:cs="Arial" w:eastAsia="Arial" w:hAnsi="Arial"/>
          <w:sz w:val="16"/>
          <w:szCs w:val="16"/>
          <w:color w:val="auto"/>
        </w:rPr>
      </w:pPr>
    </w:p>
    <w:p>
      <w:pPr>
        <w:spacing w:after="0" w:line="37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600" w:hanging="300"/>
        <w:spacing w:after="0" w:line="266" w:lineRule="auto"/>
        <w:tabs>
          <w:tab w:leader="none" w:pos="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not be able to manage our business effectively due to key employees becoming ill, working from home inefficiently and being unable to travel to our facilities.</w:t>
      </w:r>
    </w:p>
    <w:p>
      <w:pPr>
        <w:spacing w:after="0" w:line="17"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and our customers, suppliers, third-party contract manufacturers, and collaboration partners may be prevented from operating worksites, including manufacturing facilities, due to employee illness, reluctance to appear at work or “stay-at-home” regulations.</w:t>
      </w:r>
    </w:p>
    <w:p>
      <w:pPr>
        <w:spacing w:after="0" w:line="17" w:lineRule="exact"/>
        <w:rPr>
          <w:rFonts w:ascii="Arial" w:cs="Arial" w:eastAsia="Arial" w:hAnsi="Arial"/>
          <w:sz w:val="17"/>
          <w:szCs w:val="17"/>
          <w:color w:val="auto"/>
        </w:rPr>
      </w:pPr>
    </w:p>
    <w:p>
      <w:pPr>
        <w:jc w:val="both"/>
        <w:ind w:left="600" w:hanging="300"/>
        <w:spacing w:after="0" w:line="287" w:lineRule="auto"/>
        <w:tabs>
          <w:tab w:leader="none" w:pos="596"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Interruptions in manufacturing (including the sourcing of reagents or supplies) and shipment of our products. We believe the rapid increase in daily testing volumes is consuming reagents and supplies otherwise available to genomic testing companies like ours across the United States.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test volumes or levels of revenue.</w:t>
      </w:r>
    </w:p>
    <w:p>
      <w:pPr>
        <w:spacing w:after="0" w:line="7" w:lineRule="exact"/>
        <w:rPr>
          <w:rFonts w:ascii="Arial" w:cs="Arial" w:eastAsia="Arial" w:hAnsi="Arial"/>
          <w:sz w:val="15"/>
          <w:szCs w:val="15"/>
          <w:color w:val="auto"/>
        </w:rPr>
      </w:pPr>
    </w:p>
    <w:p>
      <w:pPr>
        <w:ind w:left="600" w:hanging="300"/>
        <w:spacing w:after="0" w:line="266" w:lineRule="auto"/>
        <w:tabs>
          <w:tab w:leader="none" w:pos="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patient demand for, or provider capacity to deliver, diagnostic testing and elective procedures generally (which may impact our ability to deliver to our revenue estimates).</w:t>
      </w:r>
    </w:p>
    <w:p>
      <w:pPr>
        <w:spacing w:after="0" w:line="17"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Disruptions of the operations of our third-party contract manufacturers and suppliers, which could impact our ability to purchase components at efficient prices and in sufficient amounts.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need to raise capital, and if we raise capital by issuing equity securities, our common stock may be diluted.</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market price of our common stock may drop or remain volatile.</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incur significant employee health care costs under our insurance programs.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or delay of regulatory bodies to conduct inspections/surveys, review or clear/approve our regulatory filings and submissions, and perform other activities necessary for us to conduct our business.</w:t>
      </w:r>
    </w:p>
    <w:p>
      <w:pPr>
        <w:spacing w:after="0" w:line="67"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The extent of the impact of COVID-19 on our business and financial results will depend largely on future developments, including the deployment, efficacy, availability and utilization of vaccines, the emergence of new variant strains of COVID-19,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189"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and other materials used to perform our tests, and we may not be able to find replacements or transition to alternative suppliers.</w:t>
      </w:r>
    </w:p>
    <w:p>
      <w:pPr>
        <w:spacing w:after="0" w:line="19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We rely on sole suppliers for critical supply of reagents, equipment and other materials and services that we use to perform our tests and for the manufacture of the nCounter Analysis System for diagnostic use and Prosigna test kits sold to customers. We also purchase components used in our sample collection testing kits from sole-source suppliers. Some of these items are unique to these suppliers and vendors. In addition, we utilize a sole source to assemble and distribute our sample collection kits.</w:t>
      </w:r>
    </w:p>
    <w:p>
      <w:pPr>
        <w:spacing w:after="0" w:line="20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We rely on NanoString for the supply of the nCounter Analysis System for diagnostic use and Prosigna test kits. As part of the HalioDx Acquisition we intend to migrate manufacture of the test kits for the nCounter from NanoString to HalioDx.</w:t>
      </w:r>
    </w:p>
    <w:p>
      <w:pPr>
        <w:spacing w:after="0" w:line="192"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Periodically, as a result of the COVID-19 pandemic and other challenges to global supply chains, we experienced supply chain disruptions in the supply of plastic materials used in the processing of samples, although this has not resulted in delays in our ability to timely return test results. 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patient reports and we may incur higher one-time switching costs. Carriers responsible for transporting samples to us are currently operating at lower than usual capacity because of COVID-19, causing delays in the timeliness of our receipt of samples.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169"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92"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9"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1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support demand for our commercial tests, our business could suffer.</w:t>
      </w:r>
    </w:p>
    <w:p>
      <w:pPr>
        <w:spacing w:after="0" w:line="230"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83"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92"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5"/>
          <w:szCs w:val="15"/>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187"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204"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7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5"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84"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5"/>
          <w:szCs w:val="15"/>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There can be no assurance that the payment rate for Afirma or Prosigna will not decrease in the future or that the payment rates for Afirma Xpression Atlas, Afirma MTC, Decipher Prostate Biopsy, Decipher Prostate RP, Percepta, Decipher Bladder or Immunoscore will not be adversely affected by the PAMA law and regulations.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04"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09"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04"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in 2021 implemented the No Surprises Act through Interim Final Rules issued on July 1, 2021 and September 30, 2021. The No Surprises Act, and regulations and subregulatory guidance promulgated thereunder, could limit our ability to achieve payment in full for our testing services.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Because of Medicare billing rules, we may not receive reimbursement for all tests provided to Medicare patients.</w:t>
      </w:r>
    </w:p>
    <w:p>
      <w:pPr>
        <w:spacing w:after="0" w:line="230"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92"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Decipher Prostate Biopsy, Decipher Prostate RP, Percepta,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04"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In the CY 2020 Hospital Outpatient Prospective Payment System Proposed Rule, CMS solicited comments on potential revisions to these billing rules that could have impacted our ability to bill Medicare directly for our Afirma, Decipher Prostate Biopsy, Decipher Prostate RP, Percepta, Envisia,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In addition, we must maintain CLIA compliance and certification to sell our tests and be eligible to bill for diagnostic services provided to Medicare beneficiaries.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If the FDA or foreign authorities were to begin regulating those of our tests that are not currently regulated, we could incur substantial costs and delays associated with trying to obtain premarket clearance, approval or certification.</w:t>
      </w:r>
    </w:p>
    <w:p>
      <w:pPr>
        <w:spacing w:after="0" w:line="192"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5"/>
          <w:szCs w:val="15"/>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While the FDA maintains its authority to regulate LDTs, it continues to exercise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Further, FDA has raised concerns about companies who manufacture, and label finished clinical test kits or clinical testing components as “research use only”, or RUO, or “investigational use only”, or IUO, and either knowingly use them or sell them for use in patient care. We believe that the Afirma, Decipher Prostate Biopsy, Decipher Prostate RP, Percepta, Envisia, and Decipher Bladder classifiers, as well as Immunoscore, have been developed and are performed in a manner consistent with FDA’s enforcement discretion policy.</w:t>
      </w:r>
    </w:p>
    <w:p>
      <w:pPr>
        <w:spacing w:after="0" w:line="183"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in vitro diagnostics that have been reviewed, cleared, authorized or approved by the FDA. If the FDA were to determine that Afirma, Decipher Prostate Biopsy, Decipher Prostate RP, Percepta, Envisia, and Decipher Bladder classifiers, as well as Immunoscore, offered as LDTs are not within the scope of FDA's enforcement discretion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w:t>
      </w:r>
    </w:p>
    <w:p>
      <w:pPr>
        <w:spacing w:after="0" w:line="201"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6"/>
          <w:szCs w:val="16"/>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released in June 2021.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w:t>
      </w:r>
    </w:p>
    <w:p>
      <w:pPr>
        <w:spacing w:after="0" w:line="199"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In addition, changes in the way the European Union, or EU, regulates LDTs, or in-house tests, could result in additional expenses for offering our current and any future tests or possibly delay or suspend development, or commercialization of such tests. In the EU, LDTs are currently not included within the scope of the regulations that govern medical devices and in vitro diagnostic medical devices, or IVD MDs, under certain conditions, as set out in the EU In Vitro Diagnostic Medical Devices Directive (Directive 98/79/EC), or IVDD. However, the EU regulatory landscape is significantly changing and the EU Regulation (EU) 2017/746 of April 5, 2017, repealing the IVDD, referred to as the IVD Medical Devices Regulation, or IVDR, becomes applicable on May 26, 2022 (subject to certain transition provisions). Under the IVDR, the general safety and performance requirements set out in Annex I will also be applicable to devices manufactured and used only within health institutions, unless certain conditions are met. The exemptions provided under the IVDR for LDTs remain to be further interpreted and clarified but are narrower than under the IVDD. Further, the date of application of the relevant provisions to such tests that are not covered by the exemption are subject to transition provisions meaning the provisions will apply in May 2024 and May 2028.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it will apply in Northern Ireland), but the UK government is currently undertaking a consultation on the regime applicable to in vitro diagnostics in the UK, and it is anticipated that similar provisions will be introduced as under the IVDR.</w:t>
      </w:r>
    </w:p>
    <w:p>
      <w:pPr>
        <w:spacing w:after="0" w:line="192"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5"/>
          <w:szCs w:val="15"/>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While we believe our Afirma, Decipher Prostate Biopsy, Decipher Prostate RP, Percepta, Envisia, and Decipher Bladder classifiers, as well as Immunoscore, would likely qualify for the “grandfathered” tests treatment, there can be no assurance of what the FDA might ultimately require if it issues a rule or if legislative reforms are enacted. If premarket reviews or certifications are required, our business could be negatively impacted if we are required to stop selling our products pending their clearance, approval or certification. In addition, the launch of any new products that we develop could be delayed by the implementation of future FDA or foreign regulations. The cost of complying with premarket review or certification requirements, including obtaining clinical data, could be significant. In addition, future regulation by the FDA or foreign authorities could subject our business to further regulatory risks and costs. 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187"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5"/>
          <w:szCs w:val="15"/>
          <w:color w:val="auto"/>
        </w:rPr>
        <w:t>The FDA has taken the position that if evidence demonstrates that a product which otherwise meets the definition of a regulated medical device is inappropriately labeled RUO or IUO, distribution, sale, or use of the product could violate the misbranding or adulteration provisions of the Federal Food, Drug, and Cosmetic Act, or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FDA to investigate our purchase and use of supplier products and for the Agency to question whether or not Veracyte has violated the FDC Act.</w:t>
      </w:r>
    </w:p>
    <w:p>
      <w:pPr>
        <w:spacing w:after="0" w:line="187" w:lineRule="exact"/>
        <w:rPr>
          <w:sz w:val="20"/>
          <w:szCs w:val="20"/>
          <w:color w:val="auto"/>
        </w:rPr>
      </w:pPr>
    </w:p>
    <w:p>
      <w:pPr>
        <w:jc w:val="both"/>
        <w:ind w:firstLine="120"/>
        <w:spacing w:after="0" w:line="298" w:lineRule="auto"/>
        <w:rPr>
          <w:sz w:val="20"/>
          <w:szCs w:val="20"/>
          <w:color w:val="auto"/>
        </w:rPr>
      </w:pPr>
      <w:r>
        <w:rPr>
          <w:rFonts w:ascii="Arial" w:cs="Arial" w:eastAsia="Arial" w:hAnsi="Arial"/>
          <w:sz w:val="16"/>
          <w:szCs w:val="16"/>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69"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We may also be able to obtain marketing authorization through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rather than through a PMA if the 510(k) pathway is not available. In September 2013, we obtained FDA 510(k) clearance for Prosigna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194"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05"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189"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6"/>
          <w:szCs w:val="16"/>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199"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6"/>
          <w:szCs w:val="16"/>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99"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For instance, in order to sell some of our products in the EU, those products must currently comply with the essential requirements of the IVDD. Compliance with these requirements is a prerequisite to be able to affix the European Conformity, or CE, mark to our products, without which they cannot be sold or marketed in the EU. All medical devices placed on the market in the EU must meet the essential requirements laid down in Annex I to the IVDD, unless an exemption applies,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essential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182"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For most IVD MDs, the manufacturer currently can self-declare the conformity of its products with the essential requirements of the IVDD. For some types of IVDs listed in Annex II of the IVDD, a conformity assessment procedure requires the intervention of a notified body. Notified bodies are independent organizations designated by EU member states to assess the conformity of devices before being placed on the market. The notified body would typically audit and examine the product’s technical file and the manufacturer’s quality system (notified body must presume that quality systems which implement the relevant harmonized standards – which is ISO 13485:2016 for Quality Management Systems – conform to these requirements). If satisfied that the relevant product conforms to the relevant essential requirements, the notified body issues a certificate of</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conformity, which the manufacturer uses as a basis for its own declaration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205"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The EU regulatory landscape concerning medical devices is significantly changing, and the new IVDR governing IVD MDs will become applicable on May 26, 2022 (subject to certain transitional provisions meaning that were such transitional provisions apply, the products can continue to be placed on the market under the IVDD for a certain period of time). The new requirements in the IVDR will have a significant effect on the way we conduct our business in the EU and the EEA. In particularly, substantially more IVDs will require the involvement of a notified body to be able to affix a CE Mark to the product, which may lead to delay in being able to place such products on the market.</w:t>
      </w:r>
    </w:p>
    <w:p>
      <w:pPr>
        <w:spacing w:after="0" w:line="204"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auto"/>
        </w:rPr>
        <w:t>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will need to appoint a UK Responsible Person that has a registered place of business in the UK to register devices with the MHRA. By July 1, 2023, in Great Britain, all medical devices will require a UK Conformity Assessed, or UKCA, mark but CE marks issued by EU notified regulatory bodies will remain valid until this time. Manufacturers may choose to use the UKCA mark on a voluntary basis until June 30, 2023. However, UKCA marking will not be recognized in the EU.</w:t>
      </w:r>
    </w:p>
    <w:p>
      <w:pPr>
        <w:spacing w:after="0" w:line="182"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194"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5"/>
          <w:szCs w:val="15"/>
          <w:color w:val="auto"/>
        </w:rPr>
        <w:t>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172" w:lineRule="exact"/>
        <w:rPr>
          <w:sz w:val="20"/>
          <w:szCs w:val="20"/>
          <w:color w:val="auto"/>
        </w:rPr>
      </w:pPr>
    </w:p>
    <w:p>
      <w:pPr>
        <w:jc w:val="both"/>
        <w:ind w:firstLine="120"/>
        <w:spacing w:after="0" w:line="375" w:lineRule="auto"/>
        <w:rPr>
          <w:sz w:val="20"/>
          <w:szCs w:val="20"/>
          <w:color w:val="auto"/>
        </w:rPr>
      </w:pPr>
      <w:r>
        <w:rPr>
          <w:rFonts w:ascii="Arial" w:cs="Arial" w:eastAsia="Arial" w:hAnsi="Arial"/>
          <w:sz w:val="14"/>
          <w:szCs w:val="14"/>
          <w:b w:val="1"/>
          <w:bCs w:val="1"/>
          <w:i w:val="1"/>
          <w:iCs w:val="1"/>
          <w:color w:val="auto"/>
        </w:rPr>
        <w:t>If we are unable to obtain marketing authorizations or certifications, approvals, clearances or certifications to market Prosigna or our other assays on the nCounter Analysis System in additional countries or if regulatory limitations are placed on our diagnostic kit products, our business and growth will be harmed.</w:t>
      </w:r>
    </w:p>
    <w:p>
      <w:pPr>
        <w:spacing w:after="0" w:line="122"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w:t>
      </w:r>
    </w:p>
    <w:p>
      <w:pPr>
        <w:spacing w:after="0" w:line="200"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w:t>
      </w:r>
    </w:p>
    <w:p>
      <w:pPr>
        <w:spacing w:after="0" w:line="17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IVDR will not be implemented in Great Britain, and the previous legislation that implemented the IVDD, the Medical Devices Regulations 2002 (SI 2002 No 618, as amended), applies. For the time being, the regulatory regime for medical devices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and IVD MDs in Great Britain (England, Scotland and Wales) continues to be based on the requirements derived from current EU legislation. 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2023. For medical devices, including IVD MDs, placed on the market in Great Britain after this period, the UKCA marking will be mandatory. In contrast, UKCA marking and certificates issued by UK notified regulatory bodies are not recognized on the EU market. The rules for placing medical devices on the Northern Ireland market differ from those in Great Britain, and the IVDR will apply in Northern Ireland. These modifications may have an effect on the way we intend to conduct our business in these countries.</w:t>
      </w:r>
    </w:p>
    <w:p>
      <w:pPr>
        <w:spacing w:after="0" w:line="194"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209"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In the EU, there is currently no legal definition or classification system for companion diagnostics. Companion diagnostics are deemed to be IVD MDs, governed by the IVDD, and are required to conform with the essential requirements of the IVDD. The conformity assessment varies according to the type of IVD MD. As there is currently no classification system for companion diagnostics, the conformity assessment varies depending on the companion diagnostics’ characteristics and they will be either subject to a conformity assessment by a notified body or to a self-assessment by the manufacturer (without the intervention of a notified body). The regulation of companion diagnostics will be subject to further requirements once the IVDR will become applicable on May 26, 2022, although under the relevant transitional provision, the relevant requirements will be applicable to companion diagnostics in May 2026. The IVDR introduces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will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spacing w:after="0" w:line="182"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5"/>
          <w:szCs w:val="15"/>
          <w:color w:val="auto"/>
        </w:rPr>
        <w:t>We cannot assure investors that we will be successful in obtaining or maintaining regulatory clearances, certifications, approvals, or marketing authorizations. If we do not obtain or maintain regulatory clearances, certifications,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172"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192"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5"/>
          <w:szCs w:val="15"/>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w:t>
      </w:r>
    </w:p>
    <w:p>
      <w:pPr>
        <w:spacing w:after="0" w:line="183"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IVDR increases the regulatory requirements applicable to in vitro diagnostics in the EU and would require that we re-classify and obtain new certificates of conformity for our existing CE-marked IVD products by May 25, 2022, unless a</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transitional provision applies to the product. Failure to secure these re-certifications in time will halt our ability to commercialize our products in relevant countries. Currently our tests that require recertification are Prosigna and Immunoscore. Moreover, complying with the stricter regulatory requirements of the IVDR, including with respect to clinical evaluation requirements, quality systems, and post-market surveillance, may require us to incur significant expenditures. Failure to meet these requirements could adversely impact our business in the EU and EEA and other regions that tie their product registrations or regulations to the EU requirements.</w:t>
      </w:r>
    </w:p>
    <w:p>
      <w:pPr>
        <w:spacing w:after="0" w:line="17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IVDR will become applicable five years after publication (on May 26, 2022), subject to relevant transitional periods, and once applicable to a particular product, the IVDR will among other things:</w:t>
      </w:r>
    </w:p>
    <w:p>
      <w:pPr>
        <w:spacing w:after="0" w:line="192" w:lineRule="exact"/>
        <w:rPr>
          <w:sz w:val="20"/>
          <w:szCs w:val="20"/>
          <w:color w:val="auto"/>
        </w:rPr>
      </w:pPr>
    </w:p>
    <w:p>
      <w:pPr>
        <w:ind w:left="600" w:hanging="300"/>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strengthen the rules on placing devices on the market and reinforce surveillance once they are available;</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explicit provisions on manufacturers’ responsibilities for the follow-up of the quality, performance and safety of devices placed on the market;</w:t>
      </w:r>
    </w:p>
    <w:p>
      <w:pPr>
        <w:spacing w:after="0" w:line="66" w:lineRule="exact"/>
        <w:rPr>
          <w:rFonts w:ascii="Arial" w:cs="Arial" w:eastAsia="Arial" w:hAnsi="Arial"/>
          <w:sz w:val="16"/>
          <w:szCs w:val="16"/>
          <w:color w:val="auto"/>
        </w:rPr>
      </w:pPr>
    </w:p>
    <w:p>
      <w:pPr>
        <w:ind w:left="600" w:hanging="300"/>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establish explicit provisions on importers’ and distributors’ obligations and responsibilities;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impose an obligation to identify a responsible person who is ultimately responsible for all aspects of compliance with the requirements of the new regulation;</w:t>
      </w:r>
    </w:p>
    <w:p>
      <w:pPr>
        <w:spacing w:after="0" w:line="77" w:lineRule="exact"/>
        <w:rPr>
          <w:rFonts w:ascii="Arial" w:cs="Arial" w:eastAsia="Arial" w:hAnsi="Arial"/>
          <w:sz w:val="15"/>
          <w:szCs w:val="15"/>
          <w:color w:val="auto"/>
        </w:rPr>
      </w:pPr>
    </w:p>
    <w:p>
      <w:pPr>
        <w:jc w:val="both"/>
        <w:ind w:left="600" w:hanging="300"/>
        <w:spacing w:after="0" w:line="256" w:lineRule="auto"/>
        <w:tabs>
          <w:tab w:leader="none" w:pos="5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25"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set up a central database (Eudamed) to provide patients, healthcare professionals and the public with comprehensive information on products available in the EU; and</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strengthen rules for the assessment of certain high-risk devices that may have to undergo an additional check by experts before they are placed on the market.</w:t>
      </w:r>
    </w:p>
    <w:p>
      <w:pPr>
        <w:spacing w:after="0" w:line="253"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5"/>
          <w:szCs w:val="15"/>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17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The EU IVDR will not be implemented in Great Britain, and the previous legislation that implemented the IVDD, the Medical Devices Regulations 2002 (SI 2002 No 618, as amended), applies. Therefore, the regulatory regime for medical devices in Great Britain (England, Scotland and Wales) will continue to be based on the requirements derived from current EU legislation, and the UK is currently conducting a consultation on the medical device regime, including whether to align with the EU Medical Devices Regulation going forward. EU CE markings will continue to be recognized in the UK, and certificates issued by EU-registered notified regulatory bodies will be valid in the UK, until June 30, 2023. For medical devices placed on the market in Great Britain after this period, the UKCA marking will be mandatory. In contrast, UKCA marking and certificates issued by UK notified regulatory bodies are not recognized on the EU market. The rules for placing medical devices on the Northern Ireland market differ from those in Great Britain, and the EU IVDR will apply in Northern Ireland. These modifications may have an effect on the way we intend to conduct our business in these countries.</w:t>
      </w:r>
    </w:p>
    <w:p>
      <w:pPr>
        <w:spacing w:after="0" w:line="195" w:lineRule="exact"/>
        <w:rPr>
          <w:sz w:val="20"/>
          <w:szCs w:val="20"/>
          <w:color w:val="auto"/>
        </w:rPr>
      </w:pPr>
    </w:p>
    <w:p>
      <w:pPr>
        <w:jc w:val="both"/>
        <w:ind w:firstLine="375"/>
        <w:spacing w:after="0" w:line="285" w:lineRule="auto"/>
        <w:rPr>
          <w:sz w:val="20"/>
          <w:szCs w:val="20"/>
          <w:color w:val="auto"/>
        </w:rPr>
      </w:pPr>
      <w:r>
        <w:rPr>
          <w:rFonts w:ascii="Arial" w:cs="Arial" w:eastAsia="Arial" w:hAnsi="Arial"/>
          <w:sz w:val="15"/>
          <w:szCs w:val="15"/>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FDA has issued a proposed rule to revise the QSR to more closely align with ISO 13485:2016 but that also includes proposed clarifications and additional definitions and requirements. The promotional claims we can make for Prosigna are limited to the indications for use in the United States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30"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Our principal competition for our tests comes from traditional methods used by physicians to diagnose and manage patient care decisions or diagnostic tests provided by other commercial and academic laboratories. For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20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05"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Our Decipher Prostate test faces competition from Myriad Genetics and Exact Sciences, which offer genomic testing for prognostic purposes within localized prostate cancer. Additionally, traditional methods used by pathologists and clinicians to estimate risk of disease progression pose competitive threats to our business. Companies combining these traditional methods with artificial intelligence could potentially emerge as competitors, but most of these technologies are currently in the research stage.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spacing w:after="0" w:line="209"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 As we expand our portfolio of tests to address clinical questions across the clinical care continuum, we may also face competition from companies focused on screening at-risk patients for cancer or companies informing treatment decisions such as Guardant Health or Foundation Medicine, Inc. Competition could also emerge from competitors, including GRAIL, Inc. (which was acquired by our supplier Illumina Inc. in August 2021), using alternative samples, such as blood, urine or sputum.</w:t>
      </w:r>
    </w:p>
    <w:p>
      <w:pPr>
        <w:spacing w:after="0" w:line="19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205" w:lineRule="exact"/>
        <w:rPr>
          <w:sz w:val="20"/>
          <w:szCs w:val="20"/>
          <w:color w:val="auto"/>
        </w:rPr>
      </w:pPr>
    </w:p>
    <w:p>
      <w:pPr>
        <w:jc w:val="both"/>
        <w:ind w:firstLine="375"/>
        <w:spacing w:after="0" w:line="334" w:lineRule="auto"/>
        <w:rPr>
          <w:sz w:val="20"/>
          <w:szCs w:val="20"/>
          <w:color w:val="auto"/>
        </w:rPr>
      </w:pPr>
      <w:r>
        <w:rPr>
          <w:rFonts w:ascii="Arial" w:cs="Arial" w:eastAsia="Arial" w:hAnsi="Arial"/>
          <w:sz w:val="15"/>
          <w:szCs w:val="15"/>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4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92"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firstLine="120"/>
        <w:spacing w:after="0" w:line="238" w:lineRule="auto"/>
        <w:rPr>
          <w:sz w:val="20"/>
          <w:szCs w:val="20"/>
          <w:color w:val="auto"/>
        </w:rPr>
      </w:pPr>
      <w:r>
        <w:rPr>
          <w:rFonts w:ascii="Arial" w:cs="Arial" w:eastAsia="Arial" w:hAnsi="Arial"/>
          <w:sz w:val="17"/>
          <w:szCs w:val="17"/>
          <w:b w:val="1"/>
          <w:bCs w:val="1"/>
          <w:i w:val="1"/>
          <w:iCs w:val="1"/>
          <w:color w:val="auto"/>
        </w:rPr>
        <w:t>We have experienced significant changes in our senior management team, and the loss of one or more of our executive officers, or any inability to attract and retain highly-skilled employees and other key personnel could adversely affect our business.</w:t>
      </w:r>
    </w:p>
    <w:p>
      <w:pPr>
        <w:spacing w:after="0" w:line="200"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Our success depends in part on the skills, experience and performance of key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200"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Decipher Prostate, Prosigna, Percepta, Envisia, Decipher Bladder and Immunoscore tests,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man insurance for any of our employees.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Billing for our diagnostic tests is complex, and we must dedicate substantial time and resources to the billing process to be paid.</w:t>
      </w:r>
    </w:p>
    <w:p>
      <w:pPr>
        <w:spacing w:after="0" w:line="230"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0" w:lineRule="exact"/>
        <w:rPr>
          <w:sz w:val="20"/>
          <w:szCs w:val="20"/>
          <w:color w:val="auto"/>
        </w:rPr>
      </w:pPr>
    </w:p>
    <w:p>
      <w:pPr>
        <w:ind w:left="600" w:hanging="300"/>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differences between the list price for our tests and the reimbursement rates of payers;</w:t>
      </w:r>
    </w:p>
    <w:p>
      <w:pPr>
        <w:spacing w:after="0" w:line="22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government payers, such as Medicare and Medicaid, including requirements to have an active CLIA certificate;</w:t>
      </w:r>
    </w:p>
    <w:p>
      <w:pPr>
        <w:spacing w:after="0" w:line="192" w:lineRule="exact"/>
        <w:rPr>
          <w:rFonts w:ascii="Arial" w:cs="Arial" w:eastAsia="Arial" w:hAnsi="Arial"/>
          <w:sz w:val="17"/>
          <w:szCs w:val="17"/>
          <w:color w:val="auto"/>
        </w:rPr>
      </w:pPr>
    </w:p>
    <w:p>
      <w:pPr>
        <w:ind w:left="600" w:hanging="300"/>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risk of government audits related to billing Medicare and other government payers;</w:t>
      </w:r>
    </w:p>
    <w:p>
      <w:pPr>
        <w:spacing w:after="0" w:line="229" w:lineRule="exact"/>
        <w:rPr>
          <w:rFonts w:ascii="Arial" w:cs="Arial" w:eastAsia="Arial" w:hAnsi="Arial"/>
          <w:sz w:val="17"/>
          <w:szCs w:val="17"/>
          <w:color w:val="auto"/>
        </w:rPr>
      </w:pPr>
    </w:p>
    <w:p>
      <w:pPr>
        <w:ind w:left="600" w:hanging="300"/>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29" w:lineRule="exact"/>
        <w:rPr>
          <w:rFonts w:ascii="Arial" w:cs="Arial" w:eastAsia="Arial" w:hAnsi="Arial"/>
          <w:sz w:val="17"/>
          <w:szCs w:val="17"/>
          <w:color w:val="auto"/>
        </w:rPr>
      </w:pPr>
    </w:p>
    <w:p>
      <w:pPr>
        <w:ind w:left="600" w:hanging="300"/>
        <w:spacing w:after="0"/>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differences in coverage and in information and billing requirements among payers, including the need for prior authorization and/or advanced notification;</w:t>
      </w:r>
    </w:p>
    <w:p>
      <w:pPr>
        <w:spacing w:after="0" w:line="252" w:lineRule="exact"/>
        <w:rPr>
          <w:rFonts w:ascii="Arial" w:cs="Arial" w:eastAsia="Arial" w:hAnsi="Arial"/>
          <w:sz w:val="15"/>
          <w:szCs w:val="15"/>
          <w:color w:val="auto"/>
        </w:rPr>
      </w:pPr>
    </w:p>
    <w:p>
      <w:pPr>
        <w:ind w:left="600" w:hanging="300"/>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effect of patient co-payments or co-insurance;</w:t>
      </w:r>
    </w:p>
    <w:p>
      <w:pPr>
        <w:spacing w:after="0" w:line="229" w:lineRule="exact"/>
        <w:rPr>
          <w:rFonts w:ascii="Arial" w:cs="Arial" w:eastAsia="Arial" w:hAnsi="Arial"/>
          <w:sz w:val="17"/>
          <w:szCs w:val="17"/>
          <w:color w:val="auto"/>
        </w:rPr>
      </w:pPr>
    </w:p>
    <w:p>
      <w:pPr>
        <w:ind w:left="600" w:hanging="300"/>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to billing codes used for our tests;</w:t>
      </w:r>
    </w:p>
    <w:p>
      <w:pPr>
        <w:spacing w:after="0" w:line="229" w:lineRule="exact"/>
        <w:rPr>
          <w:rFonts w:ascii="Arial" w:cs="Arial" w:eastAsia="Arial" w:hAnsi="Arial"/>
          <w:sz w:val="17"/>
          <w:szCs w:val="17"/>
          <w:color w:val="auto"/>
        </w:rPr>
      </w:pPr>
    </w:p>
    <w:p>
      <w:pPr>
        <w:ind w:left="600" w:hanging="300"/>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600" w:hanging="300"/>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30"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We use standard industry billing codes, known as CPT codes, to bill for cytopathology. Through December 31, 2020, we used the CPT code 81545 to bill for our Afirma classifier. Effective January 1, 2021, we began using the new CPT code 81546 to bill for our Afirma classifier, and code 81545 was retired. Effective October 1, 2020, we began using the CPT code 0204U to bill for Afirma Xpression Atlas, and CPT code 0208U to bill for Afirma MTC. Effective January 1, 2020, we began using CPT code 81542 to bill for Decipher Prostate Biopsy and Decipher Prostate RP tests.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 Effective January 1, 2021, we began using the new CPT code 81554 to bill for our Envisia classifier. Effective October 1, 2020, we began using CPT code 0016M to bill for our Decipher Bladder test. Effective October 1, 2021, we began using the new CPT code 0261U to bill for the Immunoscore test.</w:t>
      </w:r>
    </w:p>
    <w:p>
      <w:pPr>
        <w:spacing w:after="0" w:line="195"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77" w:lineRule="exact"/>
        <w:rPr>
          <w:sz w:val="20"/>
          <w:szCs w:val="20"/>
          <w:color w:val="auto"/>
        </w:rPr>
      </w:pPr>
    </w:p>
    <w:p>
      <w:pPr>
        <w:jc w:val="both"/>
        <w:ind w:firstLine="375"/>
        <w:spacing w:after="0" w:line="298"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69"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total revenue and cash flow.</w:t>
      </w:r>
    </w:p>
    <w:p>
      <w:pPr>
        <w:spacing w:after="0" w:line="17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4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If our internal sales force is less successful than anticipated, our business expansion plans could suffer and our ability to generate revenue could be diminished.</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addition, we have limited history selling our molecular diagnostics tests on a direct basis and our limited history makes forecasting difficult.</w:t>
      </w:r>
    </w:p>
    <w:p>
      <w:pPr>
        <w:spacing w:after="0" w:line="229" w:lineRule="exact"/>
        <w:rPr>
          <w:sz w:val="20"/>
          <w:szCs w:val="20"/>
          <w:color w:val="auto"/>
        </w:rPr>
      </w:pPr>
    </w:p>
    <w:p>
      <w:pPr>
        <w:jc w:val="both"/>
        <w:ind w:firstLine="378"/>
        <w:spacing w:after="0" w:line="251" w:lineRule="auto"/>
        <w:rPr>
          <w:sz w:val="20"/>
          <w:szCs w:val="20"/>
          <w:color w:val="auto"/>
        </w:rPr>
      </w:pPr>
      <w:r>
        <w:rPr>
          <w:rFonts w:ascii="Arial" w:cs="Arial" w:eastAsia="Arial" w:hAnsi="Arial"/>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204" w:lineRule="exact"/>
        <w:rPr>
          <w:sz w:val="20"/>
          <w:szCs w:val="20"/>
          <w:color w:val="auto"/>
        </w:rPr>
      </w:pPr>
    </w:p>
    <w:p>
      <w:pPr>
        <w:ind w:right="260" w:firstLine="120"/>
        <w:spacing w:after="0" w:line="251"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192"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5"/>
          <w:szCs w:val="15"/>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including the impact of the COVID-19 pandemic. We cannot be certain that we will meet our projected targets and if we do not meet these targets as publicly announced, the commercialization of our diagnostic solutions may be delayed or may not occur at all and, as a result, our business will suffer and our stock price may decline.</w:t>
      </w:r>
    </w:p>
    <w:p>
      <w:pPr>
        <w:spacing w:after="0" w:line="172"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We continually seek to develop enhancements to our current test offerings and additional diagnostic tests that requires us to devote considerable resources to research and development. We may face challenges obtaining sufficient numbers of samples to validate a genomic signature for a molecular diagnostic product. After launching new products, we still must complete studies that meet the clinical evidence required to obtain reimbursement. Moreover, we may experience delays in the development and introduction of new products due to the effects of the current COVID-19 pandemic.</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order to develop and commercialize diagnostic tests, we need to:</w:t>
      </w:r>
    </w:p>
    <w:p>
      <w:pPr>
        <w:spacing w:after="0" w:line="230" w:lineRule="exact"/>
        <w:rPr>
          <w:sz w:val="20"/>
          <w:szCs w:val="20"/>
          <w:color w:val="auto"/>
        </w:rPr>
      </w:pPr>
    </w:p>
    <w:p>
      <w:pPr>
        <w:ind w:left="600" w:hanging="300"/>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conduct successful analytical and clinical studies;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build the commercial, regulatory, and compliance infrastructure to market and sell new products.</w:t>
      </w:r>
    </w:p>
    <w:p>
      <w:pPr>
        <w:spacing w:after="0" w:line="230" w:lineRule="exact"/>
        <w:rPr>
          <w:sz w:val="20"/>
          <w:szCs w:val="20"/>
          <w:color w:val="auto"/>
        </w:rPr>
      </w:pPr>
    </w:p>
    <w:p>
      <w:pPr>
        <w:ind w:firstLine="375"/>
        <w:spacing w:after="0" w:line="266"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2" w:lineRule="exact"/>
        <w:rPr>
          <w:sz w:val="20"/>
          <w:szCs w:val="20"/>
          <w:color w:val="auto"/>
        </w:rPr>
      </w:pPr>
    </w:p>
    <w:p>
      <w:pPr>
        <w:ind w:left="600" w:hanging="300"/>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secure sufficient numbers of samples at an acceptable cost and on an acceptable timeframe to conduct analytical and clinical studies; or</w:t>
      </w:r>
    </w:p>
    <w:p>
      <w:pPr>
        <w:spacing w:after="0" w:line="66" w:lineRule="exact"/>
        <w:rPr>
          <w:rFonts w:ascii="Arial" w:cs="Arial" w:eastAsia="Arial" w:hAnsi="Arial"/>
          <w:sz w:val="16"/>
          <w:szCs w:val="16"/>
          <w:color w:val="auto"/>
        </w:rPr>
      </w:pPr>
    </w:p>
    <w:p>
      <w:pPr>
        <w:ind w:left="600" w:hanging="300"/>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30"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209"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92"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92" w:lineRule="exact"/>
        <w:rPr>
          <w:sz w:val="20"/>
          <w:szCs w:val="20"/>
          <w:color w:val="auto"/>
        </w:rPr>
      </w:pPr>
    </w:p>
    <w:p>
      <w:pPr>
        <w:jc w:val="both"/>
        <w:ind w:firstLine="120"/>
        <w:spacing w:after="0" w:line="256" w:lineRule="auto"/>
        <w:rPr>
          <w:sz w:val="20"/>
          <w:szCs w:val="20"/>
          <w:color w:val="auto"/>
        </w:rPr>
      </w:pPr>
      <w:r>
        <w:rPr>
          <w:rFonts w:ascii="Arial" w:cs="Arial" w:eastAsia="Arial" w:hAnsi="Arial"/>
          <w:sz w:val="17"/>
          <w:szCs w:val="17"/>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200"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209"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83"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9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Our operations are subject to other extensive federal, state, local, and foreign laws and regulations, all of which are subject to change. These laws and regulations currently include, among others:</w:t>
      </w:r>
    </w:p>
    <w:p>
      <w:pPr>
        <w:spacing w:after="0" w:line="192" w:lineRule="exact"/>
        <w:rPr>
          <w:sz w:val="20"/>
          <w:szCs w:val="20"/>
          <w:color w:val="auto"/>
        </w:rPr>
      </w:pPr>
    </w:p>
    <w:p>
      <w:pPr>
        <w:jc w:val="both"/>
        <w:ind w:left="600" w:hanging="300"/>
        <w:spacing w:after="0" w:line="251"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03" w:lineRule="exact"/>
        <w:rPr>
          <w:rFonts w:ascii="Arial" w:cs="Arial" w:eastAsia="Arial" w:hAnsi="Arial"/>
          <w:sz w:val="17"/>
          <w:szCs w:val="17"/>
          <w:color w:val="auto"/>
        </w:rPr>
      </w:pPr>
    </w:p>
    <w:p>
      <w:pPr>
        <w:ind w:left="600" w:hanging="300"/>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 including requirements to have an active CLIA certificate;</w:t>
      </w:r>
    </w:p>
    <w:p>
      <w:pPr>
        <w:spacing w:after="0" w:line="229" w:lineRule="exact"/>
        <w:rPr>
          <w:rFonts w:ascii="Arial" w:cs="Arial" w:eastAsia="Arial" w:hAnsi="Arial"/>
          <w:sz w:val="17"/>
          <w:szCs w:val="17"/>
          <w:color w:val="auto"/>
        </w:rPr>
      </w:pPr>
    </w:p>
    <w:p>
      <w:pPr>
        <w:jc w:val="both"/>
        <w:ind w:left="600" w:hanging="300"/>
        <w:spacing w:after="0" w:line="256"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0" w:lineRule="exact"/>
        <w:rPr>
          <w:rFonts w:ascii="Arial" w:cs="Arial" w:eastAsia="Arial" w:hAnsi="Arial"/>
          <w:sz w:val="17"/>
          <w:szCs w:val="17"/>
          <w:color w:val="auto"/>
        </w:rPr>
      </w:pPr>
    </w:p>
    <w:p>
      <w:pPr>
        <w:ind w:left="600" w:hanging="300"/>
        <w:spacing w:after="0" w:line="334" w:lineRule="auto"/>
        <w:tabs>
          <w:tab w:leader="none" w:pos="596"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45" w:lineRule="exact"/>
        <w:rPr>
          <w:rFonts w:ascii="Arial" w:cs="Arial" w:eastAsia="Arial" w:hAnsi="Arial"/>
          <w:sz w:val="15"/>
          <w:szCs w:val="15"/>
          <w:color w:val="auto"/>
        </w:rPr>
      </w:pPr>
    </w:p>
    <w:p>
      <w:pPr>
        <w:jc w:val="both"/>
        <w:ind w:left="600" w:hanging="300"/>
        <w:spacing w:after="0" w:line="306" w:lineRule="auto"/>
        <w:tabs>
          <w:tab w:leader="none" w:pos="596"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66" w:lineRule="exact"/>
        <w:rPr>
          <w:rFonts w:ascii="Arial" w:cs="Arial" w:eastAsia="Arial" w:hAnsi="Arial"/>
          <w:sz w:val="15"/>
          <w:szCs w:val="15"/>
          <w:color w:val="auto"/>
        </w:rPr>
      </w:pPr>
    </w:p>
    <w:p>
      <w:pPr>
        <w:ind w:left="600" w:hanging="300"/>
        <w:spacing w:after="0" w:line="266"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600"/>
        <w:spacing w:after="0" w:line="266" w:lineRule="auto"/>
        <w:rPr>
          <w:sz w:val="20"/>
          <w:szCs w:val="20"/>
          <w:color w:val="auto"/>
        </w:rPr>
      </w:pPr>
      <w:r>
        <w:rPr>
          <w:rFonts w:ascii="Arial" w:cs="Arial" w:eastAsia="Arial" w:hAnsi="Arial"/>
          <w:sz w:val="17"/>
          <w:szCs w:val="17"/>
          <w:color w:val="auto"/>
        </w:rPr>
        <w:t>influence the beneficiary’s selection of a particular provider, practitioner, or supplier of services reimbursable by Medicare or a state health-care program, unless an exception applies;</w:t>
      </w:r>
    </w:p>
    <w:p>
      <w:pPr>
        <w:spacing w:after="0" w:line="192" w:lineRule="exact"/>
        <w:rPr>
          <w:sz w:val="20"/>
          <w:szCs w:val="20"/>
          <w:color w:val="auto"/>
        </w:rPr>
      </w:pPr>
    </w:p>
    <w:p>
      <w:pPr>
        <w:ind w:left="600" w:hanging="300"/>
        <w:spacing w:after="0" w:line="266"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Federal False Claims Act, which imposes liability on any person or entity who knowingly presents, or causes to be presented, a false, fictitious, or fraudulent claim for payment to the federal government;</w:t>
      </w:r>
    </w:p>
    <w:p>
      <w:pPr>
        <w:spacing w:after="0" w:line="192" w:lineRule="exact"/>
        <w:rPr>
          <w:rFonts w:ascii="Arial" w:cs="Arial" w:eastAsia="Arial" w:hAnsi="Arial"/>
          <w:sz w:val="17"/>
          <w:szCs w:val="17"/>
          <w:color w:val="auto"/>
        </w:rPr>
      </w:pPr>
    </w:p>
    <w:p>
      <w:pPr>
        <w:jc w:val="both"/>
        <w:ind w:left="600" w:hanging="300"/>
        <w:spacing w:after="0" w:line="252"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spacing w:after="0" w:line="204" w:lineRule="exact"/>
        <w:rPr>
          <w:rFonts w:ascii="Arial" w:cs="Arial" w:eastAsia="Arial" w:hAnsi="Arial"/>
          <w:sz w:val="17"/>
          <w:szCs w:val="17"/>
          <w:color w:val="auto"/>
        </w:rPr>
      </w:pPr>
    </w:p>
    <w:p>
      <w:pPr>
        <w:jc w:val="both"/>
        <w:ind w:left="600" w:hanging="300"/>
        <w:spacing w:after="0" w:line="256"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0" w:lineRule="exact"/>
        <w:rPr>
          <w:rFonts w:ascii="Arial" w:cs="Arial" w:eastAsia="Arial" w:hAnsi="Arial"/>
          <w:sz w:val="17"/>
          <w:szCs w:val="17"/>
          <w:color w:val="auto"/>
        </w:rPr>
      </w:pPr>
    </w:p>
    <w:p>
      <w:pPr>
        <w:ind w:left="600" w:hanging="300"/>
        <w:spacing w:after="0"/>
        <w:tabs>
          <w:tab w:leader="none" w:pos="6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prohibition on reassignment of Medicare claims, which, subject to certain exceptions, precludes the reassignment of Medicare claims to any other party;</w:t>
      </w:r>
    </w:p>
    <w:p>
      <w:pPr>
        <w:spacing w:after="0" w:line="252" w:lineRule="exact"/>
        <w:rPr>
          <w:rFonts w:ascii="Arial" w:cs="Arial" w:eastAsia="Arial" w:hAnsi="Arial"/>
          <w:sz w:val="15"/>
          <w:szCs w:val="15"/>
          <w:color w:val="auto"/>
        </w:rPr>
      </w:pPr>
    </w:p>
    <w:p>
      <w:pPr>
        <w:ind w:left="600" w:hanging="300"/>
        <w:spacing w:after="0" w:line="266"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2" w:lineRule="exact"/>
        <w:rPr>
          <w:rFonts w:ascii="Arial" w:cs="Arial" w:eastAsia="Arial" w:hAnsi="Arial"/>
          <w:sz w:val="17"/>
          <w:szCs w:val="17"/>
          <w:color w:val="auto"/>
        </w:rPr>
      </w:pPr>
    </w:p>
    <w:p>
      <w:pPr>
        <w:jc w:val="both"/>
        <w:ind w:left="600" w:hanging="300"/>
        <w:spacing w:after="0" w:line="256"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200" w:lineRule="exact"/>
        <w:rPr>
          <w:rFonts w:ascii="Arial" w:cs="Arial" w:eastAsia="Arial" w:hAnsi="Arial"/>
          <w:sz w:val="17"/>
          <w:szCs w:val="17"/>
          <w:color w:val="auto"/>
        </w:rPr>
      </w:pPr>
    </w:p>
    <w:p>
      <w:pPr>
        <w:jc w:val="both"/>
        <w:ind w:left="600" w:hanging="300"/>
        <w:spacing w:after="0" w:line="256"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0" w:lineRule="exact"/>
        <w:rPr>
          <w:rFonts w:ascii="Arial" w:cs="Arial" w:eastAsia="Arial" w:hAnsi="Arial"/>
          <w:sz w:val="17"/>
          <w:szCs w:val="17"/>
          <w:color w:val="auto"/>
        </w:rPr>
      </w:pPr>
    </w:p>
    <w:p>
      <w:pPr>
        <w:ind w:left="600" w:hanging="300"/>
        <w:spacing w:after="0" w:line="334" w:lineRule="auto"/>
        <w:tabs>
          <w:tab w:leader="none" w:pos="596" w:val="left"/>
        </w:tabs>
        <w:numPr>
          <w:ilvl w:val="0"/>
          <w:numId w:val="25"/>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45" w:lineRule="exact"/>
        <w:rPr>
          <w:rFonts w:ascii="Arial" w:cs="Arial" w:eastAsia="Arial" w:hAnsi="Arial"/>
          <w:sz w:val="15"/>
          <w:szCs w:val="15"/>
          <w:color w:val="auto"/>
        </w:rPr>
      </w:pPr>
    </w:p>
    <w:p>
      <w:pPr>
        <w:ind w:left="600" w:hanging="300"/>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Foreign Corrupt Practices Act of 1977, and other similar laws, which apply to our international activities;</w:t>
      </w:r>
    </w:p>
    <w:p>
      <w:pPr>
        <w:spacing w:after="0" w:line="22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unclaimed property (escheat) laws and regulations, which may require us to turn over to governmental authorities the property of others held by us that has been unclaimed for a specified period of time;</w:t>
      </w:r>
    </w:p>
    <w:p>
      <w:pPr>
        <w:spacing w:after="0" w:line="192" w:lineRule="exact"/>
        <w:rPr>
          <w:rFonts w:ascii="Arial" w:cs="Arial" w:eastAsia="Arial" w:hAnsi="Arial"/>
          <w:sz w:val="17"/>
          <w:szCs w:val="17"/>
          <w:color w:val="auto"/>
        </w:rPr>
      </w:pPr>
    </w:p>
    <w:p>
      <w:pPr>
        <w:ind w:left="600" w:hanging="300"/>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enforcing our intellectual property rights; and</w:t>
      </w:r>
    </w:p>
    <w:p>
      <w:pPr>
        <w:spacing w:after="0" w:line="229" w:lineRule="exact"/>
        <w:rPr>
          <w:rFonts w:ascii="Arial" w:cs="Arial" w:eastAsia="Arial" w:hAnsi="Arial"/>
          <w:sz w:val="17"/>
          <w:szCs w:val="17"/>
          <w:color w:val="auto"/>
        </w:rPr>
      </w:pPr>
    </w:p>
    <w:p>
      <w:pPr>
        <w:ind w:left="600" w:hanging="300"/>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foreign laws and regulations equivalent to the above.</w:t>
      </w:r>
    </w:p>
    <w:p>
      <w:pPr>
        <w:spacing w:after="0" w:line="230"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04"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189"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30"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7"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9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Doing business internationally involves a number of risks, including:</w:t>
      </w:r>
    </w:p>
    <w:p>
      <w:pPr>
        <w:spacing w:after="0" w:line="205" w:lineRule="exact"/>
        <w:rPr>
          <w:sz w:val="20"/>
          <w:szCs w:val="20"/>
          <w:color w:val="auto"/>
        </w:rPr>
      </w:pPr>
    </w:p>
    <w:p>
      <w:pPr>
        <w:ind w:left="600" w:hanging="300"/>
        <w:spacing w:after="0" w:line="266"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92" w:lineRule="exact"/>
        <w:rPr>
          <w:rFonts w:ascii="Arial" w:cs="Arial" w:eastAsia="Arial" w:hAnsi="Arial"/>
          <w:sz w:val="17"/>
          <w:szCs w:val="17"/>
          <w:color w:val="auto"/>
        </w:rPr>
      </w:pPr>
    </w:p>
    <w:p>
      <w:pPr>
        <w:ind w:left="600" w:hanging="300"/>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by us to obtain regulatory approvals or certifications where required for the use of our solutions in various countries;</w:t>
      </w:r>
    </w:p>
    <w:p>
      <w:pPr>
        <w:spacing w:after="0" w:line="229" w:lineRule="exact"/>
        <w:rPr>
          <w:rFonts w:ascii="Arial" w:cs="Arial" w:eastAsia="Arial" w:hAnsi="Arial"/>
          <w:sz w:val="17"/>
          <w:szCs w:val="17"/>
          <w:color w:val="auto"/>
        </w:rPr>
      </w:pPr>
    </w:p>
    <w:p>
      <w:pPr>
        <w:ind w:left="600" w:hanging="300"/>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29" w:lineRule="exact"/>
        <w:rPr>
          <w:rFonts w:ascii="Arial" w:cs="Arial" w:eastAsia="Arial" w:hAnsi="Arial"/>
          <w:sz w:val="17"/>
          <w:szCs w:val="17"/>
          <w:color w:val="auto"/>
        </w:rPr>
      </w:pPr>
    </w:p>
    <w:p>
      <w:pPr>
        <w:ind w:left="600" w:hanging="300"/>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2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challenges associated with establishing laboratory partners, including proper sample collection techniques, management of supplies, sample logistics, billing and promotional activities;</w:t>
      </w:r>
    </w:p>
    <w:p>
      <w:pPr>
        <w:spacing w:after="0" w:line="192" w:lineRule="exact"/>
        <w:rPr>
          <w:rFonts w:ascii="Arial" w:cs="Arial" w:eastAsia="Arial" w:hAnsi="Arial"/>
          <w:sz w:val="17"/>
          <w:szCs w:val="17"/>
          <w:color w:val="auto"/>
        </w:rPr>
      </w:pPr>
    </w:p>
    <w:p>
      <w:pPr>
        <w:ind w:left="600" w:hanging="300"/>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2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in collecting from payers, the effect of local and regional financial crises, and exposure to foreign currency exchange rate fluctuations;</w:t>
      </w:r>
    </w:p>
    <w:p>
      <w:pPr>
        <w:spacing w:after="0" w:line="192"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including COVID-19, boycotts, curtailment of trade and other business restrictions (including as a result of the conflict in Ukraine); and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600" w:hanging="300"/>
        <w:spacing w:after="0" w:line="266" w:lineRule="auto"/>
        <w:tabs>
          <w:tab w:leader="none" w:pos="5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operating results may be adversely affected by unfavorable economic and market conditions.</w:t>
      </w:r>
    </w:p>
    <w:p>
      <w:pPr>
        <w:spacing w:after="0" w:line="230"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Our business or financial results may be adversely impacted by uncertain economic conditions, including: the impact of the COVID-19 pandemic, adverse changes in interest rates, foreign currency exchange rates, tax laws or tax rates; inflation;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U.S. and those in Europe, have experienced and continue to experience uncertain economic conditions, including increased inflation rates, resulting from global as well as local factors. For example, on June 23, 2016, the UK, held a referendum pursuant to which voters elected to leave the EU, commonly referred to as Brexit. The UK formally left the EU on January 31, 2020 and began a transition period that ended on December 31, 2020. Although the impact of Brexit is evolving, and the UK is in the process of negotiating trade deals with other countries, Brexit has created additional uncertainties that may ultimately result in new regulatory costs and challenges for companies and increased restrictions on imports and exports throughout Europe, which could adversely affect our ability to conduct and expand our operations in Europe and which may have an adverse effect on our business, financial condition and results of operations. Additionally, Brexit may increase the possibility that other countries may decide to leave the European Union in the future.</w:t>
      </w:r>
    </w:p>
    <w:p>
      <w:pPr>
        <w:spacing w:after="0" w:line="20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as result of a global pandemic such as the COVID-19 pandemic or otherwise,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94"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92"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180"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right="160" w:firstLine="120"/>
        <w:spacing w:after="0" w:line="266" w:lineRule="auto"/>
        <w:rPr>
          <w:sz w:val="20"/>
          <w:szCs w:val="20"/>
          <w:color w:val="auto"/>
        </w:rPr>
      </w:pPr>
      <w:r>
        <w:rPr>
          <w:rFonts w:ascii="Arial" w:cs="Arial" w:eastAsia="Arial" w:hAnsi="Arial"/>
          <w:sz w:val="17"/>
          <w:szCs w:val="17"/>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192" w:lineRule="exact"/>
        <w:rPr>
          <w:sz w:val="20"/>
          <w:szCs w:val="20"/>
          <w:color w:val="auto"/>
        </w:rPr>
      </w:pPr>
    </w:p>
    <w:p>
      <w:pPr>
        <w:jc w:val="both"/>
        <w:ind w:firstLine="375"/>
        <w:spacing w:after="0" w:line="281" w:lineRule="auto"/>
        <w:rPr>
          <w:sz w:val="20"/>
          <w:szCs w:val="20"/>
          <w:color w:val="auto"/>
        </w:rPr>
      </w:pPr>
      <w:r>
        <w:rPr>
          <w:rFonts w:ascii="Arial" w:cs="Arial" w:eastAsia="Arial" w:hAnsi="Arial"/>
          <w:sz w:val="15"/>
          <w:szCs w:val="15"/>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Percepta, Envisia, Decipher Bladder and Immunoscore tests, as well as tests we may develop or acquire in the future.</w:t>
      </w:r>
    </w:p>
    <w:p>
      <w:pPr>
        <w:spacing w:after="0" w:line="193"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spacing w:after="0" w:line="194"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Our business is subject to the risk of disruptions caused by pandemics, political events, war, terrorism, earthquakes, fire, power outages, floods, and other catastrophic events.</w:t>
      </w:r>
    </w:p>
    <w:p>
      <w:pPr>
        <w:spacing w:after="0" w:line="192"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War, terrorism, geopolitical uncertainties, including any developments or consequences of the conflict in Ukraine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spacing w:after="0" w:line="189"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If a catastrophe strikes any of our laboratories or if any of our laboratories becomes inoperable for any other reason, we will be unable to perform our testing services and our business will be harmed.</w:t>
      </w:r>
    </w:p>
    <w:p>
      <w:pPr>
        <w:spacing w:after="0" w:line="19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We perform all of the Afirma, Percepta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laboratory in Richmond, Virginia performs our Immunoscore test.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property and the disruption of our business, this insurance may not be sufficient to cover all of our potential losses and may not continue to be available to us on acceptable terms, if at all.</w:t>
      </w:r>
    </w:p>
    <w:p>
      <w:pPr>
        <w:spacing w:after="0" w:line="192"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92"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5"/>
          <w:szCs w:val="15"/>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83" w:lineRule="exact"/>
        <w:rPr>
          <w:sz w:val="20"/>
          <w:szCs w:val="20"/>
          <w:color w:val="auto"/>
        </w:rPr>
      </w:pPr>
    </w:p>
    <w:p>
      <w:pPr>
        <w:jc w:val="both"/>
        <w:ind w:firstLine="120"/>
        <w:spacing w:after="0" w:line="375" w:lineRule="auto"/>
        <w:rPr>
          <w:sz w:val="20"/>
          <w:szCs w:val="20"/>
          <w:color w:val="auto"/>
        </w:rPr>
      </w:pPr>
      <w:r>
        <w:rPr>
          <w:rFonts w:ascii="Arial" w:cs="Arial" w:eastAsia="Arial" w:hAnsi="Arial"/>
          <w:sz w:val="14"/>
          <w:szCs w:val="14"/>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12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cloud-based systems during the COVID-19 pandemic,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195"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July 20, 2021. We cannot predict when the PHE declaration will be lifted.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186"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Risks associated with data privacy issues, including evolving laws, regulations and associated compliance efforts, may adversely impact our business and financial results.</w:t>
      </w:r>
    </w:p>
    <w:p>
      <w:pPr>
        <w:spacing w:after="0" w:line="192"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84"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5"/>
          <w:szCs w:val="15"/>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the United States and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w:t>
      </w:r>
    </w:p>
    <w:p>
      <w:pPr>
        <w:spacing w:after="0" w:line="18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must be migrated to the revised SCCs by December 27, 2022. We must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195"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Following the United Kingdom’s withdrawal from the EEA and the EU, and the expiry of the transition period, companies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color w:val="auto"/>
        </w:rPr>
        <w:t>transfers to and from the United Kingdom will be regulated in the long term. These developments may lead to additional costs and increase our overall risk exposure.</w:t>
      </w:r>
    </w:p>
    <w:p>
      <w:pPr>
        <w:spacing w:after="0" w:line="253"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180"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is expected to increase data breach litigation. The CCPA and CPRA may increase our compliance costs and potential liability. Following the lead of California, three other states, Colorado, Utah, and Virginia have each enacted laws similar to the CCPA/CPRA and other states, such as New York, Virginia, Washington, Illinois, and Nebraska, are considering enacting privacy laws as well. The multiple layers of privacy law within the United States could increase our potential liability, increase our compliance costs, and adversely affect our business.</w:t>
      </w:r>
    </w:p>
    <w:p>
      <w:pPr>
        <w:spacing w:after="0" w:line="182" w:lineRule="exact"/>
        <w:rPr>
          <w:sz w:val="20"/>
          <w:szCs w:val="20"/>
          <w:color w:val="auto"/>
        </w:rPr>
      </w:pPr>
    </w:p>
    <w:p>
      <w:pPr>
        <w:jc w:val="both"/>
        <w:ind w:firstLine="375"/>
        <w:spacing w:after="0" w:line="203" w:lineRule="exact"/>
        <w:rPr>
          <w:sz w:val="20"/>
          <w:szCs w:val="20"/>
          <w:color w:val="auto"/>
        </w:rPr>
      </w:pPr>
      <w:r>
        <w:rPr>
          <w:rFonts w:ascii="Arial" w:cs="Arial" w:eastAsia="Arial" w:hAnsi="Arial"/>
          <w:sz w:val="16"/>
          <w:szCs w:val="16"/>
          <w:color w:val="auto"/>
        </w:rPr>
        <w:t>Other countries outside of the United States and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and effective November 1, 2021 was China’s Personal Information Protection Law (</w:t>
      </w:r>
      <w:r>
        <w:rPr>
          <w:rFonts w:ascii="SimSun" w:cs="SimSun" w:eastAsia="SimSun" w:hAnsi="SimSun"/>
          <w:sz w:val="16"/>
          <w:szCs w:val="16"/>
          <w:color w:val="auto"/>
        </w:rPr>
        <w:t>个人信息保护法</w:t>
      </w:r>
      <w:r>
        <w:rPr>
          <w:rFonts w:ascii="Arial" w:cs="Arial" w:eastAsia="Arial" w:hAnsi="Arial"/>
          <w:sz w:val="16"/>
          <w:szCs w:val="16"/>
          <w:color w:val="auto"/>
        </w:rPr>
        <w:t>, PIPL), both of which broadly regulate the processing of personal information and impose compliance obligations and penalties comparable to those of the GDPR.</w:t>
      </w:r>
    </w:p>
    <w:p>
      <w:pPr>
        <w:spacing w:after="0" w:line="215"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0"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30"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methods used in thyroid diagnostics, urological diagnostics, breast cancer diagnostics, lung diagnostics, colorectal cancer diagnostics and the nCounter Analysis System.</w:t>
      </w:r>
    </w:p>
    <w:p>
      <w:pPr>
        <w:spacing w:after="0" w:line="205"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0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5"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0"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72"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0"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7"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200"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harm our business. Even if we are successful in defending against these claims, litigation could result in substantial costs and be a distraction to management.</w:t>
      </w:r>
    </w:p>
    <w:p>
      <w:pPr>
        <w:spacing w:after="0" w:line="241"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5"/>
          <w:szCs w:val="15"/>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72"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183"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4"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9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5"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could experience significant costs and management distraction.</w:t>
      </w:r>
    </w:p>
    <w:p>
      <w:pPr>
        <w:spacing w:after="0" w:line="209"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207"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19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5"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may be limited and may result in increased future tax liability to us.</w:t>
      </w:r>
    </w:p>
    <w:p>
      <w:pPr>
        <w:spacing w:after="0" w:line="230"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6"/>
          <w:szCs w:val="16"/>
          <w:color w:val="auto"/>
        </w:rPr>
        <w:t>We have incurred net losses since our inception and may never achieve profitability. As of December 31, 2021, we had net operating loss, or NOL, carryforwards of approximately $437.1 million, $87.6 million and $133.1 million available to reduce future taxable income, if any, for federal, California and other state income tax purposes, respectively. The U.S. federal NOL carryforwards will begin to expire in 2026 while for state purposes, the NOL carryforwards begin to expire in 2022. In addition, as of December 31, 2021, we had foreign net operating loss carryforwards of approximately $74.7 million and $31.3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99"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83"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 by the CARES Act. The impact of the Tax Act, as modified by the CARES Act, on holders of our common stock is also uncertain and could be adverse.</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Impairment in the value of our goodwill or other intangible assets could have a material adverse effect on our operating results and financial condition.</w:t>
      </w:r>
    </w:p>
    <w:p>
      <w:pPr>
        <w:spacing w:after="0" w:line="253"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effective tax rate may fluctuate and we may incur obligations in tax jurisdictions in excess of amounts that have been accrued.</w:t>
      </w:r>
    </w:p>
    <w:p>
      <w:pPr>
        <w:spacing w:after="0" w:line="217"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6"/>
          <w:szCs w:val="16"/>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Changes in financial accounting standards or practices may cause adverse, unexpected financial reporting fluctuations and affect our reported operating results.</w:t>
      </w:r>
    </w:p>
    <w:p>
      <w:pPr>
        <w:spacing w:after="0" w:line="252"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4" w:lineRule="exact"/>
        <w:rPr>
          <w:sz w:val="20"/>
          <w:szCs w:val="20"/>
          <w:color w:val="auto"/>
        </w:rPr>
      </w:pPr>
    </w:p>
    <w:p>
      <w:pPr>
        <w:jc w:val="both"/>
        <w:ind w:firstLine="120"/>
        <w:spacing w:after="0" w:line="251" w:lineRule="auto"/>
        <w:rPr>
          <w:sz w:val="20"/>
          <w:szCs w:val="20"/>
          <w:color w:val="auto"/>
        </w:rPr>
      </w:pPr>
      <w:r>
        <w:rPr>
          <w:rFonts w:ascii="Arial" w:cs="Arial" w:eastAsia="Arial" w:hAnsi="Arial"/>
          <w:sz w:val="17"/>
          <w:szCs w:val="17"/>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192"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our Recent Acquisitions</w:t>
      </w:r>
    </w:p>
    <w:p>
      <w:pPr>
        <w:spacing w:after="0" w:line="234"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b w:val="1"/>
          <w:bCs w:val="1"/>
          <w:i w:val="1"/>
          <w:iCs w:val="1"/>
          <w:color w:val="auto"/>
        </w:rPr>
        <w:t>The recently completed acquisitions of HalioDx and Decipher Biosciences each present risks and we must successfully integrate the HalioDx and Decipher Biosciences businesses to realize the financial goals that we currently anticipate.</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Risks we face in connection with the recently completed acquisition and ongoing integration of HalioDx and Decipher Biosciences include:</w:t>
      </w:r>
    </w:p>
    <w:p>
      <w:pPr>
        <w:spacing w:after="0" w:line="155" w:lineRule="exact"/>
        <w:rPr>
          <w:sz w:val="20"/>
          <w:szCs w:val="20"/>
          <w:color w:val="auto"/>
        </w:rPr>
      </w:pPr>
    </w:p>
    <w:p>
      <w:pPr>
        <w:ind w:left="600" w:hanging="300"/>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not realize the benefits we expect to receive from these transactions, such as anticipated synergies;</w:t>
      </w:r>
    </w:p>
    <w:p>
      <w:pPr>
        <w:spacing w:after="0" w:line="154" w:lineRule="exact"/>
        <w:rPr>
          <w:rFonts w:ascii="Arial" w:cs="Arial" w:eastAsia="Arial" w:hAnsi="Arial"/>
          <w:sz w:val="17"/>
          <w:szCs w:val="17"/>
          <w:color w:val="auto"/>
        </w:rPr>
      </w:pPr>
    </w:p>
    <w:p>
      <w:pPr>
        <w:ind w:left="600" w:hanging="300"/>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have difficulties managing acquired products and tests or retaining key personnel from the acquired businesses;</w:t>
      </w:r>
    </w:p>
    <w:p>
      <w:pPr>
        <w:spacing w:after="0" w:line="154" w:lineRule="exact"/>
        <w:rPr>
          <w:rFonts w:ascii="Arial" w:cs="Arial" w:eastAsia="Arial" w:hAnsi="Arial"/>
          <w:sz w:val="17"/>
          <w:szCs w:val="17"/>
          <w:color w:val="auto"/>
        </w:rPr>
      </w:pPr>
    </w:p>
    <w:p>
      <w:pPr>
        <w:jc w:val="both"/>
        <w:ind w:left="600" w:hanging="300"/>
        <w:spacing w:after="0" w:line="306" w:lineRule="auto"/>
        <w:tabs>
          <w:tab w:leader="none" w:pos="596"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90" w:lineRule="exact"/>
        <w:rPr>
          <w:rFonts w:ascii="Arial" w:cs="Arial" w:eastAsia="Arial" w:hAnsi="Arial"/>
          <w:sz w:val="15"/>
          <w:szCs w:val="15"/>
          <w:color w:val="auto"/>
        </w:rPr>
      </w:pPr>
    </w:p>
    <w:p>
      <w:pPr>
        <w:jc w:val="both"/>
        <w:ind w:left="600" w:hanging="300"/>
        <w:spacing w:after="0" w:line="256" w:lineRule="auto"/>
        <w:tabs>
          <w:tab w:leader="none" w:pos="5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Decipher Biosciences Merger Agreement does not provide for post-closing indemnification protection related to pre-closing Decipher Biosciences operations and, therefore, we may incur unforeseen costs as a result of Decipher Biosciences’ pre-closing activities, over which we have limited control, including Decipher Biosciences’ breach of the covenants contained in the Merger Agreement;</w:t>
      </w:r>
    </w:p>
    <w:p>
      <w:pPr>
        <w:spacing w:after="0" w:line="125" w:lineRule="exact"/>
        <w:rPr>
          <w:rFonts w:ascii="Arial" w:cs="Arial" w:eastAsia="Arial" w:hAnsi="Arial"/>
          <w:sz w:val="17"/>
          <w:szCs w:val="17"/>
          <w:color w:val="auto"/>
        </w:rPr>
      </w:pPr>
    </w:p>
    <w:p>
      <w:pPr>
        <w:jc w:val="both"/>
        <w:ind w:left="600" w:hanging="300"/>
        <w:spacing w:after="0" w:line="251" w:lineRule="auto"/>
        <w:tabs>
          <w:tab w:leader="none" w:pos="5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28" w:lineRule="exact"/>
        <w:rPr>
          <w:rFonts w:ascii="Arial" w:cs="Arial" w:eastAsia="Arial" w:hAnsi="Arial"/>
          <w:sz w:val="17"/>
          <w:szCs w:val="17"/>
          <w:color w:val="auto"/>
        </w:rPr>
      </w:pPr>
    </w:p>
    <w:p>
      <w:pPr>
        <w:jc w:val="both"/>
        <w:ind w:left="600" w:hanging="300"/>
        <w:spacing w:after="0" w:line="273"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Neither HalioDx nor Decipher Biosciences was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HalioDx's or Decipher Biosciences' respective financial and disclosure controls and procedures;</w:t>
      </w:r>
    </w:p>
    <w:p>
      <w:pPr>
        <w:spacing w:after="0" w:line="113" w:lineRule="exact"/>
        <w:rPr>
          <w:rFonts w:ascii="Arial" w:cs="Arial" w:eastAsia="Arial" w:hAnsi="Arial"/>
          <w:sz w:val="16"/>
          <w:szCs w:val="16"/>
          <w:color w:val="auto"/>
        </w:rPr>
      </w:pPr>
    </w:p>
    <w:p>
      <w:pPr>
        <w:ind w:left="600" w:hanging="300"/>
        <w:spacing w:after="0" w:line="266" w:lineRule="auto"/>
        <w:tabs>
          <w:tab w:leader="none" w:pos="5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experience a failure of development activities on behalf of a HalioDx customer where HalioDx bears development risk resulting in a refund of development fees;</w:t>
      </w:r>
    </w:p>
    <w:p>
      <w:pPr>
        <w:spacing w:after="0" w:line="117" w:lineRule="exact"/>
        <w:rPr>
          <w:rFonts w:ascii="Arial" w:cs="Arial" w:eastAsia="Arial" w:hAnsi="Arial"/>
          <w:sz w:val="17"/>
          <w:szCs w:val="17"/>
          <w:color w:val="auto"/>
        </w:rPr>
      </w:pPr>
    </w:p>
    <w:p>
      <w:pPr>
        <w:ind w:left="600" w:hanging="300"/>
        <w:spacing w:after="0" w:line="298"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fail to transition manufacturing of the test kits for the nCounter, currently produced by NanoString, to HalioDx’s manufacturing facility in Marseille, France in a timely manner or at all, or we may experience manufacturing irregularities or challenges in connection with the transition;</w:t>
      </w:r>
    </w:p>
    <w:p>
      <w:pPr>
        <w:spacing w:after="0" w:line="93" w:lineRule="exact"/>
        <w:rPr>
          <w:rFonts w:ascii="Arial" w:cs="Arial" w:eastAsia="Arial" w:hAnsi="Arial"/>
          <w:sz w:val="16"/>
          <w:szCs w:val="16"/>
          <w:color w:val="auto"/>
        </w:rPr>
      </w:pPr>
    </w:p>
    <w:p>
      <w:pPr>
        <w:ind w:left="600" w:hanging="300"/>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not realize the anticipated accretion to our gross margins as a result of transitioning manufacturing of test kits to HalioDx;</w:t>
      </w:r>
    </w:p>
    <w:p>
      <w:pPr>
        <w:spacing w:after="0" w:line="154" w:lineRule="exact"/>
        <w:rPr>
          <w:rFonts w:ascii="Arial" w:cs="Arial" w:eastAsia="Arial" w:hAnsi="Arial"/>
          <w:sz w:val="17"/>
          <w:szCs w:val="17"/>
          <w:color w:val="auto"/>
        </w:rPr>
      </w:pPr>
    </w:p>
    <w:p>
      <w:pPr>
        <w:ind w:left="600" w:hanging="300"/>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experience disagreements with the employee French work council;</w:t>
      </w:r>
    </w:p>
    <w:p>
      <w:pPr>
        <w:spacing w:after="0" w:line="154" w:lineRule="exact"/>
        <w:rPr>
          <w:rFonts w:ascii="Arial" w:cs="Arial" w:eastAsia="Arial" w:hAnsi="Arial"/>
          <w:sz w:val="17"/>
          <w:szCs w:val="17"/>
          <w:color w:val="auto"/>
        </w:rPr>
      </w:pPr>
    </w:p>
    <w:p>
      <w:pPr>
        <w:ind w:left="600" w:hanging="300"/>
        <w:spacing w:after="0" w:line="298"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Decipher Biosciences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00" w:hanging="300"/>
        <w:spacing w:after="0" w:line="256" w:lineRule="auto"/>
        <w:tabs>
          <w:tab w:leader="none" w:pos="596"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have failed to identify or assess the magnitude of certain liabilities, shortcomings or other circumstances prior to acquiring either of the acquired businesses, which could result in unexpected litigation or regulatory exposure, unfavorable accounting treatment, a diversion of management’s attention and resources, and other adverse effects on our business, financial condition, and operating results.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Doing business internationally at the scale of HalioDx creates operational risk for our business.</w:t>
      </w:r>
    </w:p>
    <w:p>
      <w:pPr>
        <w:spacing w:after="0" w:line="217"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Conducting and launching operations on an international scale requires close coordination of activities across multiple jurisdictions and consumes significant management resources. If we fail to coordinate and manage these activities effectively for any reason, including the risks noted below, our business, financial condition, or results of operations could be adversely affected.</w:t>
      </w:r>
    </w:p>
    <w:p>
      <w:pPr>
        <w:spacing w:after="0" w:line="200"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Acquisition increases the following risks and challenges associated with conducting business outside the U.S., where we expect a growing proportion of our operations and revenue to be located:</w:t>
      </w:r>
    </w:p>
    <w:p>
      <w:pPr>
        <w:spacing w:after="0" w:line="192" w:lineRule="exact"/>
        <w:rPr>
          <w:sz w:val="20"/>
          <w:szCs w:val="20"/>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longer payment cycles and difficulties in collecting accounts receivable outside of the United States;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longer sales cycles due to the volume of transactions taking place through public tenders;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challenges in staffing and managing foreign operations;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lack of consistency, and unexpected changes, in legislative or regulatory requirements of foreign countries into which we sell our products;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increased risk of governmental and regulatory scrutiny and investigations;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burden of complying with a wide variety of foreign laws, regulations, and legal standards;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import and export requirements, tariffs, taxes, and other trade barriers;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possible enactment of laws regarding the management of and access to data and public networks and websites;</w:t>
      </w:r>
    </w:p>
    <w:p>
      <w:pPr>
        <w:spacing w:after="0" w:line="54" w:lineRule="exact"/>
        <w:rPr>
          <w:rFonts w:ascii="Arial" w:cs="Arial" w:eastAsia="Arial" w:hAnsi="Arial"/>
          <w:sz w:val="17"/>
          <w:szCs w:val="17"/>
          <w:color w:val="auto"/>
        </w:rPr>
      </w:pPr>
    </w:p>
    <w:p>
      <w:pPr>
        <w:ind w:left="600" w:hanging="300"/>
        <w:spacing w:after="0" w:line="293" w:lineRule="auto"/>
        <w:tabs>
          <w:tab w:leader="none" w:pos="596"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negative impact of a global health crisis, such as the outbreak of a serious infectious disease, to our commercial or manufacturing operations, including the loss of productivity from our own workforce and consequences of any restrictions on the movement of people or materials;</w:t>
      </w:r>
    </w:p>
    <w:p>
      <w:pPr>
        <w:spacing w:after="0" w:line="1" w:lineRule="exact"/>
        <w:rPr>
          <w:rFonts w:ascii="Arial" w:cs="Arial" w:eastAsia="Arial" w:hAnsi="Arial"/>
          <w:sz w:val="16"/>
          <w:szCs w:val="16"/>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possible future limitations on foreign-owned businesses;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significant taxes; and</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factors beyond our control, including political, social and economic instability, and security concerns in general.</w:t>
      </w:r>
    </w:p>
    <w:p>
      <w:pPr>
        <w:spacing w:after="0" w:line="230"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Additionally, we must comply with complex foreign and U.S. laws and regulations, such as the U.S. Foreign Corrupt Practices Act, the U.K. Bribery Act, and other local laws prohibiting corrupt payments to governmental officials and requiring issuers to maintain accurate books and records or maintain appropriate accounting controls, fair competition regulations, the U.S. Office of Foreign Assets Control sanctions compliance program, and other similar laws and regulations. Violations of these laws and regulations could result in fines and penalties, criminal sanctions, restrictions on our business conduct and on our ability to offer our products in one or more countries, our ability to enter into governmental sale, supply, or service contracts,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 or that our policies will be adopted or enforceable in all jurisdictions.</w:t>
      </w:r>
    </w:p>
    <w:p>
      <w:pPr>
        <w:spacing w:after="0" w:line="195"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7"/>
          <w:szCs w:val="17"/>
          <w:color w:val="auto"/>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exposed to risks associated with transactions denominated in foreign currency.</w:t>
      </w:r>
    </w:p>
    <w:p>
      <w:pPr>
        <w:spacing w:after="0" w:line="230"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Recent global financial conditions have led to a high level of volatility in foreign currency exchange rates and that level of volatility may continue, which could adversely affect our business, financial condition, or results of operations.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21"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92"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0"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92"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5"/>
          <w:szCs w:val="15"/>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acquisitions of Decipher Biosciences and HalioDx,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7" w:lineRule="exact"/>
        <w:rPr>
          <w:sz w:val="20"/>
          <w:szCs w:val="20"/>
          <w:color w:val="auto"/>
        </w:rPr>
      </w:pPr>
    </w:p>
    <w:p>
      <w:pPr>
        <w:jc w:val="both"/>
        <w:ind w:firstLine="375"/>
        <w:spacing w:after="0" w:line="251" w:lineRule="auto"/>
        <w:rPr>
          <w:sz w:val="20"/>
          <w:szCs w:val="20"/>
          <w:color w:val="auto"/>
        </w:rPr>
      </w:pPr>
      <w:r>
        <w:rPr>
          <w:rFonts w:ascii="Arial" w:cs="Arial" w:eastAsia="Arial" w:hAnsi="Arial"/>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Risks Related to Our Common Stock</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30"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trading price of our common stock is likely to continue to be highly volatile and could be subject to wide fluctuations in response to various factors, some of which are beyond our control. These factors include:</w:t>
      </w:r>
    </w:p>
    <w:p>
      <w:pPr>
        <w:spacing w:after="0" w:line="192" w:lineRule="exact"/>
        <w:rPr>
          <w:sz w:val="20"/>
          <w:szCs w:val="20"/>
          <w:color w:val="auto"/>
        </w:rPr>
      </w:pPr>
    </w:p>
    <w:p>
      <w:pPr>
        <w:ind w:left="600" w:hanging="300"/>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global macroeconomic impact of the current COVID-19 outbreak;</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 including governmental payers;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600" w:hanging="300"/>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fluctuations in our revenue, due in part to the way in which we recognize revenue;</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 including the effect of additional equity we or our competitors issue as consideration for such acquisitions;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general economic conditions, including inflation and changes in interest rates, and slow or negative growth of our markets.</w:t>
      </w:r>
    </w:p>
    <w:p>
      <w:pPr>
        <w:spacing w:after="0" w:line="280"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7" w:lineRule="exact"/>
        <w:rPr>
          <w:sz w:val="20"/>
          <w:szCs w:val="20"/>
          <w:color w:val="auto"/>
        </w:rPr>
      </w:pPr>
    </w:p>
    <w:p>
      <w:pPr>
        <w:jc w:val="both"/>
        <w:ind w:firstLine="120"/>
        <w:spacing w:after="0" w:line="266"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9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2" w:lineRule="exact"/>
        <w:rPr>
          <w:sz w:val="20"/>
          <w:szCs w:val="20"/>
          <w:color w:val="auto"/>
        </w:rPr>
      </w:pPr>
    </w:p>
    <w:p>
      <w:pPr>
        <w:ind w:left="600" w:hanging="300"/>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5.0 million shares of undesignated preferred stock;</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specify that special meetings of our stockholders can be called only by our board of directors, our chairman of the board, or our chief executive officer;</w:t>
      </w:r>
    </w:p>
    <w:p>
      <w:pPr>
        <w:spacing w:after="0" w:line="66" w:lineRule="exact"/>
        <w:rPr>
          <w:rFonts w:ascii="Arial" w:cs="Arial" w:eastAsia="Arial" w:hAnsi="Arial"/>
          <w:sz w:val="16"/>
          <w:szCs w:val="16"/>
          <w:color w:val="auto"/>
        </w:rPr>
      </w:pPr>
    </w:p>
    <w:p>
      <w:pPr>
        <w:ind w:left="600" w:hanging="300"/>
        <w:spacing w:after="0" w:line="266" w:lineRule="auto"/>
        <w:tabs>
          <w:tab w:leader="none" w:pos="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7"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provide that the federal district courts of the United States shall be the exclusive forum for the resolution of any complaint asserting a cause of action arising under the Securities Act of 1933, as amended;</w:t>
      </w:r>
    </w:p>
    <w:p>
      <w:pPr>
        <w:spacing w:after="0" w:line="17" w:lineRule="exact"/>
        <w:rPr>
          <w:rFonts w:ascii="Arial" w:cs="Arial" w:eastAsia="Arial" w:hAnsi="Arial"/>
          <w:sz w:val="17"/>
          <w:szCs w:val="17"/>
          <w:color w:val="auto"/>
        </w:rPr>
      </w:pPr>
    </w:p>
    <w:p>
      <w:pPr>
        <w:ind w:left="600" w:hanging="300"/>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30"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30"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business conditions and other factors that our board of directors may deem relevant. As a result, capital appreciation, if any, of our common stock will be the sole source of gain for the foreseeable future.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60" w:type="dxa"/>
            <w:vAlign w:val="bottom"/>
            <w:gridSpan w:val="6"/>
          </w:tcPr>
          <w:p>
            <w:pPr>
              <w:spacing w:after="0"/>
              <w:rPr>
                <w:sz w:val="20"/>
                <w:szCs w:val="20"/>
                <w:color w:val="auto"/>
              </w:rPr>
            </w:pPr>
            <w:r>
              <w:rPr>
                <w:rFonts w:ascii="Arial" w:cs="Arial" w:eastAsia="Arial" w:hAnsi="Arial"/>
                <w:sz w:val="17"/>
                <w:szCs w:val="17"/>
                <w:color w:val="auto"/>
              </w:rPr>
              <w:t>None.</w:t>
            </w: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660" w:type="dxa"/>
            <w:vAlign w:val="bottom"/>
            <w:gridSpan w:val="6"/>
          </w:tcPr>
          <w:p>
            <w:pPr>
              <w:spacing w:after="0"/>
              <w:rPr>
                <w:sz w:val="20"/>
                <w:szCs w:val="20"/>
                <w:color w:val="auto"/>
              </w:rPr>
            </w:pPr>
            <w:r>
              <w:rPr>
                <w:rFonts w:ascii="Arial" w:cs="Arial" w:eastAsia="Arial" w:hAnsi="Arial"/>
                <w:sz w:val="17"/>
                <w:szCs w:val="17"/>
                <w:b w:val="1"/>
                <w:bCs w:val="1"/>
                <w:color w:val="auto"/>
              </w:rPr>
              <w:t>ITEM 6. EXHIBITS</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660" w:type="dxa"/>
            <w:vAlign w:val="bottom"/>
            <w:gridSpan w:val="6"/>
            <w:vMerge w:val="restart"/>
          </w:tcPr>
          <w:p>
            <w:pPr>
              <w:ind w:left="2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140"/>
              <w:spacing w:after="0"/>
              <w:rPr>
                <w:sz w:val="20"/>
                <w:szCs w:val="20"/>
                <w:color w:val="auto"/>
              </w:rPr>
            </w:pPr>
            <w:r>
              <w:rPr>
                <w:rFonts w:ascii="Arial" w:cs="Arial" w:eastAsia="Arial" w:hAnsi="Arial"/>
                <w:sz w:val="17"/>
                <w:szCs w:val="17"/>
                <w:b w:val="1"/>
                <w:bCs w:val="1"/>
                <w:color w:val="auto"/>
              </w:rPr>
              <w:t>Incorporated by Reference</w:t>
            </w:r>
          </w:p>
        </w:tc>
        <w:tc>
          <w:tcPr>
            <w:tcW w:w="100" w:type="dxa"/>
            <w:vAlign w:val="bottom"/>
          </w:tcPr>
          <w:p>
            <w:pPr>
              <w:spacing w:after="0"/>
              <w:rPr>
                <w:sz w:val="24"/>
                <w:szCs w:val="24"/>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w w:val="90"/>
              </w:rPr>
              <w:t>Filed</w:t>
            </w:r>
          </w:p>
        </w:tc>
        <w:tc>
          <w:tcPr>
            <w:tcW w:w="0" w:type="dxa"/>
            <w:vAlign w:val="bottom"/>
          </w:tcPr>
          <w:p>
            <w:pPr>
              <w:spacing w:after="0"/>
              <w:rPr>
                <w:sz w:val="1"/>
                <w:szCs w:val="1"/>
                <w:color w:val="auto"/>
              </w:rPr>
            </w:pPr>
          </w:p>
        </w:tc>
      </w:tr>
      <w:tr>
        <w:trPr>
          <w:trHeight w:val="143"/>
        </w:trPr>
        <w:tc>
          <w:tcPr>
            <w:tcW w:w="166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380" w:type="dxa"/>
            <w:vAlign w:val="bottom"/>
            <w:gridSpan w:val="19"/>
            <w:vMerge w:val="restart"/>
          </w:tcPr>
          <w:p>
            <w:pPr>
              <w:ind w:left="660"/>
              <w:spacing w:after="0"/>
              <w:rPr>
                <w:sz w:val="20"/>
                <w:szCs w:val="20"/>
                <w:color w:val="auto"/>
              </w:rPr>
            </w:pPr>
            <w:r>
              <w:rPr>
                <w:rFonts w:ascii="Arial" w:cs="Arial" w:eastAsia="Arial" w:hAnsi="Arial"/>
                <w:sz w:val="17"/>
                <w:szCs w:val="17"/>
                <w:b w:val="1"/>
                <w:bCs w:val="1"/>
                <w:color w:val="auto"/>
              </w:rPr>
              <w:t>Description</w:t>
            </w:r>
          </w:p>
        </w:tc>
        <w:tc>
          <w:tcPr>
            <w:tcW w:w="100" w:type="dxa"/>
            <w:vAlign w:val="bottom"/>
            <w:vMerge w:val="restart"/>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Form</w:t>
            </w:r>
          </w:p>
        </w:tc>
        <w:tc>
          <w:tcPr>
            <w:tcW w:w="100" w:type="dxa"/>
            <w:vAlign w:val="bottom"/>
            <w:vMerge w:val="restart"/>
          </w:tcPr>
          <w:p>
            <w:pPr>
              <w:spacing w:after="0"/>
              <w:rPr>
                <w:sz w:val="12"/>
                <w:szCs w:val="12"/>
                <w:color w:val="auto"/>
              </w:rPr>
            </w:pPr>
          </w:p>
        </w:tc>
        <w:tc>
          <w:tcPr>
            <w:tcW w:w="820" w:type="dxa"/>
            <w:vAlign w:val="bottom"/>
            <w:vMerge w:val="restart"/>
          </w:tcPr>
          <w:p>
            <w:pPr>
              <w:ind w:left="140"/>
              <w:spacing w:after="0"/>
              <w:rPr>
                <w:sz w:val="20"/>
                <w:szCs w:val="20"/>
                <w:color w:val="auto"/>
              </w:rPr>
            </w:pPr>
            <w:r>
              <w:rPr>
                <w:rFonts w:ascii="Arial" w:cs="Arial" w:eastAsia="Arial" w:hAnsi="Arial"/>
                <w:sz w:val="17"/>
                <w:szCs w:val="17"/>
                <w:b w:val="1"/>
                <w:bCs w:val="1"/>
                <w:color w:val="auto"/>
              </w:rPr>
              <w:t>File No.</w:t>
            </w:r>
          </w:p>
        </w:tc>
        <w:tc>
          <w:tcPr>
            <w:tcW w:w="100" w:type="dxa"/>
            <w:vAlign w:val="bottom"/>
            <w:vMerge w:val="restart"/>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Exhibit</w:t>
            </w:r>
          </w:p>
        </w:tc>
        <w:tc>
          <w:tcPr>
            <w:tcW w:w="100" w:type="dxa"/>
            <w:vAlign w:val="bottom"/>
            <w:vMerge w:val="restart"/>
          </w:tcPr>
          <w:p>
            <w:pPr>
              <w:spacing w:after="0"/>
              <w:rPr>
                <w:sz w:val="12"/>
                <w:szCs w:val="12"/>
                <w:color w:val="auto"/>
              </w:rPr>
            </w:pPr>
          </w:p>
        </w:tc>
        <w:tc>
          <w:tcPr>
            <w:tcW w:w="110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Filing Date</w:t>
            </w:r>
          </w:p>
        </w:tc>
        <w:tc>
          <w:tcPr>
            <w:tcW w:w="1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46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Number</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19"/>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Herewith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460" w:type="dxa"/>
            <w:vAlign w:val="bottom"/>
            <w:gridSpan w:val="5"/>
          </w:tcPr>
          <w:p>
            <w:pPr>
              <w:jc w:val="right"/>
              <w:ind w:right="20"/>
              <w:spacing w:after="0"/>
              <w:rPr>
                <w:rFonts w:ascii="Arial" w:cs="Arial" w:eastAsia="Arial" w:hAnsi="Arial"/>
                <w:sz w:val="17"/>
                <w:szCs w:val="17"/>
                <w:color w:val="0000FF"/>
              </w:rPr>
            </w:pPr>
            <w:hyperlink w:anchor="page79">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gridSpan w:val="21"/>
          </w:tcPr>
          <w:p>
            <w:pPr>
              <w:spacing w:after="0"/>
              <w:rPr>
                <w:rFonts w:ascii="Arial" w:cs="Arial" w:eastAsia="Arial" w:hAnsi="Arial"/>
                <w:sz w:val="17"/>
                <w:szCs w:val="17"/>
                <w:color w:val="0000FF"/>
                <w:w w:val="95"/>
              </w:rPr>
            </w:pPr>
            <w:hyperlink w:anchor="page79">
              <w:r>
                <w:rPr>
                  <w:rFonts w:ascii="Arial" w:cs="Arial" w:eastAsia="Arial" w:hAnsi="Arial"/>
                  <w:sz w:val="17"/>
                  <w:szCs w:val="17"/>
                  <w:color w:val="0000FF"/>
                  <w:w w:val="95"/>
                </w:rPr>
                <w:t>Offer Letter, dated as of February 2, 2021, between Tina S. Nova</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top w:val="single" w:sz="8" w:color="0000FF"/>
              <w:bottom w:val="single" w:sz="8" w:color="0000FF"/>
            </w:tcBorders>
          </w:tcPr>
          <w:p>
            <w:pPr>
              <w:spacing w:after="0" w:line="143" w:lineRule="exact"/>
              <w:rPr>
                <w:rFonts w:ascii="Arial" w:cs="Arial" w:eastAsia="Arial" w:hAnsi="Arial"/>
                <w:sz w:val="16"/>
                <w:szCs w:val="16"/>
                <w:color w:val="0000FF"/>
                <w:w w:val="91"/>
              </w:rPr>
            </w:pPr>
            <w:hyperlink w:anchor="page79">
              <w:r>
                <w:rPr>
                  <w:rFonts w:ascii="Arial" w:cs="Arial" w:eastAsia="Arial" w:hAnsi="Arial"/>
                  <w:sz w:val="16"/>
                  <w:szCs w:val="16"/>
                  <w:color w:val="0000FF"/>
                  <w:w w:val="91"/>
                </w:rPr>
                <w:t>and the Registrant</w:t>
              </w:r>
            </w:hyperlink>
          </w:p>
        </w:tc>
        <w:tc>
          <w:tcPr>
            <w:tcW w:w="316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60" w:type="dxa"/>
            <w:vAlign w:val="bottom"/>
            <w:gridSpan w:val="5"/>
          </w:tcPr>
          <w:p>
            <w:pPr>
              <w:jc w:val="right"/>
              <w:ind w:right="20"/>
              <w:spacing w:after="0" w:line="193" w:lineRule="exact"/>
              <w:rPr>
                <w:rFonts w:ascii="Arial" w:cs="Arial" w:eastAsia="Arial" w:hAnsi="Arial"/>
                <w:sz w:val="17"/>
                <w:szCs w:val="17"/>
                <w:color w:val="0000FF"/>
              </w:rPr>
            </w:pPr>
            <w:hyperlink w:anchor="page84">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1"/>
          </w:tcPr>
          <w:p>
            <w:pPr>
              <w:spacing w:after="0" w:line="193" w:lineRule="exact"/>
              <w:rPr>
                <w:rFonts w:ascii="Arial" w:cs="Arial" w:eastAsia="Arial" w:hAnsi="Arial"/>
                <w:sz w:val="17"/>
                <w:szCs w:val="17"/>
                <w:color w:val="0000FF"/>
                <w:w w:val="91"/>
              </w:rPr>
            </w:pPr>
            <w:hyperlink w:anchor="page84">
              <w:r>
                <w:rPr>
                  <w:rFonts w:ascii="Arial" w:cs="Arial" w:eastAsia="Arial" w:hAnsi="Arial"/>
                  <w:sz w:val="17"/>
                  <w:szCs w:val="17"/>
                  <w:color w:val="0000FF"/>
                  <w:w w:val="91"/>
                </w:rPr>
                <w:t>Change of Control and Severance Agreement, effective February 2,</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60" w:type="dxa"/>
            <w:vAlign w:val="bottom"/>
            <w:tcBorders>
              <w:top w:val="single" w:sz="8" w:color="0000FF"/>
              <w:bottom w:val="single" w:sz="8" w:color="0000FF"/>
            </w:tcBorders>
            <w:gridSpan w:val="4"/>
          </w:tcPr>
          <w:p>
            <w:pPr>
              <w:spacing w:after="0" w:line="143" w:lineRule="exact"/>
              <w:rPr>
                <w:rFonts w:ascii="Arial" w:cs="Arial" w:eastAsia="Arial" w:hAnsi="Arial"/>
                <w:sz w:val="16"/>
                <w:szCs w:val="16"/>
                <w:color w:val="0000FF"/>
                <w:w w:val="93"/>
              </w:rPr>
            </w:pPr>
            <w:hyperlink w:anchor="page84">
              <w:r>
                <w:rPr>
                  <w:rFonts w:ascii="Arial" w:cs="Arial" w:eastAsia="Arial" w:hAnsi="Arial"/>
                  <w:sz w:val="16"/>
                  <w:szCs w:val="16"/>
                  <w:color w:val="0000FF"/>
                  <w:w w:val="93"/>
                </w:rPr>
                <w:t>2021, between Tina S. Nova and the Registrant</w:t>
              </w:r>
            </w:hyperlink>
          </w:p>
        </w:tc>
        <w:tc>
          <w:tcPr>
            <w:tcW w:w="13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60" w:type="dxa"/>
            <w:vAlign w:val="bottom"/>
            <w:gridSpan w:val="5"/>
          </w:tcPr>
          <w:p>
            <w:pPr>
              <w:jc w:val="right"/>
              <w:ind w:right="20"/>
              <w:spacing w:after="0" w:line="193" w:lineRule="exact"/>
              <w:rPr>
                <w:rFonts w:ascii="Arial" w:cs="Arial" w:eastAsia="Arial" w:hAnsi="Arial"/>
                <w:sz w:val="17"/>
                <w:szCs w:val="17"/>
                <w:color w:val="0000FF"/>
              </w:rPr>
            </w:pPr>
            <w:hyperlink w:anchor="page103">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1"/>
          </w:tcPr>
          <w:p>
            <w:pPr>
              <w:spacing w:after="0" w:line="193" w:lineRule="exact"/>
              <w:rPr>
                <w:rFonts w:ascii="Arial" w:cs="Arial" w:eastAsia="Arial" w:hAnsi="Arial"/>
                <w:sz w:val="17"/>
                <w:szCs w:val="17"/>
                <w:color w:val="0000FF"/>
                <w:w w:val="92"/>
              </w:rPr>
            </w:pPr>
            <w:hyperlink w:anchor="page103">
              <w:r>
                <w:rPr>
                  <w:rFonts w:ascii="Arial" w:cs="Arial" w:eastAsia="Arial" w:hAnsi="Arial"/>
                  <w:sz w:val="17"/>
                  <w:szCs w:val="17"/>
                  <w:color w:val="0000FF"/>
                  <w:w w:val="92"/>
                </w:rPr>
                <w:t>Offer Letter, dated as of February 7, 2022, between Annie McGuire</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top w:val="single" w:sz="8" w:color="0000FF"/>
              <w:bottom w:val="single" w:sz="8" w:color="0000FF"/>
            </w:tcBorders>
          </w:tcPr>
          <w:p>
            <w:pPr>
              <w:spacing w:after="0" w:line="143" w:lineRule="exact"/>
              <w:rPr>
                <w:rFonts w:ascii="Arial" w:cs="Arial" w:eastAsia="Arial" w:hAnsi="Arial"/>
                <w:sz w:val="16"/>
                <w:szCs w:val="16"/>
                <w:color w:val="0000FF"/>
                <w:w w:val="91"/>
              </w:rPr>
            </w:pPr>
            <w:hyperlink w:anchor="page103">
              <w:r>
                <w:rPr>
                  <w:rFonts w:ascii="Arial" w:cs="Arial" w:eastAsia="Arial" w:hAnsi="Arial"/>
                  <w:sz w:val="16"/>
                  <w:szCs w:val="16"/>
                  <w:color w:val="0000FF"/>
                  <w:w w:val="91"/>
                </w:rPr>
                <w:t>and the Registrant</w:t>
              </w:r>
            </w:hyperlink>
          </w:p>
        </w:tc>
        <w:tc>
          <w:tcPr>
            <w:tcW w:w="3340" w:type="dxa"/>
            <w:vAlign w:val="bottom"/>
            <w:tcBorders>
              <w:top w:val="single" w:sz="8" w:color="0000FF"/>
            </w:tcBorders>
            <w:gridSpan w:val="18"/>
          </w:tcPr>
          <w:p>
            <w:pPr>
              <w:spacing w:after="0"/>
              <w:rPr>
                <w:sz w:val="12"/>
                <w:szCs w:val="12"/>
                <w:color w:val="auto"/>
              </w:rPr>
            </w:pP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60" w:type="dxa"/>
            <w:vAlign w:val="bottom"/>
            <w:gridSpan w:val="5"/>
          </w:tcPr>
          <w:p>
            <w:pPr>
              <w:jc w:val="right"/>
              <w:ind w:right="20"/>
              <w:spacing w:after="0" w:line="193" w:lineRule="exact"/>
              <w:rPr>
                <w:rFonts w:ascii="Arial" w:cs="Arial" w:eastAsia="Arial" w:hAnsi="Arial"/>
                <w:sz w:val="17"/>
                <w:szCs w:val="17"/>
                <w:color w:val="0000FF"/>
              </w:rPr>
            </w:pPr>
            <w:hyperlink w:anchor="page105">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1"/>
          </w:tcPr>
          <w:p>
            <w:pPr>
              <w:spacing w:after="0" w:line="193" w:lineRule="exact"/>
              <w:rPr>
                <w:rFonts w:ascii="Arial" w:cs="Arial" w:eastAsia="Arial" w:hAnsi="Arial"/>
                <w:sz w:val="17"/>
                <w:szCs w:val="17"/>
                <w:color w:val="0000FF"/>
                <w:w w:val="95"/>
              </w:rPr>
            </w:pPr>
            <w:hyperlink w:anchor="page105">
              <w:r>
                <w:rPr>
                  <w:rFonts w:ascii="Arial" w:cs="Arial" w:eastAsia="Arial" w:hAnsi="Arial"/>
                  <w:sz w:val="17"/>
                  <w:szCs w:val="17"/>
                  <w:color w:val="0000FF"/>
                  <w:w w:val="95"/>
                </w:rPr>
                <w:t>Change of Control and Severance Agreement, effective February</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Borders>
              <w:top w:val="single" w:sz="8" w:color="0000FF"/>
              <w:bottom w:val="single" w:sz="8" w:color="0000FF"/>
            </w:tcBorders>
            <w:gridSpan w:val="5"/>
          </w:tcPr>
          <w:p>
            <w:pPr>
              <w:spacing w:after="0" w:line="143" w:lineRule="exact"/>
              <w:rPr>
                <w:rFonts w:ascii="Arial" w:cs="Arial" w:eastAsia="Arial" w:hAnsi="Arial"/>
                <w:sz w:val="16"/>
                <w:szCs w:val="16"/>
                <w:color w:val="0000FF"/>
                <w:w w:val="94"/>
              </w:rPr>
            </w:pPr>
            <w:hyperlink w:anchor="page105">
              <w:r>
                <w:rPr>
                  <w:rFonts w:ascii="Arial" w:cs="Arial" w:eastAsia="Arial" w:hAnsi="Arial"/>
                  <w:sz w:val="16"/>
                  <w:szCs w:val="16"/>
                  <w:color w:val="0000FF"/>
                  <w:w w:val="94"/>
                </w:rPr>
                <w:t>28, 2022, between Annie McGuire and the Registrant</w:t>
              </w:r>
            </w:hyperlink>
          </w:p>
        </w:tc>
        <w:tc>
          <w:tcPr>
            <w:tcW w:w="780" w:type="dxa"/>
            <w:vAlign w:val="bottom"/>
            <w:tcBorders>
              <w:top w:val="single" w:sz="8" w:color="0000FF"/>
            </w:tcBorders>
            <w:gridSpan w:val="6"/>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60" w:type="dxa"/>
            <w:vAlign w:val="bottom"/>
            <w:gridSpan w:val="5"/>
          </w:tcPr>
          <w:p>
            <w:pPr>
              <w:jc w:val="right"/>
              <w:ind w:right="20"/>
              <w:spacing w:after="0" w:line="193" w:lineRule="exact"/>
              <w:rPr>
                <w:rFonts w:ascii="Arial" w:cs="Arial" w:eastAsia="Arial" w:hAnsi="Arial"/>
                <w:sz w:val="17"/>
                <w:szCs w:val="17"/>
                <w:color w:val="0000FF"/>
              </w:rPr>
            </w:pPr>
            <w:hyperlink w:anchor="page123">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1"/>
          </w:tcPr>
          <w:p>
            <w:pPr>
              <w:spacing w:after="0" w:line="193" w:lineRule="exact"/>
              <w:rPr>
                <w:rFonts w:ascii="Arial" w:cs="Arial" w:eastAsia="Arial" w:hAnsi="Arial"/>
                <w:sz w:val="17"/>
                <w:szCs w:val="17"/>
                <w:color w:val="0000FF"/>
                <w:w w:val="92"/>
              </w:rPr>
            </w:pPr>
            <w:hyperlink w:anchor="page123">
              <w:r>
                <w:rPr>
                  <w:rFonts w:ascii="Arial" w:cs="Arial" w:eastAsia="Arial" w:hAnsi="Arial"/>
                  <w:sz w:val="17"/>
                  <w:szCs w:val="17"/>
                  <w:color w:val="0000FF"/>
                  <w:w w:val="92"/>
                </w:rPr>
                <w:t>Transition and Separation Agreement, effective February 21, 2022,</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3"/>
          </w:tcPr>
          <w:p>
            <w:pPr>
              <w:spacing w:after="0" w:line="143" w:lineRule="exact"/>
              <w:rPr>
                <w:rFonts w:ascii="Arial" w:cs="Arial" w:eastAsia="Arial" w:hAnsi="Arial"/>
                <w:sz w:val="16"/>
                <w:szCs w:val="16"/>
                <w:color w:val="0000FF"/>
                <w:w w:val="94"/>
              </w:rPr>
            </w:pPr>
            <w:hyperlink w:anchor="page123">
              <w:r>
                <w:rPr>
                  <w:rFonts w:ascii="Arial" w:cs="Arial" w:eastAsia="Arial" w:hAnsi="Arial"/>
                  <w:sz w:val="16"/>
                  <w:szCs w:val="16"/>
                  <w:color w:val="0000FF"/>
                  <w:w w:val="94"/>
                </w:rPr>
                <w:t>between Beverly Jane Alley and the Registrant</w:t>
              </w:r>
            </w:hyperlink>
          </w:p>
        </w:tc>
        <w:tc>
          <w:tcPr>
            <w:tcW w:w="1360" w:type="dxa"/>
            <w:vAlign w:val="bottom"/>
            <w:tcBorders>
              <w:top w:val="single" w:sz="8" w:color="0000FF"/>
            </w:tcBorders>
            <w:gridSpan w:val="13"/>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60" w:type="dxa"/>
            <w:vAlign w:val="bottom"/>
            <w:gridSpan w:val="5"/>
          </w:tcPr>
          <w:p>
            <w:pPr>
              <w:jc w:val="right"/>
              <w:ind w:right="20"/>
              <w:spacing w:after="0" w:line="193" w:lineRule="exact"/>
              <w:rPr>
                <w:rFonts w:ascii="Arial" w:cs="Arial" w:eastAsia="Arial" w:hAnsi="Arial"/>
                <w:sz w:val="17"/>
                <w:szCs w:val="17"/>
                <w:color w:val="0000FF"/>
              </w:rPr>
            </w:pPr>
            <w:hyperlink w:anchor="page135">
              <w:r>
                <w:rPr>
                  <w:rFonts w:ascii="Arial" w:cs="Arial" w:eastAsia="Arial" w:hAnsi="Arial"/>
                  <w:sz w:val="17"/>
                  <w:szCs w:val="17"/>
                  <w:color w:val="0000FF"/>
                </w:rPr>
                <w:t>10.</w:t>
              </w:r>
              <w:r>
                <w:rPr>
                  <w:rFonts w:ascii="Arial" w:cs="Arial" w:eastAsia="Arial" w:hAnsi="Arial"/>
                  <w:sz w:val="17"/>
                  <w:szCs w:val="17"/>
                  <w:u w:val="single" w:color="auto"/>
                  <w:color w:val="0000FF"/>
                </w:rPr>
                <w:t>6#</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1"/>
          </w:tcPr>
          <w:p>
            <w:pPr>
              <w:spacing w:after="0" w:line="193" w:lineRule="exact"/>
              <w:rPr>
                <w:rFonts w:ascii="Arial" w:cs="Arial" w:eastAsia="Arial" w:hAnsi="Arial"/>
                <w:sz w:val="17"/>
                <w:szCs w:val="17"/>
                <w:color w:val="0000FF"/>
                <w:w w:val="93"/>
              </w:rPr>
            </w:pPr>
            <w:hyperlink w:anchor="page135">
              <w:r>
                <w:rPr>
                  <w:rFonts w:ascii="Arial" w:cs="Arial" w:eastAsia="Arial" w:hAnsi="Arial"/>
                  <w:sz w:val="17"/>
                  <w:szCs w:val="17"/>
                  <w:color w:val="0000FF"/>
                  <w:w w:val="93"/>
                </w:rPr>
                <w:t>Amended and Restated Employment Agreement, dated as of April</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8"/>
          </w:tcPr>
          <w:p>
            <w:pPr>
              <w:spacing w:after="0" w:line="143" w:lineRule="exact"/>
              <w:rPr>
                <w:rFonts w:ascii="Arial" w:cs="Arial" w:eastAsia="Arial" w:hAnsi="Arial"/>
                <w:sz w:val="16"/>
                <w:szCs w:val="16"/>
                <w:color w:val="0000FF"/>
                <w:w w:val="93"/>
              </w:rPr>
            </w:pPr>
            <w:hyperlink w:anchor="page135">
              <w:r>
                <w:rPr>
                  <w:rFonts w:ascii="Arial" w:cs="Arial" w:eastAsia="Arial" w:hAnsi="Arial"/>
                  <w:sz w:val="16"/>
                  <w:szCs w:val="16"/>
                  <w:color w:val="0000FF"/>
                  <w:w w:val="93"/>
                </w:rPr>
                <w:t>20, 2022, between Bonnie Anderson and the Registrant</w:t>
              </w:r>
            </w:hyperlink>
          </w:p>
        </w:tc>
        <w:tc>
          <w:tcPr>
            <w:tcW w:w="74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60" w:type="dxa"/>
            <w:vAlign w:val="bottom"/>
            <w:gridSpan w:val="5"/>
          </w:tcPr>
          <w:p>
            <w:pPr>
              <w:jc w:val="right"/>
              <w:ind w:right="20"/>
              <w:spacing w:after="0" w:line="193" w:lineRule="exact"/>
              <w:rPr>
                <w:rFonts w:ascii="Arial" w:cs="Arial" w:eastAsia="Arial" w:hAnsi="Arial"/>
                <w:sz w:val="17"/>
                <w:szCs w:val="17"/>
                <w:color w:val="0000FF"/>
              </w:rPr>
            </w:pPr>
            <w:hyperlink w:anchor="page143">
              <w:r>
                <w:rPr>
                  <w:rFonts w:ascii="Arial" w:cs="Arial" w:eastAsia="Arial" w:hAnsi="Arial"/>
                  <w:sz w:val="17"/>
                  <w:szCs w:val="17"/>
                  <w:color w:val="0000FF"/>
                </w:rPr>
                <w:t>31.</w:t>
              </w:r>
              <w:r>
                <w:rPr>
                  <w:rFonts w:ascii="Arial" w:cs="Arial" w:eastAsia="Arial" w:hAnsi="Arial"/>
                  <w:sz w:val="17"/>
                  <w:szCs w:val="17"/>
                  <w:u w:val="single" w:color="auto"/>
                  <w:color w:val="0000FF"/>
                </w:rPr>
                <w:t>1</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1"/>
          </w:tcPr>
          <w:p>
            <w:pPr>
              <w:spacing w:after="0" w:line="193" w:lineRule="exact"/>
              <w:rPr>
                <w:rFonts w:ascii="Arial" w:cs="Arial" w:eastAsia="Arial" w:hAnsi="Arial"/>
                <w:sz w:val="17"/>
                <w:szCs w:val="17"/>
                <w:color w:val="0000FF"/>
                <w:w w:val="95"/>
              </w:rPr>
            </w:pPr>
            <w:hyperlink w:anchor="page143">
              <w:r>
                <w:rPr>
                  <w:rFonts w:ascii="Arial" w:cs="Arial" w:eastAsia="Arial" w:hAnsi="Arial"/>
                  <w:sz w:val="17"/>
                  <w:szCs w:val="17"/>
                  <w:color w:val="0000FF"/>
                  <w:w w:val="95"/>
                </w:rPr>
                <w:t>Certification of Principal Executive Officer pursuant to Rules 13a-</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FF"/>
            </w:tcBorders>
            <w:gridSpan w:val="14"/>
          </w:tcPr>
          <w:p>
            <w:pPr>
              <w:spacing w:after="0" w:line="143" w:lineRule="exact"/>
              <w:rPr>
                <w:rFonts w:ascii="Arial" w:cs="Arial" w:eastAsia="Arial" w:hAnsi="Arial"/>
                <w:sz w:val="16"/>
                <w:szCs w:val="16"/>
                <w:color w:val="0000FF"/>
              </w:rPr>
            </w:pPr>
            <w:hyperlink w:anchor="page143">
              <w:r>
                <w:rPr>
                  <w:rFonts w:ascii="Arial" w:cs="Arial" w:eastAsia="Arial" w:hAnsi="Arial"/>
                  <w:sz w:val="16"/>
                  <w:szCs w:val="16"/>
                  <w:color w:val="0000FF"/>
                </w:rPr>
                <w:t>14(a)/15d-14(a), as adopted pursuant to Section 302 of the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tcBorders>
            <w:gridSpan w:val="9"/>
          </w:tcPr>
          <w:p>
            <w:pPr>
              <w:spacing w:after="0" w:line="143" w:lineRule="exact"/>
              <w:rPr>
                <w:rFonts w:ascii="Arial" w:cs="Arial" w:eastAsia="Arial" w:hAnsi="Arial"/>
                <w:sz w:val="16"/>
                <w:szCs w:val="16"/>
                <w:color w:val="0000FF"/>
              </w:rPr>
            </w:pPr>
            <w:hyperlink w:anchor="page143">
              <w:r>
                <w:rPr>
                  <w:rFonts w:ascii="Arial" w:cs="Arial" w:eastAsia="Arial" w:hAnsi="Arial"/>
                  <w:sz w:val="16"/>
                  <w:szCs w:val="16"/>
                  <w:color w:val="0000FF"/>
                </w:rPr>
                <w:t>Sarbanes-Oxley Act of 2002</w:t>
              </w:r>
            </w:hyperlink>
          </w:p>
        </w:tc>
        <w:tc>
          <w:tcPr>
            <w:tcW w:w="440" w:type="dxa"/>
            <w:vAlign w:val="bottom"/>
          </w:tcPr>
          <w:p>
            <w:pPr>
              <w:spacing w:after="0"/>
              <w:rPr>
                <w:sz w:val="12"/>
                <w:szCs w:val="12"/>
                <w:color w:val="auto"/>
              </w:rPr>
            </w:pPr>
          </w:p>
        </w:tc>
        <w:tc>
          <w:tcPr>
            <w:tcW w:w="14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460" w:type="dxa"/>
            <w:vAlign w:val="bottom"/>
            <w:gridSpan w:val="5"/>
          </w:tcPr>
          <w:p>
            <w:pPr>
              <w:jc w:val="right"/>
              <w:ind w:right="20"/>
              <w:spacing w:after="0" w:line="193" w:lineRule="exact"/>
              <w:rPr>
                <w:rFonts w:ascii="Arial" w:cs="Arial" w:eastAsia="Arial" w:hAnsi="Arial"/>
                <w:sz w:val="17"/>
                <w:szCs w:val="17"/>
                <w:color w:val="0000FF"/>
              </w:rPr>
            </w:pPr>
            <w:hyperlink w:anchor="page144">
              <w:r>
                <w:rPr>
                  <w:rFonts w:ascii="Arial" w:cs="Arial" w:eastAsia="Arial" w:hAnsi="Arial"/>
                  <w:sz w:val="17"/>
                  <w:szCs w:val="17"/>
                  <w:color w:val="0000FF"/>
                </w:rPr>
                <w:t>31.</w:t>
              </w:r>
              <w:r>
                <w:rPr>
                  <w:rFonts w:ascii="Arial" w:cs="Arial" w:eastAsia="Arial" w:hAnsi="Arial"/>
                  <w:sz w:val="17"/>
                  <w:szCs w:val="17"/>
                  <w:u w:val="single" w:color="auto"/>
                  <w:color w:val="0000FF"/>
                </w:rPr>
                <w:t>2</w:t>
              </w:r>
            </w:hyperlink>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1"/>
          </w:tcPr>
          <w:p>
            <w:pPr>
              <w:spacing w:after="0" w:line="193" w:lineRule="exact"/>
              <w:rPr>
                <w:rFonts w:ascii="Arial" w:cs="Arial" w:eastAsia="Arial" w:hAnsi="Arial"/>
                <w:sz w:val="17"/>
                <w:szCs w:val="17"/>
                <w:color w:val="0000FF"/>
                <w:w w:val="98"/>
              </w:rPr>
            </w:pPr>
            <w:hyperlink w:anchor="page144">
              <w:r>
                <w:rPr>
                  <w:rFonts w:ascii="Arial" w:cs="Arial" w:eastAsia="Arial" w:hAnsi="Arial"/>
                  <w:sz w:val="17"/>
                  <w:szCs w:val="17"/>
                  <w:color w:val="0000FF"/>
                  <w:w w:val="98"/>
                </w:rPr>
                <w:t>Certification of Principal Financial Officer pursuant to Rule 13a-</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10"/>
          </w:tcPr>
          <w:p>
            <w:pPr>
              <w:spacing w:after="0" w:line="143" w:lineRule="exact"/>
              <w:rPr>
                <w:rFonts w:ascii="Arial" w:cs="Arial" w:eastAsia="Arial" w:hAnsi="Arial"/>
                <w:sz w:val="16"/>
                <w:szCs w:val="16"/>
                <w:color w:val="0000FF"/>
              </w:rPr>
            </w:pPr>
            <w:hyperlink w:anchor="page144">
              <w:r>
                <w:rPr>
                  <w:rFonts w:ascii="Arial" w:cs="Arial" w:eastAsia="Arial" w:hAnsi="Arial"/>
                  <w:sz w:val="16"/>
                  <w:szCs w:val="16"/>
                  <w:color w:val="0000FF"/>
                </w:rPr>
                <w:t>14(a)/15d-14(a), as adopted pursuant to Section 302 of the</w:t>
              </w:r>
            </w:hyperlink>
          </w:p>
        </w:tc>
        <w:tc>
          <w:tcPr>
            <w:tcW w:w="14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tcBorders>
            <w:gridSpan w:val="9"/>
          </w:tcPr>
          <w:p>
            <w:pPr>
              <w:spacing w:after="0" w:line="143" w:lineRule="exact"/>
              <w:rPr>
                <w:rFonts w:ascii="Arial" w:cs="Arial" w:eastAsia="Arial" w:hAnsi="Arial"/>
                <w:sz w:val="16"/>
                <w:szCs w:val="16"/>
                <w:color w:val="0000FF"/>
              </w:rPr>
            </w:pPr>
            <w:hyperlink w:anchor="page144">
              <w:r>
                <w:rPr>
                  <w:rFonts w:ascii="Arial" w:cs="Arial" w:eastAsia="Arial" w:hAnsi="Arial"/>
                  <w:sz w:val="16"/>
                  <w:szCs w:val="16"/>
                  <w:color w:val="0000FF"/>
                </w:rPr>
                <w:t>Sarbanes-Oxley Act of 2002</w:t>
              </w:r>
            </w:hyperlink>
          </w:p>
        </w:tc>
        <w:tc>
          <w:tcPr>
            <w:tcW w:w="580" w:type="dxa"/>
            <w:vAlign w:val="bottom"/>
            <w:gridSpan w:val="6"/>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460" w:type="dxa"/>
            <w:vAlign w:val="bottom"/>
            <w:gridSpan w:val="5"/>
          </w:tcPr>
          <w:p>
            <w:pPr>
              <w:jc w:val="right"/>
              <w:ind w:right="20"/>
              <w:spacing w:after="0" w:line="193" w:lineRule="exact"/>
              <w:rPr>
                <w:rFonts w:ascii="Arial" w:cs="Arial" w:eastAsia="Arial" w:hAnsi="Arial"/>
                <w:sz w:val="17"/>
                <w:szCs w:val="17"/>
                <w:color w:val="0000FF"/>
              </w:rPr>
            </w:pPr>
            <w:hyperlink w:anchor="page145">
              <w:r>
                <w:rPr>
                  <w:rFonts w:ascii="Arial" w:cs="Arial" w:eastAsia="Arial" w:hAnsi="Arial"/>
                  <w:sz w:val="17"/>
                  <w:szCs w:val="17"/>
                  <w:color w:val="0000FF"/>
                </w:rPr>
                <w:t>32.</w:t>
              </w:r>
              <w:r>
                <w:rPr>
                  <w:rFonts w:ascii="Arial" w:cs="Arial" w:eastAsia="Arial" w:hAnsi="Arial"/>
                  <w:sz w:val="17"/>
                  <w:szCs w:val="17"/>
                  <w:u w:val="single" w:color="auto"/>
                  <w:color w:val="0000FF"/>
                </w:rPr>
                <w:t>1</w:t>
              </w:r>
            </w:hyperlink>
            <w:r>
              <w:rPr>
                <w:rFonts w:ascii="Arial" w:cs="Arial" w:eastAsia="Arial" w:hAnsi="Arial"/>
                <w:sz w:val="17"/>
                <w:szCs w:val="17"/>
                <w:color w:val="000000"/>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1"/>
          </w:tcPr>
          <w:p>
            <w:pPr>
              <w:spacing w:after="0" w:line="193" w:lineRule="exact"/>
              <w:rPr>
                <w:rFonts w:ascii="Arial" w:cs="Arial" w:eastAsia="Arial" w:hAnsi="Arial"/>
                <w:sz w:val="17"/>
                <w:szCs w:val="17"/>
                <w:color w:val="0000FF"/>
                <w:w w:val="94"/>
              </w:rPr>
            </w:pPr>
            <w:hyperlink w:anchor="page145">
              <w:r>
                <w:rPr>
                  <w:rFonts w:ascii="Arial" w:cs="Arial" w:eastAsia="Arial" w:hAnsi="Arial"/>
                  <w:sz w:val="17"/>
                  <w:szCs w:val="17"/>
                  <w:color w:val="0000FF"/>
                  <w:w w:val="94"/>
                </w:rPr>
                <w:t>Certification of Principal Executive Officer pursuant to 18 U.S.C. §</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18"/>
          </w:tcPr>
          <w:p>
            <w:pPr>
              <w:spacing w:after="0" w:line="143" w:lineRule="exact"/>
              <w:rPr>
                <w:rFonts w:ascii="Arial" w:cs="Arial" w:eastAsia="Arial" w:hAnsi="Arial"/>
                <w:sz w:val="16"/>
                <w:szCs w:val="16"/>
                <w:color w:val="0000FF"/>
              </w:rPr>
            </w:pPr>
            <w:hyperlink w:anchor="page145">
              <w:r>
                <w:rPr>
                  <w:rFonts w:ascii="Arial" w:cs="Arial" w:eastAsia="Arial" w:hAnsi="Arial"/>
                  <w:sz w:val="16"/>
                  <w:szCs w:val="16"/>
                  <w:color w:val="0000FF"/>
                </w:rPr>
                <w:t>1350 (Section 906 of the Sarbanes-Oxley Act of 2002)</w:t>
              </w:r>
            </w:hyperlink>
          </w:p>
        </w:tc>
        <w:tc>
          <w:tcPr>
            <w:tcW w:w="16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460" w:type="dxa"/>
            <w:vAlign w:val="bottom"/>
            <w:gridSpan w:val="5"/>
          </w:tcPr>
          <w:p>
            <w:pPr>
              <w:jc w:val="right"/>
              <w:ind w:right="20"/>
              <w:spacing w:after="0" w:line="193" w:lineRule="exact"/>
              <w:rPr>
                <w:rFonts w:ascii="Arial" w:cs="Arial" w:eastAsia="Arial" w:hAnsi="Arial"/>
                <w:sz w:val="17"/>
                <w:szCs w:val="17"/>
                <w:color w:val="0000FF"/>
              </w:rPr>
            </w:pPr>
            <w:hyperlink w:anchor="page146">
              <w:r>
                <w:rPr>
                  <w:rFonts w:ascii="Arial" w:cs="Arial" w:eastAsia="Arial" w:hAnsi="Arial"/>
                  <w:sz w:val="17"/>
                  <w:szCs w:val="17"/>
                  <w:color w:val="0000FF"/>
                </w:rPr>
                <w:t>32.</w:t>
              </w:r>
              <w:r>
                <w:rPr>
                  <w:rFonts w:ascii="Arial" w:cs="Arial" w:eastAsia="Arial" w:hAnsi="Arial"/>
                  <w:sz w:val="17"/>
                  <w:szCs w:val="17"/>
                  <w:u w:val="single" w:color="auto"/>
                  <w:color w:val="0000FF"/>
                </w:rPr>
                <w:t>2</w:t>
              </w:r>
            </w:hyperlink>
            <w:r>
              <w:rPr>
                <w:rFonts w:ascii="Arial" w:cs="Arial" w:eastAsia="Arial" w:hAnsi="Arial"/>
                <w:sz w:val="17"/>
                <w:szCs w:val="17"/>
                <w:color w:val="000000"/>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00" w:type="dxa"/>
            <w:vAlign w:val="bottom"/>
            <w:gridSpan w:val="21"/>
          </w:tcPr>
          <w:p>
            <w:pPr>
              <w:spacing w:after="0" w:line="193" w:lineRule="exact"/>
              <w:rPr>
                <w:rFonts w:ascii="Arial" w:cs="Arial" w:eastAsia="Arial" w:hAnsi="Arial"/>
                <w:sz w:val="17"/>
                <w:szCs w:val="17"/>
                <w:color w:val="0000FF"/>
                <w:w w:val="95"/>
              </w:rPr>
            </w:pPr>
            <w:hyperlink w:anchor="page146">
              <w:r>
                <w:rPr>
                  <w:rFonts w:ascii="Arial" w:cs="Arial" w:eastAsia="Arial" w:hAnsi="Arial"/>
                  <w:sz w:val="17"/>
                  <w:szCs w:val="17"/>
                  <w:color w:val="0000FF"/>
                  <w:w w:val="95"/>
                </w:rPr>
                <w:t>Certification of Principal Financial Officer pursuant to 18 U.S.C. §</w:t>
              </w:r>
            </w:hyperlink>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0"/>
              <w:spacing w:after="0" w:line="19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43"/>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60" w:type="dxa"/>
            <w:vAlign w:val="bottom"/>
            <w:tcBorders>
              <w:top w:val="single" w:sz="8" w:color="0000FF"/>
              <w:bottom w:val="single" w:sz="8" w:color="0000FF"/>
            </w:tcBorders>
            <w:gridSpan w:val="7"/>
          </w:tcPr>
          <w:p>
            <w:pPr>
              <w:spacing w:after="0" w:line="143" w:lineRule="exact"/>
              <w:rPr>
                <w:rFonts w:ascii="Arial" w:cs="Arial" w:eastAsia="Arial" w:hAnsi="Arial"/>
                <w:sz w:val="16"/>
                <w:szCs w:val="16"/>
                <w:color w:val="0000FF"/>
                <w:w w:val="94"/>
              </w:rPr>
            </w:pPr>
            <w:hyperlink w:anchor="page146">
              <w:r>
                <w:rPr>
                  <w:rFonts w:ascii="Arial" w:cs="Arial" w:eastAsia="Arial" w:hAnsi="Arial"/>
                  <w:sz w:val="16"/>
                  <w:szCs w:val="16"/>
                  <w:color w:val="0000FF"/>
                  <w:w w:val="94"/>
                </w:rPr>
                <w:t>1350 (Section 906 of the Sarbanes-Oxley Act of 2002)</w:t>
              </w:r>
            </w:hyperlink>
          </w:p>
        </w:tc>
        <w:tc>
          <w:tcPr>
            <w:tcW w:w="820" w:type="dxa"/>
            <w:vAlign w:val="bottom"/>
            <w:tcBorders>
              <w:top w:val="single" w:sz="8" w:color="0000FF"/>
            </w:tcBorders>
            <w:gridSpan w:val="8"/>
          </w:tcPr>
          <w:p>
            <w:pPr>
              <w:spacing w:after="0"/>
              <w:rPr>
                <w:sz w:val="12"/>
                <w:szCs w:val="12"/>
                <w:color w:val="auto"/>
              </w:rPr>
            </w:pPr>
          </w:p>
        </w:tc>
        <w:tc>
          <w:tcPr>
            <w:tcW w:w="220" w:type="dxa"/>
            <w:vAlign w:val="bottom"/>
            <w:gridSpan w:val="6"/>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60" w:type="dxa"/>
            <w:vAlign w:val="bottom"/>
            <w:gridSpan w:val="6"/>
          </w:tcPr>
          <w:p>
            <w:pPr>
              <w:jc w:val="right"/>
              <w:ind w:right="220"/>
              <w:spacing w:after="0" w:line="180" w:lineRule="exact"/>
              <w:rPr>
                <w:sz w:val="20"/>
                <w:szCs w:val="20"/>
                <w:color w:val="auto"/>
              </w:rPr>
            </w:pPr>
            <w:r>
              <w:rPr>
                <w:rFonts w:ascii="Arial" w:cs="Arial" w:eastAsia="Arial" w:hAnsi="Arial"/>
                <w:sz w:val="17"/>
                <w:szCs w:val="17"/>
                <w:color w:val="auto"/>
              </w:rPr>
              <w:t>101.INS</w:t>
            </w:r>
          </w:p>
        </w:tc>
        <w:tc>
          <w:tcPr>
            <w:tcW w:w="20" w:type="dxa"/>
            <w:vAlign w:val="bottom"/>
          </w:tcPr>
          <w:p>
            <w:pPr>
              <w:spacing w:after="0"/>
              <w:rPr>
                <w:sz w:val="15"/>
                <w:szCs w:val="15"/>
                <w:color w:val="auto"/>
              </w:rPr>
            </w:pPr>
          </w:p>
        </w:tc>
        <w:tc>
          <w:tcPr>
            <w:tcW w:w="4700" w:type="dxa"/>
            <w:vAlign w:val="bottom"/>
            <w:gridSpan w:val="21"/>
          </w:tcPr>
          <w:p>
            <w:pPr>
              <w:spacing w:after="0" w:line="180" w:lineRule="exact"/>
              <w:rPr>
                <w:sz w:val="20"/>
                <w:szCs w:val="20"/>
                <w:color w:val="auto"/>
              </w:rPr>
            </w:pPr>
            <w:r>
              <w:rPr>
                <w:rFonts w:ascii="Arial" w:cs="Arial" w:eastAsia="Arial" w:hAnsi="Arial"/>
                <w:sz w:val="17"/>
                <w:szCs w:val="17"/>
                <w:color w:val="auto"/>
                <w:w w:val="94"/>
              </w:rPr>
              <w:t>Inline XBRL Instance Document - the instance document does not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0"/>
              <w:spacing w:after="0" w:line="180"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63"/>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gridSpan w:val="21"/>
          </w:tcPr>
          <w:p>
            <w:pPr>
              <w:spacing w:after="0" w:line="163" w:lineRule="exact"/>
              <w:rPr>
                <w:sz w:val="20"/>
                <w:szCs w:val="20"/>
                <w:color w:val="auto"/>
              </w:rPr>
            </w:pPr>
            <w:r>
              <w:rPr>
                <w:rFonts w:ascii="Arial" w:cs="Arial" w:eastAsia="Arial" w:hAnsi="Arial"/>
                <w:sz w:val="17"/>
                <w:szCs w:val="17"/>
                <w:color w:val="auto"/>
              </w:rPr>
              <w:t>appear in the Interactive Data File because its XBRL tags are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21"/>
          </w:tcPr>
          <w:p>
            <w:pPr>
              <w:spacing w:after="0"/>
              <w:rPr>
                <w:sz w:val="20"/>
                <w:szCs w:val="20"/>
                <w:color w:val="auto"/>
              </w:rPr>
            </w:pPr>
            <w:r>
              <w:rPr>
                <w:rFonts w:ascii="Arial" w:cs="Arial" w:eastAsia="Arial" w:hAnsi="Arial"/>
                <w:sz w:val="17"/>
                <w:szCs w:val="17"/>
                <w:color w:val="auto"/>
              </w:rPr>
              <w:t>embedded within the Inline XBRL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gridSpan w:val="6"/>
          </w:tcPr>
          <w:p>
            <w:pPr>
              <w:jc w:val="right"/>
              <w:ind w:right="2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18"/>
                <w:szCs w:val="18"/>
                <w:color w:val="auto"/>
              </w:rPr>
            </w:pPr>
          </w:p>
        </w:tc>
        <w:tc>
          <w:tcPr>
            <w:tcW w:w="4700" w:type="dxa"/>
            <w:vAlign w:val="bottom"/>
            <w:gridSpan w:val="21"/>
          </w:tcPr>
          <w:p>
            <w:pPr>
              <w:spacing w:after="0"/>
              <w:rPr>
                <w:sz w:val="20"/>
                <w:szCs w:val="20"/>
                <w:color w:val="auto"/>
              </w:rPr>
            </w:pPr>
            <w:r>
              <w:rPr>
                <w:rFonts w:ascii="Arial" w:cs="Arial" w:eastAsia="Arial" w:hAnsi="Arial"/>
                <w:sz w:val="17"/>
                <w:szCs w:val="17"/>
                <w:color w:val="auto"/>
              </w:rPr>
              <w:t>Inline XBRL Taxonomy Extension Schema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788"/>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gridSpan w:val="11"/>
          </w:tcPr>
          <w:p>
            <w:pPr>
              <w:jc w:val="right"/>
              <w:ind w:right="320"/>
              <w:spacing w:after="0"/>
              <w:rPr>
                <w:sz w:val="20"/>
                <w:szCs w:val="20"/>
                <w:color w:val="auto"/>
              </w:rPr>
            </w:pPr>
            <w:r>
              <w:rPr>
                <w:rFonts w:ascii="Arial" w:cs="Arial" w:eastAsia="Arial" w:hAnsi="Arial"/>
                <w:sz w:val="17"/>
                <w:szCs w:val="17"/>
                <w:color w:val="auto"/>
              </w:rPr>
              <w:t>72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146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70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0"/>
        </w:trPr>
        <w:tc>
          <w:tcPr>
            <w:tcW w:w="1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856"/>
        </w:trPr>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101.CAL</w:t>
            </w:r>
          </w:p>
        </w:tc>
        <w:tc>
          <w:tcPr>
            <w:tcW w:w="7040" w:type="dxa"/>
            <w:vAlign w:val="bottom"/>
          </w:tcPr>
          <w:p>
            <w:pPr>
              <w:ind w:left="220"/>
              <w:spacing w:after="0"/>
              <w:rPr>
                <w:sz w:val="20"/>
                <w:szCs w:val="20"/>
                <w:color w:val="auto"/>
              </w:rPr>
            </w:pPr>
            <w:r>
              <w:rPr>
                <w:rFonts w:ascii="Arial" w:cs="Arial" w:eastAsia="Arial" w:hAnsi="Arial"/>
                <w:sz w:val="17"/>
                <w:szCs w:val="17"/>
                <w:color w:val="auto"/>
              </w:rPr>
              <w:t>Inline XBRL Taxonomy Extension Calculation Linkbase</w:t>
            </w:r>
          </w:p>
        </w:tc>
        <w:tc>
          <w:tcPr>
            <w:tcW w:w="2740" w:type="dxa"/>
            <w:vAlign w:val="bottom"/>
          </w:tcPr>
          <w:p>
            <w:pPr>
              <w:ind w:left="2140"/>
              <w:spacing w:after="0"/>
              <w:rPr>
                <w:sz w:val="20"/>
                <w:szCs w:val="20"/>
                <w:color w:val="auto"/>
              </w:rPr>
            </w:pPr>
            <w:r>
              <w:rPr>
                <w:rFonts w:ascii="Arial" w:cs="Arial" w:eastAsia="Arial" w:hAnsi="Arial"/>
                <w:sz w:val="17"/>
                <w:szCs w:val="17"/>
                <w:color w:val="auto"/>
              </w:rPr>
              <w:t>X</w:t>
            </w:r>
          </w:p>
        </w:tc>
      </w:tr>
      <w:tr>
        <w:trPr>
          <w:trHeight w:val="213"/>
        </w:trPr>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101.DEF</w:t>
            </w:r>
          </w:p>
        </w:tc>
        <w:tc>
          <w:tcPr>
            <w:tcW w:w="7040" w:type="dxa"/>
            <w:vAlign w:val="bottom"/>
          </w:tcPr>
          <w:p>
            <w:pPr>
              <w:ind w:left="220"/>
              <w:spacing w:after="0"/>
              <w:rPr>
                <w:sz w:val="20"/>
                <w:szCs w:val="20"/>
                <w:color w:val="auto"/>
              </w:rPr>
            </w:pPr>
            <w:r>
              <w:rPr>
                <w:rFonts w:ascii="Arial" w:cs="Arial" w:eastAsia="Arial" w:hAnsi="Arial"/>
                <w:sz w:val="17"/>
                <w:szCs w:val="17"/>
                <w:color w:val="auto"/>
              </w:rPr>
              <w:t>Inline XBRL Taxonomy Extension Definition Linkbase</w:t>
            </w:r>
          </w:p>
        </w:tc>
        <w:tc>
          <w:tcPr>
            <w:tcW w:w="2740" w:type="dxa"/>
            <w:vAlign w:val="bottom"/>
          </w:tcPr>
          <w:p>
            <w:pPr>
              <w:ind w:left="2140"/>
              <w:spacing w:after="0"/>
              <w:rPr>
                <w:sz w:val="20"/>
                <w:szCs w:val="20"/>
                <w:color w:val="auto"/>
              </w:rPr>
            </w:pPr>
            <w:r>
              <w:rPr>
                <w:rFonts w:ascii="Arial" w:cs="Arial" w:eastAsia="Arial" w:hAnsi="Arial"/>
                <w:sz w:val="17"/>
                <w:szCs w:val="17"/>
                <w:color w:val="auto"/>
              </w:rPr>
              <w:t>X</w:t>
            </w:r>
          </w:p>
        </w:tc>
      </w:tr>
      <w:tr>
        <w:trPr>
          <w:trHeight w:val="213"/>
        </w:trPr>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101.LAB</w:t>
            </w:r>
          </w:p>
        </w:tc>
        <w:tc>
          <w:tcPr>
            <w:tcW w:w="7040" w:type="dxa"/>
            <w:vAlign w:val="bottom"/>
          </w:tcPr>
          <w:p>
            <w:pPr>
              <w:ind w:left="220"/>
              <w:spacing w:after="0"/>
              <w:rPr>
                <w:sz w:val="20"/>
                <w:szCs w:val="20"/>
                <w:color w:val="auto"/>
              </w:rPr>
            </w:pPr>
            <w:r>
              <w:rPr>
                <w:rFonts w:ascii="Arial" w:cs="Arial" w:eastAsia="Arial" w:hAnsi="Arial"/>
                <w:sz w:val="17"/>
                <w:szCs w:val="17"/>
                <w:color w:val="auto"/>
              </w:rPr>
              <w:t>Inline XBRL Taxonomy Extension Label Linkbase</w:t>
            </w:r>
          </w:p>
        </w:tc>
        <w:tc>
          <w:tcPr>
            <w:tcW w:w="2740" w:type="dxa"/>
            <w:vAlign w:val="bottom"/>
          </w:tcPr>
          <w:p>
            <w:pPr>
              <w:ind w:left="2140"/>
              <w:spacing w:after="0"/>
              <w:rPr>
                <w:sz w:val="20"/>
                <w:szCs w:val="20"/>
                <w:color w:val="auto"/>
              </w:rPr>
            </w:pPr>
            <w:r>
              <w:rPr>
                <w:rFonts w:ascii="Arial" w:cs="Arial" w:eastAsia="Arial" w:hAnsi="Arial"/>
                <w:sz w:val="17"/>
                <w:szCs w:val="17"/>
                <w:color w:val="auto"/>
              </w:rPr>
              <w:t>X</w:t>
            </w:r>
          </w:p>
        </w:tc>
      </w:tr>
      <w:tr>
        <w:trPr>
          <w:trHeight w:val="213"/>
        </w:trPr>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101.PRE</w:t>
            </w:r>
          </w:p>
        </w:tc>
        <w:tc>
          <w:tcPr>
            <w:tcW w:w="7040" w:type="dxa"/>
            <w:vAlign w:val="bottom"/>
          </w:tcPr>
          <w:p>
            <w:pPr>
              <w:ind w:left="220"/>
              <w:spacing w:after="0"/>
              <w:rPr>
                <w:sz w:val="20"/>
                <w:szCs w:val="20"/>
                <w:color w:val="auto"/>
              </w:rPr>
            </w:pPr>
            <w:r>
              <w:rPr>
                <w:rFonts w:ascii="Arial" w:cs="Arial" w:eastAsia="Arial" w:hAnsi="Arial"/>
                <w:sz w:val="17"/>
                <w:szCs w:val="17"/>
                <w:color w:val="auto"/>
              </w:rPr>
              <w:t>Inline XBRL Taxonomy Extension Presentation Linkbase</w:t>
            </w:r>
          </w:p>
        </w:tc>
        <w:tc>
          <w:tcPr>
            <w:tcW w:w="2740" w:type="dxa"/>
            <w:vAlign w:val="bottom"/>
          </w:tcPr>
          <w:p>
            <w:pPr>
              <w:ind w:left="2140"/>
              <w:spacing w:after="0"/>
              <w:rPr>
                <w:sz w:val="20"/>
                <w:szCs w:val="20"/>
                <w:color w:val="auto"/>
              </w:rPr>
            </w:pPr>
            <w:r>
              <w:rPr>
                <w:rFonts w:ascii="Arial" w:cs="Arial" w:eastAsia="Arial" w:hAnsi="Arial"/>
                <w:sz w:val="17"/>
                <w:szCs w:val="17"/>
                <w:color w:val="auto"/>
              </w:rPr>
              <w:t>X</w:t>
            </w:r>
          </w:p>
        </w:tc>
      </w:tr>
      <w:tr>
        <w:trPr>
          <w:trHeight w:val="163"/>
        </w:trPr>
        <w:tc>
          <w:tcPr>
            <w:tcW w:w="1460" w:type="dxa"/>
            <w:vAlign w:val="bottom"/>
            <w:gridSpan w:val="2"/>
          </w:tcPr>
          <w:p>
            <w:pPr>
              <w:jc w:val="right"/>
              <w:ind w:right="60"/>
              <w:spacing w:after="0" w:line="163" w:lineRule="exact"/>
              <w:rPr>
                <w:sz w:val="20"/>
                <w:szCs w:val="20"/>
                <w:color w:val="auto"/>
              </w:rPr>
            </w:pPr>
            <w:r>
              <w:rPr>
                <w:rFonts w:ascii="Arial" w:cs="Arial" w:eastAsia="Arial" w:hAnsi="Arial"/>
                <w:sz w:val="17"/>
                <w:szCs w:val="17"/>
                <w:color w:val="auto"/>
              </w:rPr>
              <w:t>104</w:t>
            </w:r>
          </w:p>
        </w:tc>
        <w:tc>
          <w:tcPr>
            <w:tcW w:w="7040" w:type="dxa"/>
            <w:vAlign w:val="bottom"/>
          </w:tcPr>
          <w:p>
            <w:pPr>
              <w:ind w:left="220"/>
              <w:spacing w:after="0" w:line="163" w:lineRule="exact"/>
              <w:rPr>
                <w:sz w:val="20"/>
                <w:szCs w:val="20"/>
                <w:color w:val="auto"/>
              </w:rPr>
            </w:pPr>
            <w:r>
              <w:rPr>
                <w:rFonts w:ascii="Arial" w:cs="Arial" w:eastAsia="Arial" w:hAnsi="Arial"/>
                <w:sz w:val="17"/>
                <w:szCs w:val="17"/>
                <w:color w:val="auto"/>
              </w:rPr>
              <w:t>Cover Page Interactive Data File (embedded within the Inline</w:t>
            </w:r>
          </w:p>
        </w:tc>
        <w:tc>
          <w:tcPr>
            <w:tcW w:w="2740" w:type="dxa"/>
            <w:vAlign w:val="bottom"/>
          </w:tcPr>
          <w:p>
            <w:pPr>
              <w:ind w:left="2140"/>
              <w:spacing w:after="0" w:line="163" w:lineRule="exact"/>
              <w:rPr>
                <w:sz w:val="20"/>
                <w:szCs w:val="20"/>
                <w:color w:val="auto"/>
              </w:rPr>
            </w:pPr>
            <w:r>
              <w:rPr>
                <w:rFonts w:ascii="Arial" w:cs="Arial" w:eastAsia="Arial" w:hAnsi="Arial"/>
                <w:sz w:val="17"/>
                <w:szCs w:val="17"/>
                <w:color w:val="auto"/>
              </w:rPr>
              <w:t>X</w:t>
            </w:r>
          </w:p>
        </w:tc>
      </w:tr>
      <w:tr>
        <w:trPr>
          <w:trHeight w:val="213"/>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40" w:type="dxa"/>
            <w:vAlign w:val="bottom"/>
          </w:tcPr>
          <w:p>
            <w:pPr>
              <w:ind w:left="220"/>
              <w:spacing w:after="0"/>
              <w:rPr>
                <w:sz w:val="20"/>
                <w:szCs w:val="20"/>
                <w:color w:val="auto"/>
              </w:rPr>
            </w:pPr>
            <w:r>
              <w:rPr>
                <w:rFonts w:ascii="Arial" w:cs="Arial" w:eastAsia="Arial" w:hAnsi="Arial"/>
                <w:sz w:val="17"/>
                <w:szCs w:val="17"/>
                <w:color w:val="auto"/>
              </w:rPr>
              <w:t>XBRL and contained in Exhibit 101)</w:t>
            </w:r>
          </w:p>
        </w:tc>
        <w:tc>
          <w:tcPr>
            <w:tcW w:w="2740" w:type="dxa"/>
            <w:vAlign w:val="bottom"/>
          </w:tcPr>
          <w:p>
            <w:pPr>
              <w:spacing w:after="0"/>
              <w:rPr>
                <w:sz w:val="18"/>
                <w:szCs w:val="18"/>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780" w:type="dxa"/>
            <w:vAlign w:val="bottom"/>
            <w:gridSpan w:val="2"/>
          </w:tcPr>
          <w:p>
            <w:pPr>
              <w:spacing w:after="0"/>
              <w:rPr>
                <w:sz w:val="18"/>
                <w:szCs w:val="18"/>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9780" w:type="dxa"/>
            <w:vAlign w:val="bottom"/>
            <w:gridSpan w:val="2"/>
          </w:tcPr>
          <w:p>
            <w:pPr>
              <w:ind w:left="220"/>
              <w:spacing w:after="0"/>
              <w:rPr>
                <w:sz w:val="20"/>
                <w:szCs w:val="20"/>
                <w:color w:val="auto"/>
              </w:rPr>
            </w:pPr>
            <w:r>
              <w:rPr>
                <w:rFonts w:ascii="Arial" w:cs="Arial" w:eastAsia="Arial" w:hAnsi="Arial"/>
                <w:sz w:val="17"/>
                <w:szCs w:val="17"/>
                <w:color w:val="auto"/>
                <w:w w:val="92"/>
              </w:rPr>
              <w:t>In accordance with Item 601(b)(32)(ii) of Regulation S-K and SEC Release No. 34-47986, the certifications furnished in Exhibits 32.1 and</w:t>
            </w:r>
          </w:p>
        </w:tc>
      </w:tr>
      <w:tr>
        <w:trPr>
          <w:trHeight w:val="163"/>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780" w:type="dxa"/>
            <w:vAlign w:val="bottom"/>
            <w:gridSpan w:val="2"/>
          </w:tcPr>
          <w:p>
            <w:pPr>
              <w:ind w:left="220"/>
              <w:spacing w:after="0" w:line="163" w:lineRule="exact"/>
              <w:rPr>
                <w:sz w:val="20"/>
                <w:szCs w:val="20"/>
                <w:color w:val="auto"/>
              </w:rPr>
            </w:pPr>
            <w:r>
              <w:rPr>
                <w:rFonts w:ascii="Arial" w:cs="Arial" w:eastAsia="Arial" w:hAnsi="Arial"/>
                <w:sz w:val="17"/>
                <w:szCs w:val="17"/>
                <w:color w:val="auto"/>
                <w:w w:val="93"/>
              </w:rPr>
              <w:t>32.2 hereto are deemed to accompany this Form 10-Q and will not be deemed “filed” for purposes of Section 18 of the Exchange Act or</w:t>
            </w:r>
          </w:p>
        </w:tc>
      </w:tr>
      <w:tr>
        <w:trPr>
          <w:trHeight w:val="163"/>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780" w:type="dxa"/>
            <w:vAlign w:val="bottom"/>
            <w:gridSpan w:val="2"/>
          </w:tcPr>
          <w:p>
            <w:pPr>
              <w:ind w:left="220"/>
              <w:spacing w:after="0" w:line="163" w:lineRule="exact"/>
              <w:rPr>
                <w:sz w:val="20"/>
                <w:szCs w:val="20"/>
                <w:color w:val="auto"/>
              </w:rPr>
            </w:pPr>
            <w:r>
              <w:rPr>
                <w:rFonts w:ascii="Arial" w:cs="Arial" w:eastAsia="Arial" w:hAnsi="Arial"/>
                <w:sz w:val="17"/>
                <w:szCs w:val="17"/>
                <w:color w:val="auto"/>
                <w:w w:val="91"/>
              </w:rPr>
              <w:t>deemed to be incorporated by reference into any filing under the Exchange Act or the Securities Act except to the extent that the registrant</w:t>
            </w:r>
          </w:p>
        </w:tc>
      </w:tr>
      <w:tr>
        <w:trPr>
          <w:trHeight w:val="213"/>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40" w:type="dxa"/>
            <w:vAlign w:val="bottom"/>
          </w:tcPr>
          <w:p>
            <w:pPr>
              <w:ind w:left="220"/>
              <w:spacing w:after="0"/>
              <w:rPr>
                <w:sz w:val="20"/>
                <w:szCs w:val="20"/>
                <w:color w:val="auto"/>
              </w:rPr>
            </w:pPr>
            <w:r>
              <w:rPr>
                <w:rFonts w:ascii="Arial" w:cs="Arial" w:eastAsia="Arial" w:hAnsi="Arial"/>
                <w:sz w:val="17"/>
                <w:szCs w:val="17"/>
                <w:color w:val="auto"/>
              </w:rPr>
              <w:t>specifically incorporates it by reference.</w:t>
            </w:r>
          </w:p>
        </w:tc>
        <w:tc>
          <w:tcPr>
            <w:tcW w:w="2740" w:type="dxa"/>
            <w:vAlign w:val="bottom"/>
          </w:tcPr>
          <w:p>
            <w:pPr>
              <w:spacing w:after="0"/>
              <w:rPr>
                <w:sz w:val="18"/>
                <w:szCs w:val="18"/>
                <w:color w:val="auto"/>
              </w:rPr>
            </w:pPr>
          </w:p>
        </w:tc>
      </w:tr>
      <w:tr>
        <w:trPr>
          <w:trHeight w:val="213"/>
        </w:trPr>
        <w:tc>
          <w:tcPr>
            <w:tcW w:w="118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040" w:type="dxa"/>
            <w:vAlign w:val="bottom"/>
          </w:tcPr>
          <w:p>
            <w:pPr>
              <w:ind w:left="220"/>
              <w:spacing w:after="0"/>
              <w:rPr>
                <w:sz w:val="20"/>
                <w:szCs w:val="20"/>
                <w:color w:val="auto"/>
              </w:rPr>
            </w:pPr>
            <w:r>
              <w:rPr>
                <w:rFonts w:ascii="Arial" w:cs="Arial" w:eastAsia="Arial" w:hAnsi="Arial"/>
                <w:sz w:val="17"/>
                <w:szCs w:val="17"/>
                <w:color w:val="auto"/>
              </w:rPr>
              <w:t>Indicates management contract or compensatory plan or arrangement.</w:t>
            </w:r>
          </w:p>
        </w:tc>
        <w:tc>
          <w:tcPr>
            <w:tcW w:w="2740" w:type="dxa"/>
            <w:vAlign w:val="bottom"/>
          </w:tcPr>
          <w:p>
            <w:pPr>
              <w:spacing w:after="0"/>
              <w:rPr>
                <w:sz w:val="18"/>
                <w:szCs w:val="18"/>
                <w:color w:val="auto"/>
              </w:rPr>
            </w:pPr>
          </w:p>
        </w:tc>
      </w:tr>
      <w:tr>
        <w:trPr>
          <w:trHeight w:val="788"/>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40" w:type="dxa"/>
            <w:vAlign w:val="bottom"/>
          </w:tcPr>
          <w:p>
            <w:pPr>
              <w:ind w:left="4080"/>
              <w:spacing w:after="0"/>
              <w:rPr>
                <w:sz w:val="20"/>
                <w:szCs w:val="20"/>
                <w:color w:val="auto"/>
              </w:rPr>
            </w:pPr>
            <w:r>
              <w:rPr>
                <w:rFonts w:ascii="Arial" w:cs="Arial" w:eastAsia="Arial" w:hAnsi="Arial"/>
                <w:sz w:val="17"/>
                <w:szCs w:val="17"/>
                <w:color w:val="auto"/>
              </w:rPr>
              <w:t>73</w:t>
            </w:r>
          </w:p>
        </w:tc>
        <w:tc>
          <w:tcPr>
            <w:tcW w:w="2740" w:type="dxa"/>
            <w:vAlign w:val="bottom"/>
          </w:tcPr>
          <w:p>
            <w:pPr>
              <w:spacing w:after="0"/>
              <w:rPr>
                <w:sz w:val="24"/>
                <w:szCs w:val="24"/>
                <w:color w:val="auto"/>
              </w:rPr>
            </w:pPr>
          </w:p>
        </w:tc>
      </w:tr>
      <w:tr>
        <w:trPr>
          <w:trHeight w:val="105"/>
        </w:trPr>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04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SIGNATURES</w:t>
      </w:r>
    </w:p>
    <w:p>
      <w:pPr>
        <w:spacing w:after="0" w:line="209" w:lineRule="exact"/>
        <w:rPr>
          <w:sz w:val="20"/>
          <w:szCs w:val="20"/>
          <w:color w:val="auto"/>
        </w:rPr>
      </w:pPr>
    </w:p>
    <w:p>
      <w:pPr>
        <w:ind w:firstLine="713"/>
        <w:spacing w:after="0" w:line="26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Date: May 3, 2022</w:t>
      </w: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VERACYTE, INC.</w:t>
      </w:r>
    </w:p>
    <w:p>
      <w:pPr>
        <w:spacing w:after="0" w:line="305" w:lineRule="exact"/>
        <w:rPr>
          <w:sz w:val="20"/>
          <w:szCs w:val="20"/>
          <w:color w:val="auto"/>
        </w:rPr>
      </w:pPr>
    </w:p>
    <w:p>
      <w:pPr>
        <w:ind w:left="4400"/>
        <w:spacing w:after="0"/>
        <w:tabs>
          <w:tab w:leader="none" w:pos="56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34925</wp:posOffset>
            </wp:positionV>
            <wp:extent cx="1835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2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Rebecca Chambers</w:t>
      </w:r>
    </w:p>
    <w:p>
      <w:pPr>
        <w:ind w:left="5680"/>
        <w:spacing w:after="0"/>
        <w:rPr>
          <w:sz w:val="20"/>
          <w:szCs w:val="20"/>
          <w:color w:val="auto"/>
        </w:rPr>
      </w:pPr>
      <w:r>
        <w:rPr>
          <w:rFonts w:ascii="Arial" w:cs="Arial" w:eastAsia="Arial" w:hAnsi="Arial"/>
          <w:sz w:val="17"/>
          <w:szCs w:val="17"/>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2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259715</wp:posOffset>
            </wp:positionV>
            <wp:extent cx="937260" cy="659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7260" cy="65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February 2,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Tina S. Nova, PhD</w:t>
      </w:r>
    </w:p>
    <w:p>
      <w:pPr>
        <w:spacing w:after="0"/>
        <w:rPr>
          <w:sz w:val="20"/>
          <w:szCs w:val="20"/>
          <w:color w:val="auto"/>
        </w:rPr>
      </w:pPr>
      <w:r>
        <w:rPr>
          <w:rFonts w:ascii="Arial" w:cs="Arial" w:eastAsia="Arial" w:hAnsi="Arial"/>
          <w:sz w:val="17"/>
          <w:szCs w:val="17"/>
          <w:i w:val="1"/>
          <w:iCs w:val="1"/>
          <w:color w:val="auto"/>
        </w:rPr>
        <w:t>Delivered by hand or via email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Dear Tina:</w:t>
      </w:r>
    </w:p>
    <w:p>
      <w:pPr>
        <w:spacing w:after="0" w:line="197" w:lineRule="exact"/>
        <w:rPr>
          <w:sz w:val="20"/>
          <w:szCs w:val="20"/>
          <w:color w:val="auto"/>
        </w:rPr>
      </w:pPr>
    </w:p>
    <w:p>
      <w:pPr>
        <w:jc w:val="both"/>
        <w:ind w:right="120"/>
        <w:spacing w:after="0" w:line="227" w:lineRule="auto"/>
        <w:rPr>
          <w:sz w:val="20"/>
          <w:szCs w:val="20"/>
          <w:color w:val="auto"/>
        </w:rPr>
      </w:pPr>
      <w:r>
        <w:rPr>
          <w:rFonts w:ascii="Arial" w:cs="Arial" w:eastAsia="Arial" w:hAnsi="Arial"/>
          <w:sz w:val="17"/>
          <w:szCs w:val="17"/>
          <w:color w:val="auto"/>
        </w:rPr>
        <w:t>As you may know,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Veracyte</w:t>
      </w:r>
      <w:r>
        <w:rPr>
          <w:rFonts w:ascii="Arial" w:cs="Arial" w:eastAsia="Arial" w:hAnsi="Arial"/>
          <w:sz w:val="17"/>
          <w:szCs w:val="17"/>
          <w:color w:val="auto"/>
        </w:rPr>
        <w:t>”)</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is entering into an agreement with Decipher Biosciences, Inc. (“</w:t>
      </w:r>
      <w:r>
        <w:rPr>
          <w:rFonts w:ascii="Arial" w:cs="Arial" w:eastAsia="Arial" w:hAnsi="Arial"/>
          <w:sz w:val="17"/>
          <w:szCs w:val="17"/>
          <w:b w:val="1"/>
          <w:bCs w:val="1"/>
          <w:i w:val="1"/>
          <w:iCs w:val="1"/>
          <w:color w:val="auto"/>
        </w:rPr>
        <w:t>Decipher</w:t>
      </w:r>
      <w:r>
        <w:rPr>
          <w:rFonts w:ascii="Arial" w:cs="Arial" w:eastAsia="Arial" w:hAnsi="Arial"/>
          <w:sz w:val="17"/>
          <w:szCs w:val="17"/>
          <w:color w:val="auto"/>
        </w:rPr>
        <w:t>”) , pursuant to which the Company will acquire Decipher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and the closing thereof,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This offer is contingent on the closing of the Merger, and if you accept this offer of employment (this “</w:t>
      </w:r>
      <w:r>
        <w:rPr>
          <w:rFonts w:ascii="Arial" w:cs="Arial" w:eastAsia="Arial" w:hAnsi="Arial"/>
          <w:sz w:val="17"/>
          <w:szCs w:val="17"/>
          <w:b w:val="1"/>
          <w:bCs w:val="1"/>
          <w:i w:val="1"/>
          <w:iCs w:val="1"/>
          <w:color w:val="auto"/>
        </w:rPr>
        <w:t>Offer Letter</w:t>
      </w:r>
      <w:r>
        <w:rPr>
          <w:rFonts w:ascii="Arial" w:cs="Arial" w:eastAsia="Arial" w:hAnsi="Arial"/>
          <w:sz w:val="17"/>
          <w:szCs w:val="17"/>
          <w:color w:val="auto"/>
        </w:rPr>
        <w:t>”) would take effect as of the Closing Date (your “</w:t>
      </w:r>
      <w:r>
        <w:rPr>
          <w:rFonts w:ascii="Arial" w:cs="Arial" w:eastAsia="Arial" w:hAnsi="Arial"/>
          <w:sz w:val="17"/>
          <w:szCs w:val="17"/>
          <w:b w:val="1"/>
          <w:bCs w:val="1"/>
          <w:i w:val="1"/>
          <w:iCs w:val="1"/>
          <w:color w:val="auto"/>
        </w:rPr>
        <w:t>Veracyte Start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Date</w:t>
      </w:r>
      <w:r>
        <w:rPr>
          <w:rFonts w:ascii="Arial" w:cs="Arial" w:eastAsia="Arial" w:hAnsi="Arial"/>
          <w:sz w:val="17"/>
          <w:szCs w:val="17"/>
          <w:color w:val="auto"/>
        </w:rPr>
        <w:t>”). You are critical to the Merger and it is a material condition to the Company’s willingness to complete the Merger that you enter into this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Letter.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this offer are as follows and will be effective as of your Veracyte Start Date:</w:t>
      </w:r>
    </w:p>
    <w:p>
      <w:pPr>
        <w:spacing w:after="0" w:line="210" w:lineRule="exact"/>
        <w:rPr>
          <w:sz w:val="20"/>
          <w:szCs w:val="20"/>
          <w:color w:val="auto"/>
        </w:rPr>
      </w:pPr>
    </w:p>
    <w:p>
      <w:pPr>
        <w:jc w:val="both"/>
        <w:ind w:left="600" w:right="120" w:hanging="296"/>
        <w:spacing w:after="0" w:line="276" w:lineRule="auto"/>
        <w:tabs>
          <w:tab w:leader="none" w:pos="636"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Position. </w:t>
      </w:r>
      <w:r>
        <w:rPr>
          <w:rFonts w:ascii="Arial" w:cs="Arial" w:eastAsia="Arial" w:hAnsi="Arial"/>
          <w:sz w:val="17"/>
          <w:szCs w:val="17"/>
          <w:color w:val="auto"/>
        </w:rPr>
        <w:t>You will serve as General Manager, Urological Cancers. In this role, you will report to Bonnie H. Anderson,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and Chief Executive Officer. You have committed to remain actively employed on a full-time basis for at least 12 months after the Closing Date (following which time you and the Company agree to discuss your go-forward work schedule).</w:t>
      </w:r>
    </w:p>
    <w:p>
      <w:pPr>
        <w:spacing w:after="0" w:line="126" w:lineRule="exact"/>
        <w:rPr>
          <w:rFonts w:ascii="Arial" w:cs="Arial" w:eastAsia="Arial" w:hAnsi="Arial"/>
          <w:sz w:val="17"/>
          <w:szCs w:val="17"/>
          <w:color w:val="auto"/>
        </w:rPr>
      </w:pPr>
    </w:p>
    <w:p>
      <w:pPr>
        <w:ind w:left="600" w:right="140" w:hanging="296"/>
        <w:spacing w:after="0" w:line="307" w:lineRule="auto"/>
        <w:tabs>
          <w:tab w:leader="none" w:pos="687"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You will receive a base salary of $475,000 per year, paid in accordance with the Company’s established payroll schedule,</w:t>
      </w:r>
      <w:r>
        <w:rPr>
          <w:rFonts w:ascii="Arial" w:cs="Arial" w:eastAsia="Arial" w:hAnsi="Arial"/>
          <w:sz w:val="17"/>
          <w:szCs w:val="17"/>
          <w:b w:val="1"/>
          <w:bCs w:val="1"/>
          <w:color w:val="auto"/>
        </w:rPr>
        <w:t xml:space="preserve"> </w:t>
      </w:r>
      <w:r>
        <w:rPr>
          <w:rFonts w:ascii="Arial" w:cs="Arial" w:eastAsia="Arial" w:hAnsi="Arial"/>
          <w:sz w:val="17"/>
          <w:szCs w:val="17"/>
          <w:color w:val="auto"/>
        </w:rPr>
        <w:t>presently semi-monthly.</w:t>
      </w:r>
    </w:p>
    <w:p>
      <w:pPr>
        <w:spacing w:after="0" w:line="100" w:lineRule="exact"/>
        <w:rPr>
          <w:rFonts w:ascii="Arial" w:cs="Arial" w:eastAsia="Arial" w:hAnsi="Arial"/>
          <w:sz w:val="17"/>
          <w:szCs w:val="17"/>
          <w:color w:val="auto"/>
        </w:rPr>
      </w:pPr>
    </w:p>
    <w:p>
      <w:pPr>
        <w:jc w:val="both"/>
        <w:ind w:left="600" w:hanging="296"/>
        <w:spacing w:after="0" w:line="264" w:lineRule="auto"/>
        <w:tabs>
          <w:tab w:leader="none" w:pos="737"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Annual Bonus. </w:t>
      </w:r>
      <w:r>
        <w:rPr>
          <w:rFonts w:ascii="Arial" w:cs="Arial" w:eastAsia="Arial" w:hAnsi="Arial"/>
          <w:sz w:val="17"/>
          <w:szCs w:val="17"/>
          <w:color w:val="auto"/>
        </w:rPr>
        <w:t>It is currently intended that you will continue to participate in the Decipher bonus plan in which you were participating</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prior to the Closing Date (the “</w:t>
      </w:r>
      <w:r>
        <w:rPr>
          <w:rFonts w:ascii="Arial" w:cs="Arial" w:eastAsia="Arial" w:hAnsi="Arial"/>
          <w:sz w:val="17"/>
          <w:szCs w:val="17"/>
          <w:b w:val="1"/>
          <w:bCs w:val="1"/>
          <w:i w:val="1"/>
          <w:iCs w:val="1"/>
          <w:color w:val="auto"/>
        </w:rPr>
        <w:t>Decipher Incentive Plan</w:t>
      </w:r>
      <w:r>
        <w:rPr>
          <w:rFonts w:ascii="Arial" w:cs="Arial" w:eastAsia="Arial" w:hAnsi="Arial"/>
          <w:sz w:val="17"/>
          <w:szCs w:val="17"/>
          <w:color w:val="auto"/>
        </w:rPr>
        <w:t>”) from the Closing Date through the end of the current plan performance year, with a target bonus of 50% of your annual base salary payable contingent upon the achievement of individual and corporate performance metrics applicable thereto and your continued employment through the date of payment, as determined by the Company. Beginning at such time as deemed appropriate by the Company, which is currently anticipated to be the Company’s 2022 first fiscal quarter, you will join a Company incentive bonus plan or sales commission plan (as applicable, the “</w:t>
      </w:r>
      <w:r>
        <w:rPr>
          <w:rFonts w:ascii="Arial" w:cs="Arial" w:eastAsia="Arial" w:hAnsi="Arial"/>
          <w:sz w:val="17"/>
          <w:szCs w:val="17"/>
          <w:b w:val="1"/>
          <w:bCs w:val="1"/>
          <w:i w:val="1"/>
          <w:iCs w:val="1"/>
          <w:color w:val="auto"/>
        </w:rPr>
        <w:t>Company Incentive Plan</w:t>
      </w:r>
      <w:r>
        <w:rPr>
          <w:rFonts w:ascii="Arial" w:cs="Arial" w:eastAsia="Arial" w:hAnsi="Arial"/>
          <w:sz w:val="17"/>
          <w:szCs w:val="17"/>
          <w:color w:val="auto"/>
        </w:rPr>
        <w:t>”). Your eligibility and compensation under the Decipher Incentive Plan and/or the Company Incentive Plan and/or any other applicable incentive or commission plan will be governed by applicable law, the terms of the plan and applicable Decipher or Company policy as established from time to time. For the avoidance of doubt, the rules of the Decipher Incentive Plan and the Company Incentive Plan, as applicable, may be terminated, replaced or amended by the Company at any time in its discretion.</w:t>
      </w:r>
    </w:p>
    <w:p>
      <w:pPr>
        <w:spacing w:after="0" w:line="214" w:lineRule="exact"/>
        <w:rPr>
          <w:rFonts w:ascii="Arial" w:cs="Arial" w:eastAsia="Arial" w:hAnsi="Arial"/>
          <w:sz w:val="17"/>
          <w:szCs w:val="17"/>
          <w:color w:val="auto"/>
        </w:rPr>
      </w:pPr>
    </w:p>
    <w:p>
      <w:pPr>
        <w:jc w:val="both"/>
        <w:ind w:left="600" w:right="120" w:hanging="296"/>
        <w:spacing w:after="0" w:line="276" w:lineRule="auto"/>
        <w:tabs>
          <w:tab w:leader="none" w:pos="699"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 xml:space="preserve">Employee Benefits. </w:t>
      </w:r>
      <w:r>
        <w:rPr>
          <w:rFonts w:ascii="Arial" w:cs="Arial" w:eastAsia="Arial" w:hAnsi="Arial"/>
          <w:sz w:val="17"/>
          <w:szCs w:val="17"/>
          <w:color w:val="auto"/>
        </w:rPr>
        <w:t>From the Closing Date through the date specified by the Company in its sole discretion, you will remain eligible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those Decipher-sponsored benefit plans in which you were participating immediately prior to the Closing Date. Beginning at such time as deemed appropriate by the Company, your participation under the foregoing Decipher plans will cease,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125095</wp:posOffset>
            </wp:positionV>
            <wp:extent cx="15252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pacing w:after="0" w:line="352" w:lineRule="exact"/>
        <w:rPr>
          <w:sz w:val="20"/>
          <w:szCs w:val="20"/>
          <w:color w:val="auto"/>
        </w:rPr>
      </w:pPr>
    </w:p>
    <w:p>
      <w:pPr>
        <w:ind w:right="500" w:firstLine="3"/>
        <w:spacing w:after="0" w:line="194" w:lineRule="auto"/>
        <w:tabs>
          <w:tab w:leader="none" w:pos="107"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Any reference to “Veracyte” or “Company” will be understood to include any direct or indirect subsidiary of Veracyte if, following the Merger, you become an employee of or provide services to such a subsidiary, including Decipher.</w:t>
      </w:r>
    </w:p>
    <w:p>
      <w:pPr>
        <w:spacing w:after="0" w:line="26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6000 Shoreline Court, Suite 300, South San Francisco, CA 94080 | T: 650.243.6302 | F: 650.243.6301</w:t>
      </w:r>
    </w:p>
    <w:p>
      <w:pPr>
        <w:sectPr>
          <w:pgSz w:w="11900" w:h="16838" w:orient="portrait"/>
          <w:cols w:equalWidth="0" w:num="1">
            <w:col w:w="11160"/>
          </w:cols>
          <w:pgMar w:left="400" w:top="124" w:right="339" w:bottom="1440" w:gutter="0" w:footer="0" w:header="0"/>
        </w:sectPr>
      </w:pPr>
    </w:p>
    <w:bookmarkStart w:id="79" w:name="page80"/>
    <w:bookmarkEnd w:id="79"/>
    <w:p>
      <w:pPr>
        <w:jc w:val="both"/>
        <w:ind w:left="297" w:right="120"/>
        <w:spacing w:after="0" w:line="267" w:lineRule="auto"/>
        <w:rPr>
          <w:sz w:val="20"/>
          <w:szCs w:val="20"/>
          <w:color w:val="auto"/>
        </w:rPr>
      </w:pPr>
      <w:r>
        <w:rPr>
          <w:rFonts w:ascii="Arial" w:cs="Arial" w:eastAsia="Arial" w:hAnsi="Arial"/>
          <w:sz w:val="17"/>
          <w:szCs w:val="17"/>
          <w:color w:val="auto"/>
        </w:rPr>
        <w:t>you will join Company benefit plans commensurate with those provided to similarly situated Company employees, as may be in effect from time to time.</w:t>
      </w:r>
    </w:p>
    <w:p>
      <w:pPr>
        <w:spacing w:after="0" w:line="153" w:lineRule="exact"/>
        <w:rPr>
          <w:sz w:val="20"/>
          <w:szCs w:val="20"/>
          <w:color w:val="auto"/>
        </w:rPr>
      </w:pPr>
    </w:p>
    <w:p>
      <w:pPr>
        <w:jc w:val="both"/>
        <w:ind w:left="297" w:right="120"/>
        <w:spacing w:after="0" w:line="262" w:lineRule="auto"/>
        <w:rPr>
          <w:sz w:val="20"/>
          <w:szCs w:val="20"/>
          <w:color w:val="auto"/>
        </w:rPr>
      </w:pPr>
      <w:r>
        <w:rPr>
          <w:rFonts w:ascii="Arial" w:cs="Arial" w:eastAsia="Arial" w:hAnsi="Arial"/>
          <w:sz w:val="17"/>
          <w:szCs w:val="17"/>
          <w:color w:val="auto"/>
        </w:rPr>
        <w:t>Subject to applicable enrollment waiting period and/or eligibility requirements, in connection with your employment with the Company following the Closing Date, you will be eligible to participate in the Company’s 401(k) Plan and Employee Stock Purchase Plan, in accordance with the terms and conditions of such plans as may be in effect from time to time. Also, you will be eligible for paid time off and company paid holidays in accordance with the Company’s established policies. These and other policies are explained fully in the Company’s employee handbook, which will be provided to you upon joining the Company.</w:t>
      </w:r>
    </w:p>
    <w:p>
      <w:pPr>
        <w:spacing w:after="0" w:line="202" w:lineRule="exact"/>
        <w:rPr>
          <w:sz w:val="20"/>
          <w:szCs w:val="20"/>
          <w:color w:val="auto"/>
        </w:rPr>
      </w:pPr>
    </w:p>
    <w:p>
      <w:pPr>
        <w:jc w:val="both"/>
        <w:ind w:left="297" w:right="120" w:hanging="296"/>
        <w:spacing w:after="0" w:line="271" w:lineRule="auto"/>
        <w:tabs>
          <w:tab w:leader="none" w:pos="334"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Subject to approval by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you will be granted 30,000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units (“</w:t>
      </w:r>
      <w:r>
        <w:rPr>
          <w:rFonts w:ascii="Arial" w:cs="Arial" w:eastAsia="Arial" w:hAnsi="Arial"/>
          <w:sz w:val="17"/>
          <w:szCs w:val="17"/>
          <w:b w:val="1"/>
          <w:bCs w:val="1"/>
          <w:i w:val="1"/>
          <w:iCs w:val="1"/>
          <w:color w:val="auto"/>
        </w:rPr>
        <w:t>RSUs</w:t>
      </w:r>
      <w:r>
        <w:rPr>
          <w:rFonts w:ascii="Arial" w:cs="Arial" w:eastAsia="Arial" w:hAnsi="Arial"/>
          <w:sz w:val="17"/>
          <w:szCs w:val="17"/>
          <w:color w:val="auto"/>
        </w:rPr>
        <w:t>”) to acquire shares of the Company’s common stock following your Veracyte Start Date. Your RSUs will vest on March 2, 2022, subject to your continued service through such date. Your RSUs will be further subject to the terms and conditions set forth in the applicable award agreement between you and the Company and the Company’s 2013 Stock Incentive Plan.</w:t>
      </w:r>
    </w:p>
    <w:p>
      <w:pPr>
        <w:spacing w:after="0" w:line="213" w:lineRule="exact"/>
        <w:rPr>
          <w:sz w:val="20"/>
          <w:szCs w:val="20"/>
          <w:color w:val="auto"/>
        </w:rPr>
      </w:pPr>
    </w:p>
    <w:p>
      <w:pPr>
        <w:ind w:left="297" w:right="140"/>
        <w:spacing w:after="0" w:line="283" w:lineRule="auto"/>
        <w:rPr>
          <w:sz w:val="20"/>
          <w:szCs w:val="20"/>
          <w:color w:val="auto"/>
        </w:rPr>
      </w:pPr>
      <w:r>
        <w:rPr>
          <w:rFonts w:ascii="Arial" w:cs="Arial" w:eastAsia="Arial" w:hAnsi="Arial"/>
          <w:sz w:val="17"/>
          <w:szCs w:val="17"/>
          <w:color w:val="auto"/>
        </w:rPr>
        <w:t>The Company may modify the preceding terms of employment, including job titles and reporting relationships from time to time, as it deems necessary.</w:t>
      </w:r>
    </w:p>
    <w:p>
      <w:pPr>
        <w:spacing w:after="0" w:line="107" w:lineRule="exact"/>
        <w:rPr>
          <w:sz w:val="20"/>
          <w:szCs w:val="20"/>
          <w:color w:val="auto"/>
        </w:rPr>
      </w:pPr>
    </w:p>
    <w:p>
      <w:pPr>
        <w:ind w:left="317" w:hanging="317"/>
        <w:spacing w:after="0"/>
        <w:tabs>
          <w:tab w:leader="none" w:pos="317"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Location. </w:t>
      </w:r>
      <w:r>
        <w:rPr>
          <w:rFonts w:ascii="Arial" w:cs="Arial" w:eastAsia="Arial" w:hAnsi="Arial"/>
          <w:sz w:val="17"/>
          <w:szCs w:val="17"/>
          <w:color w:val="auto"/>
        </w:rPr>
        <w:t>Your location of employment will be San Diego, California.</w:t>
      </w:r>
    </w:p>
    <w:p>
      <w:pPr>
        <w:spacing w:after="0" w:line="217" w:lineRule="exact"/>
        <w:rPr>
          <w:rFonts w:ascii="Arial" w:cs="Arial" w:eastAsia="Arial" w:hAnsi="Arial"/>
          <w:sz w:val="17"/>
          <w:szCs w:val="17"/>
          <w:color w:val="auto"/>
        </w:rPr>
      </w:pPr>
    </w:p>
    <w:p>
      <w:pPr>
        <w:jc w:val="both"/>
        <w:ind w:left="297" w:right="120" w:hanging="296"/>
        <w:spacing w:after="0" w:line="271" w:lineRule="auto"/>
        <w:tabs>
          <w:tab w:leader="none" w:pos="334"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 xml:space="preserve">Severance. </w:t>
      </w:r>
      <w:r>
        <w:rPr>
          <w:rFonts w:ascii="Arial" w:cs="Arial" w:eastAsia="Arial" w:hAnsi="Arial"/>
          <w:sz w:val="17"/>
          <w:szCs w:val="17"/>
          <w:color w:val="auto"/>
        </w:rPr>
        <w:t>You will enter into the Company’s Change of Control and Severance Agreement to be provided concurrently herewith (the “</w:t>
      </w:r>
      <w:r>
        <w:rPr>
          <w:rFonts w:ascii="Arial" w:cs="Arial" w:eastAsia="Arial" w:hAnsi="Arial"/>
          <w:sz w:val="17"/>
          <w:szCs w:val="17"/>
          <w:b w:val="1"/>
          <w:bCs w:val="1"/>
          <w:i w:val="1"/>
          <w:iCs w:val="1"/>
          <w:color w:val="auto"/>
        </w:rPr>
        <w:t>CIC</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By your signature below, you acknowledge and agree that any transition of your employment from full-time to part-time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or to another service role as contemplated in Section 1 of this Offer Letter, shall not entitle you to any payments or benefits payable or to be provided pursuant to Section 3(a) of the CIC Agreement.</w:t>
      </w:r>
    </w:p>
    <w:p>
      <w:pPr>
        <w:spacing w:after="0" w:line="226" w:lineRule="exact"/>
        <w:rPr>
          <w:sz w:val="20"/>
          <w:szCs w:val="20"/>
          <w:color w:val="auto"/>
        </w:rPr>
      </w:pPr>
    </w:p>
    <w:p>
      <w:pPr>
        <w:jc w:val="both"/>
        <w:ind w:left="297" w:right="120"/>
        <w:spacing w:after="0" w:line="261" w:lineRule="auto"/>
        <w:rPr>
          <w:sz w:val="20"/>
          <w:szCs w:val="20"/>
          <w:color w:val="auto"/>
        </w:rPr>
      </w:pPr>
      <w:r>
        <w:rPr>
          <w:rFonts w:ascii="Arial" w:cs="Arial" w:eastAsia="Arial" w:hAnsi="Arial"/>
          <w:sz w:val="17"/>
          <w:szCs w:val="17"/>
          <w:color w:val="auto"/>
        </w:rPr>
        <w:t xml:space="preserve">By your signature below, you acknowledge and agree that the transition of your employment from Decipher to the Company and/or your employment under the terms of this Offer Letter shall not constitute, nor entitle you to any payments or benefits payable or to be provided upon a termination of your employment without Cause (as defined under the employment offer letter by and between you and Decipher dated August 6, 2018 (your “Decipher </w:t>
      </w:r>
      <w:r>
        <w:rPr>
          <w:rFonts w:ascii="Arial" w:cs="Arial" w:eastAsia="Arial" w:hAnsi="Arial"/>
          <w:sz w:val="17"/>
          <w:szCs w:val="17"/>
          <w:b w:val="1"/>
          <w:bCs w:val="1"/>
          <w:i w:val="1"/>
          <w:iCs w:val="1"/>
          <w:color w:val="auto"/>
        </w:rPr>
        <w:t>Offer Letter</w:t>
      </w:r>
      <w:r>
        <w:rPr>
          <w:rFonts w:ascii="Arial" w:cs="Arial" w:eastAsia="Arial" w:hAnsi="Arial"/>
          <w:sz w:val="17"/>
          <w:szCs w:val="17"/>
          <w:color w:val="auto"/>
        </w:rPr>
        <w:t>”)) or resignation for Good Reason (as defined under your Decipher Offer Letter) pursuant to your Decipher Offer Letter. In addition, you acknowledge and agree that (after giving effect to the “single trigger” acceleration of your Decipher equity awards upon the Closing of the Merger), you will not be entitled to any severance benefits or additional acceleration benefits arising under any agreement or understanding that you may have between you and Decipher, including but not limited to the Decipher Offer Letter, or under Decipher policy (the “</w:t>
      </w:r>
      <w:r>
        <w:rPr>
          <w:rFonts w:ascii="Arial" w:cs="Arial" w:eastAsia="Arial" w:hAnsi="Arial"/>
          <w:sz w:val="17"/>
          <w:szCs w:val="17"/>
          <w:b w:val="1"/>
          <w:bCs w:val="1"/>
          <w:i w:val="1"/>
          <w:iCs w:val="1"/>
          <w:color w:val="auto"/>
        </w:rPr>
        <w:t>Old Severance and Acceleration Benefits</w:t>
      </w:r>
      <w:r>
        <w:rPr>
          <w:rFonts w:ascii="Arial" w:cs="Arial" w:eastAsia="Arial" w:hAnsi="Arial"/>
          <w:sz w:val="17"/>
          <w:szCs w:val="17"/>
          <w:color w:val="auto"/>
        </w:rPr>
        <w:t>”). You agree that by signing this Offer Letter you waive all rights to the Old Severance and Acceleration Benefits and, for the avoidance of doubt, you acknowledge and agree that no Company equity awards you may be granted, including but not limited to the RSUs, shall be subject to any acceleration pursuant to the Old Severance and Acceleration Benefits.</w:t>
      </w:r>
    </w:p>
    <w:p>
      <w:pPr>
        <w:spacing w:after="0" w:line="207" w:lineRule="exact"/>
        <w:rPr>
          <w:sz w:val="20"/>
          <w:szCs w:val="20"/>
          <w:color w:val="auto"/>
        </w:rPr>
      </w:pPr>
    </w:p>
    <w:p>
      <w:pPr>
        <w:ind w:left="297" w:hanging="296"/>
        <w:spacing w:after="0" w:line="292" w:lineRule="auto"/>
        <w:tabs>
          <w:tab w:leader="none" w:pos="321"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 xml:space="preserve">Restrictive Covenant. </w:t>
      </w:r>
      <w:r>
        <w:rPr>
          <w:rFonts w:ascii="Arial" w:cs="Arial" w:eastAsia="Arial" w:hAnsi="Arial"/>
          <w:sz w:val="17"/>
          <w:szCs w:val="17"/>
          <w:color w:val="auto"/>
        </w:rPr>
        <w:t>This offer and the Merger are also contingent on you executing the Restrictive Covenant Agreement, a copy of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with this Offer Letter (the “</w:t>
      </w:r>
      <w:r>
        <w:rPr>
          <w:rFonts w:ascii="Arial" w:cs="Arial" w:eastAsia="Arial" w:hAnsi="Arial"/>
          <w:sz w:val="17"/>
          <w:szCs w:val="17"/>
          <w:b w:val="1"/>
          <w:bCs w:val="1"/>
          <w:i w:val="1"/>
          <w:iCs w:val="1"/>
          <w:color w:val="auto"/>
        </w:rPr>
        <w:t>Restrictive Covenant Agreement</w:t>
      </w:r>
      <w:r>
        <w:rPr>
          <w:rFonts w:ascii="Arial" w:cs="Arial" w:eastAsia="Arial" w:hAnsi="Arial"/>
          <w:sz w:val="17"/>
          <w:szCs w:val="17"/>
          <w:color w:val="auto"/>
        </w:rPr>
        <w:t>”).</w:t>
      </w:r>
    </w:p>
    <w:p>
      <w:pPr>
        <w:sectPr>
          <w:pgSz w:w="11900" w:h="16838" w:orient="portrait"/>
          <w:cols w:equalWidth="0" w:num="1">
            <w:col w:w="10857"/>
          </w:cols>
          <w:pgMar w:left="703" w:top="1440" w:right="3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2268855</wp:posOffset>
            </wp:positionH>
            <wp:positionV relativeFrom="page">
              <wp:posOffset>613410</wp:posOffset>
            </wp:positionV>
            <wp:extent cx="937260" cy="659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937260" cy="65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297"/>
        <w:spacing w:after="0" w:line="267" w:lineRule="auto"/>
        <w:rPr>
          <w:sz w:val="20"/>
          <w:szCs w:val="20"/>
          <w:color w:val="auto"/>
        </w:rPr>
      </w:pPr>
      <w:r>
        <w:rPr>
          <w:rFonts w:ascii="Arial" w:cs="Arial" w:eastAsia="Arial" w:hAnsi="Arial"/>
          <w:sz w:val="17"/>
          <w:szCs w:val="17"/>
          <w:color w:val="auto"/>
        </w:rPr>
        <w:t>Prior to the Closing, you agree to exercise and hold through Closing at least 46,340 of your vested options to purchase Decipher common stock.</w:t>
      </w:r>
    </w:p>
    <w:p>
      <w:pPr>
        <w:spacing w:after="0" w:line="141" w:lineRule="exact"/>
        <w:rPr>
          <w:sz w:val="20"/>
          <w:szCs w:val="20"/>
          <w:color w:val="auto"/>
        </w:rPr>
      </w:pPr>
    </w:p>
    <w:p>
      <w:pPr>
        <w:jc w:val="both"/>
        <w:ind w:left="297"/>
        <w:spacing w:after="0" w:line="262" w:lineRule="auto"/>
        <w:rPr>
          <w:sz w:val="20"/>
          <w:szCs w:val="20"/>
          <w:color w:val="auto"/>
        </w:rPr>
      </w:pPr>
      <w:r>
        <w:rPr>
          <w:rFonts w:ascii="Arial" w:cs="Arial" w:eastAsia="Arial" w:hAnsi="Arial"/>
          <w:sz w:val="17"/>
          <w:szCs w:val="17"/>
          <w:color w:val="auto"/>
        </w:rPr>
        <w:t>You agree that during your employment with the Company you will not engage in any other employment, business, or business-related activity unless you receive prior written approval from the Company to hold such outside employment or engage in such business or activity. You further agree that you have disclosed to the Company all of your existing employment and/or business relationships, including, but not limited to, any consulting or advising relationships, outside directorships, investments in privately held companies, and any other relationships that may create a conflict of interest.</w:t>
      </w:r>
    </w:p>
    <w:p>
      <w:pPr>
        <w:spacing w:after="0" w:line="189" w:lineRule="exact"/>
        <w:rPr>
          <w:sz w:val="20"/>
          <w:szCs w:val="20"/>
          <w:color w:val="auto"/>
        </w:rPr>
      </w:pPr>
    </w:p>
    <w:p>
      <w:pPr>
        <w:ind w:left="317" w:hanging="317"/>
        <w:spacing w:after="0"/>
        <w:tabs>
          <w:tab w:leader="none" w:pos="317"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w:t>
      </w:r>
    </w:p>
    <w:p>
      <w:pPr>
        <w:spacing w:after="0" w:line="217" w:lineRule="exact"/>
        <w:rPr>
          <w:rFonts w:ascii="Arial" w:cs="Arial" w:eastAsia="Arial" w:hAnsi="Arial"/>
          <w:sz w:val="17"/>
          <w:szCs w:val="17"/>
          <w:color w:val="auto"/>
        </w:rPr>
      </w:pPr>
    </w:p>
    <w:p>
      <w:pPr>
        <w:jc w:val="both"/>
        <w:ind w:left="297" w:right="20" w:firstLine="304"/>
        <w:spacing w:after="0" w:line="276" w:lineRule="auto"/>
        <w:tabs>
          <w:tab w:leader="none" w:pos="986" w:val="left"/>
        </w:tabs>
        <w:numPr>
          <w:ilvl w:val="1"/>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Tax Advice. </w:t>
      </w:r>
      <w:r>
        <w:rPr>
          <w:rFonts w:ascii="Arial" w:cs="Arial" w:eastAsia="Arial" w:hAnsi="Arial"/>
          <w:sz w:val="17"/>
          <w:szCs w:val="17"/>
          <w:color w:val="auto"/>
        </w:rPr>
        <w:t>You are encouraged to obtain your own tax advice regarding your compensation from the Company. You agree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does not have a duty to design its compensation policies in a manner that minimizes your tax liabilities, and you will not make any claim against the Company or its Board related to tax liabilities arising from your compensation.</w:t>
      </w:r>
    </w:p>
    <w:p>
      <w:pPr>
        <w:spacing w:after="0" w:line="113" w:lineRule="exact"/>
        <w:rPr>
          <w:rFonts w:ascii="Arial" w:cs="Arial" w:eastAsia="Arial" w:hAnsi="Arial"/>
          <w:sz w:val="17"/>
          <w:szCs w:val="17"/>
          <w:color w:val="auto"/>
        </w:rPr>
      </w:pPr>
    </w:p>
    <w:p>
      <w:pPr>
        <w:jc w:val="both"/>
        <w:ind w:left="297" w:firstLine="304"/>
        <w:spacing w:after="0" w:line="264" w:lineRule="auto"/>
        <w:tabs>
          <w:tab w:leader="none" w:pos="1061" w:val="left"/>
        </w:tabs>
        <w:numPr>
          <w:ilvl w:val="1"/>
          <w:numId w:val="39"/>
        </w:numPr>
        <w:rPr>
          <w:rFonts w:ascii="Arial" w:cs="Arial" w:eastAsia="Arial" w:hAnsi="Arial"/>
          <w:sz w:val="17"/>
          <w:szCs w:val="17"/>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This Offer Letter will be interpreted consistent with (or if appropriate, exempt from) Section 409A of the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Code of 1986, as amended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However, neither the Company, Decipher nor any of their respective affiliates, employees, counsel or representatives will have any liability to you with respect to any taxes, penalties, interest or other costs or expenses you, your estate or beneficiaries may incur under Section 409A or any other Federal, state or local tax provision or requirement. Any amounts or benefits payable upon your “separation from service” (within the meaning of Section 409A) with the Company that are subject to, and not exempt from, Section 409A (“</w:t>
      </w:r>
      <w:r>
        <w:rPr>
          <w:rFonts w:ascii="Arial" w:cs="Arial" w:eastAsia="Arial" w:hAnsi="Arial"/>
          <w:sz w:val="17"/>
          <w:szCs w:val="17"/>
          <w:b w:val="1"/>
          <w:bCs w:val="1"/>
          <w:i w:val="1"/>
          <w:iCs w:val="1"/>
          <w:color w:val="auto"/>
        </w:rPr>
        <w:t>Section 409A Payments</w:t>
      </w:r>
      <w:r>
        <w:rPr>
          <w:rFonts w:ascii="Arial" w:cs="Arial" w:eastAsia="Arial" w:hAnsi="Arial"/>
          <w:sz w:val="17"/>
          <w:szCs w:val="17"/>
          <w:color w:val="auto"/>
        </w:rPr>
        <w:t>”) will be delayed if you are a “specified” employee under Section 409A until six months after such separation or, if earlier, your death. Delayed payments will be paid in a lump sum at the expiration of the delay period and any payments not delayed will be paid in accordance with their original schedule. With respect to Section 409A Payments, termination of employment will mean “separation from service” under Section 409A or, earlier, upon a timely established permissible payment event under Section 409A, if any. Payments under this Offer Letter are intended to constitute separate payments for purposes of Section 409A to the maximum extent permitted.</w:t>
      </w:r>
    </w:p>
    <w:p>
      <w:pPr>
        <w:spacing w:after="0" w:line="199" w:lineRule="exact"/>
        <w:rPr>
          <w:rFonts w:ascii="Arial" w:cs="Arial" w:eastAsia="Arial" w:hAnsi="Arial"/>
          <w:sz w:val="17"/>
          <w:szCs w:val="17"/>
          <w:color w:val="auto"/>
        </w:rPr>
      </w:pPr>
    </w:p>
    <w:p>
      <w:pPr>
        <w:ind w:left="297" w:hanging="296"/>
        <w:spacing w:after="0" w:line="307" w:lineRule="auto"/>
        <w:tabs>
          <w:tab w:leader="none" w:pos="439"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All forms of compensation referred to in this Offer Letter are subject to reduction to reflect applicable withholding and payroll</w:t>
      </w:r>
      <w:r>
        <w:rPr>
          <w:rFonts w:ascii="Arial" w:cs="Arial" w:eastAsia="Arial" w:hAnsi="Arial"/>
          <w:sz w:val="17"/>
          <w:szCs w:val="17"/>
          <w:b w:val="1"/>
          <w:bCs w:val="1"/>
          <w:color w:val="auto"/>
        </w:rPr>
        <w:t xml:space="preserve"> </w:t>
      </w:r>
      <w:r>
        <w:rPr>
          <w:rFonts w:ascii="Arial" w:cs="Arial" w:eastAsia="Arial" w:hAnsi="Arial"/>
          <w:sz w:val="17"/>
          <w:szCs w:val="17"/>
          <w:color w:val="auto"/>
        </w:rPr>
        <w:t>taxes and other deductions required by law.</w:t>
      </w:r>
    </w:p>
    <w:p>
      <w:pPr>
        <w:spacing w:after="0" w:line="112" w:lineRule="exact"/>
        <w:rPr>
          <w:rFonts w:ascii="Arial" w:cs="Arial" w:eastAsia="Arial" w:hAnsi="Arial"/>
          <w:sz w:val="17"/>
          <w:szCs w:val="17"/>
          <w:color w:val="auto"/>
        </w:rPr>
      </w:pPr>
    </w:p>
    <w:p>
      <w:pPr>
        <w:jc w:val="both"/>
        <w:ind w:left="297" w:hanging="296"/>
        <w:spacing w:after="0" w:line="271" w:lineRule="auto"/>
        <w:tabs>
          <w:tab w:leader="none" w:pos="514"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Work Authorization; Background Check. </w:t>
      </w:r>
      <w:r>
        <w:rPr>
          <w:rFonts w:ascii="Arial" w:cs="Arial" w:eastAsia="Arial" w:hAnsi="Arial"/>
          <w:sz w:val="17"/>
          <w:szCs w:val="17"/>
          <w:color w:val="auto"/>
        </w:rPr>
        <w:t>In accordance with federal immigration law, you will be required to provide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documentary evidence of your identity and eligibility for employment in the United States. This documentation must be provided to the Company within three (3) business days of your date of hire, or the Company may terminate its employment relationship with you. In addition, your offer of employment is contingent upon a successfully completed background report.</w:t>
      </w:r>
    </w:p>
    <w:p>
      <w:pPr>
        <w:spacing w:after="0" w:line="193" w:lineRule="exact"/>
        <w:rPr>
          <w:rFonts w:ascii="Arial" w:cs="Arial" w:eastAsia="Arial" w:hAnsi="Arial"/>
          <w:sz w:val="17"/>
          <w:szCs w:val="17"/>
          <w:color w:val="auto"/>
        </w:rPr>
      </w:pPr>
    </w:p>
    <w:p>
      <w:pPr>
        <w:ind w:left="297" w:hanging="296"/>
        <w:spacing w:after="0" w:line="292" w:lineRule="auto"/>
        <w:tabs>
          <w:tab w:leader="none" w:pos="414"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 xml:space="preserve">At-Will Employment. </w:t>
      </w:r>
      <w:r>
        <w:rPr>
          <w:rFonts w:ascii="Arial" w:cs="Arial" w:eastAsia="Arial" w:hAnsi="Arial"/>
          <w:sz w:val="17"/>
          <w:szCs w:val="17"/>
          <w:color w:val="auto"/>
        </w:rPr>
        <w:t>In accordance with the law, employment with the Company is at-will, and may be terminated at any time by you 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or without cause and with or without notice.</w:t>
      </w:r>
    </w:p>
    <w:p>
      <w:pPr>
        <w:spacing w:after="0" w:line="38" w:lineRule="exact"/>
        <w:rPr>
          <w:sz w:val="20"/>
          <w:szCs w:val="20"/>
          <w:color w:val="auto"/>
        </w:rPr>
      </w:pPr>
    </w:p>
    <w:p>
      <w:pPr>
        <w:ind w:left="517"/>
        <w:spacing w:after="0"/>
        <w:rPr>
          <w:sz w:val="20"/>
          <w:szCs w:val="20"/>
          <w:color w:val="auto"/>
        </w:rPr>
      </w:pPr>
      <w:r>
        <w:rPr>
          <w:rFonts w:ascii="Arial" w:cs="Arial" w:eastAsia="Arial" w:hAnsi="Arial"/>
          <w:sz w:val="13"/>
          <w:szCs w:val="13"/>
          <w:color w:val="auto"/>
        </w:rPr>
        <w:t>6000 Shoreline Court, Suite 300, South San Francisco, CA 94080 | T: 650.243.6302 | F: 650.243.6301</w:t>
      </w:r>
    </w:p>
    <w:p>
      <w:pPr>
        <w:sectPr>
          <w:pgSz w:w="11900" w:h="16838" w:orient="portrait"/>
          <w:cols w:equalWidth="0" w:num="1">
            <w:col w:w="10737"/>
          </w:cols>
          <w:pgMar w:left="703" w:top="1440" w:right="459" w:bottom="1440" w:gutter="0" w:footer="0" w:header="0"/>
        </w:sectPr>
      </w:pPr>
    </w:p>
    <w:bookmarkStart w:id="81" w:name="page82"/>
    <w:bookmarkEnd w:id="81"/>
    <w:p>
      <w:pPr>
        <w:jc w:val="both"/>
        <w:ind w:left="300" w:hanging="296"/>
        <w:spacing w:after="0" w:line="285" w:lineRule="auto"/>
        <w:tabs>
          <w:tab w:leader="none" w:pos="479"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Confidentiality; Arbitration; Company Policies. </w:t>
      </w:r>
      <w:r>
        <w:rPr>
          <w:rFonts w:ascii="Arial" w:cs="Arial" w:eastAsia="Arial" w:hAnsi="Arial"/>
          <w:sz w:val="16"/>
          <w:szCs w:val="16"/>
          <w:color w:val="auto"/>
        </w:rPr>
        <w:t>Employment with the Company is contingent upon your signature of, and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its At-Will Employment, Confidential Information and Invention Assignment and Arbitration Agreement (the “</w:t>
      </w:r>
      <w:r>
        <w:rPr>
          <w:rFonts w:ascii="Arial" w:cs="Arial" w:eastAsia="Arial" w:hAnsi="Arial"/>
          <w:sz w:val="16"/>
          <w:szCs w:val="16"/>
          <w:b w:val="1"/>
          <w:bCs w:val="1"/>
          <w:i w:val="1"/>
          <w:iCs w:val="1"/>
          <w:color w:val="auto"/>
        </w:rPr>
        <w:t>Confidentiality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which is provided with this Offer Letter. This requires, among other provisions, the assignment of patent rights to any invention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during your employment with the Company, as well as non-disclosure of Company proprietary information and a requirement for resolution by binding arbitration of any dispute arising out of our employment relationship, each requirement is described in detail in the Confidentiality Agreement. Kindly return a signed copy of the Confidentiality Agreement with this Offer Letter. At all times during your employment, you agree to abide by the Company’s employment policies and procedures, as such policies and procedures are in effect.</w:t>
      </w:r>
    </w:p>
    <w:p>
      <w:pPr>
        <w:spacing w:after="0" w:line="184" w:lineRule="exact"/>
        <w:rPr>
          <w:rFonts w:ascii="Arial" w:cs="Arial" w:eastAsia="Arial" w:hAnsi="Arial"/>
          <w:sz w:val="16"/>
          <w:szCs w:val="16"/>
          <w:color w:val="auto"/>
        </w:rPr>
      </w:pPr>
    </w:p>
    <w:p>
      <w:pPr>
        <w:jc w:val="both"/>
        <w:ind w:left="300" w:hanging="296"/>
        <w:spacing w:after="0" w:line="266" w:lineRule="auto"/>
        <w:tabs>
          <w:tab w:leader="none" w:pos="542"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Offer Letter, together with the CIC Agreement, the Restrictive Covenant Agreement and the 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set forth the terms of your employment with the Company, and supersedes any prior representations or agreements including, but not limited to, your Decipher Offer Letter any representations made during your recruitment, interviews or pre- employment negotiations, whether written or oral. This Offer Letter including, but not limited to, its at-will employment provision, may not be modified or amended except by written agreement signed by an authorized officer of the Company and you. In addition, any confidential/proprietary/trade secrets information and inventions agreement(s) between you and Decipher, or any predecessor, will remain in effect as it pertains to subject matters existing prior to your Veracyte Start Date.</w:t>
      </w:r>
    </w:p>
    <w:p>
      <w:pPr>
        <w:spacing w:after="0" w:line="218" w:lineRule="exact"/>
        <w:rPr>
          <w:sz w:val="20"/>
          <w:szCs w:val="20"/>
          <w:color w:val="auto"/>
        </w:rPr>
      </w:pPr>
    </w:p>
    <w:p>
      <w:pPr>
        <w:jc w:val="both"/>
        <w:ind w:left="300"/>
        <w:spacing w:after="0" w:line="262" w:lineRule="auto"/>
        <w:rPr>
          <w:sz w:val="20"/>
          <w:szCs w:val="20"/>
          <w:color w:val="auto"/>
        </w:rPr>
      </w:pPr>
      <w:r>
        <w:rPr>
          <w:rFonts w:ascii="Arial" w:cs="Arial" w:eastAsia="Arial" w:hAnsi="Arial"/>
          <w:sz w:val="17"/>
          <w:szCs w:val="17"/>
          <w:color w:val="auto"/>
        </w:rPr>
        <w:t>You agree to keep the Merger, and the terms of its definitive agreement, as well as the terms of this Offer Letter, the Restrictive Covenant Agreement and each other agreement that you will execute in connection with this offer of employment, confidential and not to reveal their contents to anyone without the consent of the Company, except the Board and its attorneys and advisors as well as your lawyers, your spouse or other immediate family member, and/or your financial or tax consultants or advisors; provided that they agree or are subject to the same or substantially similar confidentiality terms, or as required by the terms of the definitive agreement for the Merger, legal process or applicable law.</w:t>
      </w:r>
    </w:p>
    <w:p>
      <w:pPr>
        <w:spacing w:after="0" w:line="234"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auto"/>
        </w:rPr>
        <w:t>This offer is contingent on the completion of the Merger. In the event the Merger is not consummated in accordance with its terms, this offer will become null and void, and have no further force or effect.</w:t>
      </w:r>
    </w:p>
    <w:p>
      <w:pPr>
        <w:spacing w:after="0" w:line="171" w:lineRule="exact"/>
        <w:rPr>
          <w:sz w:val="20"/>
          <w:szCs w:val="20"/>
          <w:color w:val="auto"/>
        </w:rPr>
      </w:pPr>
    </w:p>
    <w:p>
      <w:pPr>
        <w:jc w:val="center"/>
        <w:ind w:right="260"/>
        <w:spacing w:after="0"/>
        <w:rPr>
          <w:sz w:val="20"/>
          <w:szCs w:val="20"/>
          <w:color w:val="auto"/>
        </w:rPr>
      </w:pPr>
      <w:r>
        <w:rPr>
          <w:rFonts w:ascii="Arial" w:cs="Arial" w:eastAsia="Arial" w:hAnsi="Arial"/>
          <w:sz w:val="17"/>
          <w:szCs w:val="17"/>
          <w:b w:val="1"/>
          <w:bCs w:val="1"/>
          <w:color w:val="auto"/>
        </w:rPr>
        <w:t>[Signature Page to Offer Letter Follows]</w:t>
      </w:r>
    </w:p>
    <w:p>
      <w:pPr>
        <w:sectPr>
          <w:pgSz w:w="11900" w:h="16838" w:orient="portrait"/>
          <w:cols w:equalWidth="0" w:num="1">
            <w:col w:w="10740"/>
          </w:cols>
          <w:pgMar w:left="700" w:top="969" w:right="45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2268855</wp:posOffset>
            </wp:positionH>
            <wp:positionV relativeFrom="page">
              <wp:posOffset>494030</wp:posOffset>
            </wp:positionV>
            <wp:extent cx="937260" cy="659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937260" cy="65913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We’re all keenly looking forward to welcoming you aboard! If you have any questions about this offer or its terms, please feel free to contact Bonnie H.</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Anderson, Chairman and Chief Executive Officer at 650-243- 6302 or Jennifer Harvey, HR Director at 650-243-6328.</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To accept the Company’s offer, please sign and date this Offer Letter in the space provided below and return it to the Company.</w:t>
      </w:r>
    </w:p>
    <w:p>
      <w:pPr>
        <w:spacing w:after="0" w:line="200" w:lineRule="exact"/>
        <w:rPr>
          <w:sz w:val="20"/>
          <w:szCs w:val="20"/>
          <w:color w:val="auto"/>
        </w:rPr>
      </w:pPr>
    </w:p>
    <w:p>
      <w:pPr>
        <w:spacing w:after="0" w:line="380"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Sincerely,</w:t>
      </w:r>
    </w:p>
    <w:p>
      <w:pPr>
        <w:spacing w:after="0" w:line="222"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Veracyte, Inc.</w:t>
      </w:r>
    </w:p>
    <w:p>
      <w:pPr>
        <w:ind w:left="3980"/>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380"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By: /s/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-19685</wp:posOffset>
            </wp:positionV>
            <wp:extent cx="1206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15"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Name: Bonnie H. Anderson</w:t>
      </w:r>
    </w:p>
    <w:p>
      <w:pPr>
        <w:ind w:left="3980"/>
        <w:spacing w:after="0"/>
        <w:rPr>
          <w:sz w:val="20"/>
          <w:szCs w:val="20"/>
          <w:color w:val="auto"/>
        </w:rPr>
      </w:pPr>
      <w:r>
        <w:rPr>
          <w:rFonts w:ascii="Arial" w:cs="Arial" w:eastAsia="Arial" w:hAnsi="Arial"/>
          <w:sz w:val="17"/>
          <w:szCs w:val="17"/>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I agree to the terms and conditions in this Offer Letter Date: February 2, 2021</w:t>
      </w:r>
    </w:p>
    <w:p>
      <w:pPr>
        <w:spacing w:after="0" w:line="305" w:lineRule="exact"/>
        <w:rPr>
          <w:sz w:val="20"/>
          <w:szCs w:val="20"/>
          <w:color w:val="auto"/>
        </w:rPr>
      </w:pPr>
    </w:p>
    <w:p>
      <w:pPr>
        <w:jc w:val="center"/>
        <w:ind w:right="9660"/>
        <w:spacing w:after="0"/>
        <w:rPr>
          <w:sz w:val="20"/>
          <w:szCs w:val="20"/>
          <w:color w:val="auto"/>
        </w:rPr>
      </w:pPr>
      <w:r>
        <w:rPr>
          <w:rFonts w:ascii="Arial" w:cs="Arial" w:eastAsia="Arial" w:hAnsi="Arial"/>
          <w:sz w:val="17"/>
          <w:szCs w:val="17"/>
          <w:color w:val="auto"/>
        </w:rPr>
        <w:t>/s/ Tina S.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-19685</wp:posOffset>
            </wp:positionV>
            <wp:extent cx="1219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Tina S. Nova,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[Signature Page to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6000 Shoreline Court, Suite 300, South San Francisco, CA 94080 | T: 650.243.6302 | F: 650.243.6301</w:t>
      </w:r>
    </w:p>
    <w:p>
      <w:pPr>
        <w:sectPr>
          <w:pgSz w:w="11900" w:h="16838" w:orient="portrait"/>
          <w:cols w:equalWidth="0" w:num="1">
            <w:col w:w="11040"/>
          </w:cols>
          <w:pgMar w:left="400" w:top="1440" w:right="4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u w:val="single" w:color="auto"/>
          <w:color w:val="auto"/>
        </w:rPr>
        <w:t>VERACYTE, INC.</w:t>
      </w: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CHANGE OF CONTROL AND SEVERANCE AGREEMENT</w:t>
      </w:r>
    </w:p>
    <w:p>
      <w:pPr>
        <w:spacing w:after="0" w:line="209" w:lineRule="exact"/>
        <w:rPr>
          <w:sz w:val="20"/>
          <w:szCs w:val="20"/>
          <w:color w:val="auto"/>
        </w:rPr>
      </w:pPr>
    </w:p>
    <w:p>
      <w:pPr>
        <w:jc w:val="both"/>
        <w:ind w:right="80" w:firstLine="600"/>
        <w:spacing w:after="0" w:line="215" w:lineRule="auto"/>
        <w:rPr>
          <w:sz w:val="20"/>
          <w:szCs w:val="20"/>
          <w:color w:val="auto"/>
        </w:rPr>
      </w:pPr>
      <w:r>
        <w:rPr>
          <w:rFonts w:ascii="Arial" w:cs="Arial" w:eastAsia="Arial" w:hAnsi="Arial"/>
          <w:sz w:val="17"/>
          <w:szCs w:val="17"/>
          <w:color w:val="auto"/>
        </w:rPr>
        <w:t>This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Tina S. Nova, PhD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the closing (the “</w:t>
      </w:r>
      <w:r>
        <w:rPr>
          <w:rFonts w:ascii="Arial" w:cs="Arial" w:eastAsia="Arial" w:hAnsi="Arial"/>
          <w:sz w:val="17"/>
          <w:szCs w:val="17"/>
          <w:b w:val="1"/>
          <w:bCs w:val="1"/>
          <w:i w:val="1"/>
          <w:iCs w:val="1"/>
          <w:color w:val="auto"/>
        </w:rPr>
        <w:t>Closing Date</w:t>
      </w:r>
      <w:r>
        <w:rPr>
          <w:rFonts w:ascii="Arial" w:cs="Arial" w:eastAsia="Arial" w:hAnsi="Arial"/>
          <w:sz w:val="17"/>
          <w:szCs w:val="17"/>
          <w:color w:val="auto"/>
        </w:rPr>
        <w:t>”) of the Company’s acquisition of Decipher Biosciences, Inc. (“</w:t>
      </w:r>
      <w:r>
        <w:rPr>
          <w:rFonts w:ascii="Arial" w:cs="Arial" w:eastAsia="Arial" w:hAnsi="Arial"/>
          <w:sz w:val="17"/>
          <w:szCs w:val="17"/>
          <w:b w:val="1"/>
          <w:bCs w:val="1"/>
          <w:i w:val="1"/>
          <w:iCs w:val="1"/>
          <w:color w:val="auto"/>
        </w:rPr>
        <w:t>Decipher</w:t>
      </w:r>
      <w:r>
        <w:rPr>
          <w:rFonts w:ascii="Arial" w:cs="Arial" w:eastAsia="Arial" w:hAnsi="Arial"/>
          <w:sz w:val="17"/>
          <w:szCs w:val="17"/>
          <w:color w:val="auto"/>
        </w:rPr>
        <w:t>”) pursuant to the Agreement and Plan of Merger by and between the Company and Decipher, and certain other parties, dated on or about February 2, 2021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75" w:lineRule="exact"/>
        <w:rPr>
          <w:sz w:val="20"/>
          <w:szCs w:val="20"/>
          <w:color w:val="auto"/>
        </w:rPr>
      </w:pPr>
    </w:p>
    <w:p>
      <w:pPr>
        <w:jc w:val="center"/>
        <w:ind w:right="80"/>
        <w:spacing w:after="0"/>
        <w:rPr>
          <w:sz w:val="20"/>
          <w:szCs w:val="20"/>
          <w:color w:val="auto"/>
        </w:rPr>
      </w:pPr>
      <w:r>
        <w:rPr>
          <w:rFonts w:ascii="Arial" w:cs="Arial" w:eastAsia="Arial" w:hAnsi="Arial"/>
          <w:sz w:val="17"/>
          <w:szCs w:val="17"/>
          <w:u w:val="single" w:color="auto"/>
          <w:color w:val="auto"/>
        </w:rPr>
        <w:t>RECITALS</w:t>
      </w:r>
    </w:p>
    <w:p>
      <w:pPr>
        <w:spacing w:after="0" w:line="267" w:lineRule="exact"/>
        <w:rPr>
          <w:sz w:val="20"/>
          <w:szCs w:val="20"/>
          <w:color w:val="auto"/>
        </w:rPr>
      </w:pPr>
    </w:p>
    <w:p>
      <w:pPr>
        <w:jc w:val="both"/>
        <w:ind w:right="80" w:firstLine="603"/>
        <w:spacing w:after="0" w:line="215" w:lineRule="auto"/>
        <w:tabs>
          <w:tab w:leader="none" w:pos="91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75" w:lineRule="exact"/>
        <w:rPr>
          <w:rFonts w:ascii="Arial" w:cs="Arial" w:eastAsia="Arial" w:hAnsi="Arial"/>
          <w:sz w:val="17"/>
          <w:szCs w:val="17"/>
          <w:color w:val="auto"/>
        </w:rPr>
      </w:pPr>
    </w:p>
    <w:p>
      <w:pPr>
        <w:jc w:val="both"/>
        <w:ind w:right="100" w:firstLine="603"/>
        <w:spacing w:after="0" w:line="220" w:lineRule="auto"/>
        <w:tabs>
          <w:tab w:leader="none" w:pos="89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88" w:lineRule="exact"/>
        <w:rPr>
          <w:rFonts w:ascii="Arial" w:cs="Arial" w:eastAsia="Arial" w:hAnsi="Arial"/>
          <w:sz w:val="17"/>
          <w:szCs w:val="17"/>
          <w:color w:val="auto"/>
        </w:rPr>
      </w:pPr>
    </w:p>
    <w:p>
      <w:pPr>
        <w:ind w:left="900" w:hanging="297"/>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17"/>
          <w:szCs w:val="17"/>
          <w:u w:val="single" w:color="auto"/>
          <w:color w:val="auto"/>
        </w:rPr>
        <w:t>AGREEMENT</w:t>
      </w:r>
    </w:p>
    <w:p>
      <w:pPr>
        <w:spacing w:after="0" w:line="24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w:t>
      </w:r>
    </w:p>
    <w:p>
      <w:pPr>
        <w:spacing w:after="0"/>
        <w:rPr>
          <w:sz w:val="20"/>
          <w:szCs w:val="20"/>
          <w:color w:val="auto"/>
        </w:rPr>
      </w:pPr>
      <w:r>
        <w:rPr>
          <w:rFonts w:ascii="Arial" w:cs="Arial" w:eastAsia="Arial" w:hAnsi="Arial"/>
          <w:sz w:val="17"/>
          <w:szCs w:val="17"/>
          <w:color w:val="auto"/>
        </w:rPr>
        <w:t>follows:</w:t>
      </w:r>
    </w:p>
    <w:p>
      <w:pPr>
        <w:spacing w:after="0" w:line="253" w:lineRule="exact"/>
        <w:rPr>
          <w:sz w:val="20"/>
          <w:szCs w:val="20"/>
          <w:color w:val="auto"/>
        </w:rPr>
      </w:pPr>
    </w:p>
    <w:p>
      <w:pPr>
        <w:jc w:val="both"/>
        <w:ind w:right="100" w:firstLine="603"/>
        <w:spacing w:after="0" w:line="211" w:lineRule="auto"/>
        <w:tabs>
          <w:tab w:leader="none" w:pos="91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 term of one (1) year commencing on the Closing Date (the “</w:t>
      </w:r>
      <w:r>
        <w:rPr>
          <w:rFonts w:ascii="Arial" w:cs="Arial" w:eastAsia="Arial" w:hAnsi="Arial"/>
          <w:sz w:val="17"/>
          <w:szCs w:val="17"/>
          <w:b w:val="1"/>
          <w:bCs w:val="1"/>
          <w:i w:val="1"/>
          <w:iCs w:val="1"/>
          <w:color w:val="auto"/>
        </w:rPr>
        <w:t>Term</w:t>
      </w:r>
      <w:r>
        <w:rPr>
          <w:rFonts w:ascii="Arial" w:cs="Arial" w:eastAsia="Arial" w:hAnsi="Arial"/>
          <w:sz w:val="17"/>
          <w:szCs w:val="17"/>
          <w:color w:val="auto"/>
        </w:rPr>
        <w:t>”). On the one year anniversary of the Closing Date, this Agreement will automatically terminate. Notwithstanding the foregoing provisions of this paragraph, if a Change of Control occurs during the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91" w:lineRule="exact"/>
        <w:rPr>
          <w:rFonts w:ascii="Arial" w:cs="Arial" w:eastAsia="Arial" w:hAnsi="Arial"/>
          <w:sz w:val="17"/>
          <w:szCs w:val="17"/>
          <w:color w:val="auto"/>
        </w:rPr>
      </w:pPr>
    </w:p>
    <w:p>
      <w:pPr>
        <w:ind w:right="100" w:firstLine="603"/>
        <w:spacing w:after="0" w:line="282" w:lineRule="auto"/>
        <w:tabs>
          <w:tab w:leader="none" w:pos="966" w:val="left"/>
        </w:tabs>
        <w:numPr>
          <w:ilvl w:val="0"/>
          <w:numId w:val="42"/>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57" w:lineRule="exact"/>
        <w:rPr>
          <w:rFonts w:ascii="Arial" w:cs="Arial" w:eastAsia="Arial" w:hAnsi="Arial"/>
          <w:sz w:val="15"/>
          <w:szCs w:val="15"/>
          <w:color w:val="auto"/>
        </w:rPr>
      </w:pPr>
    </w:p>
    <w:p>
      <w:pPr>
        <w:ind w:left="900" w:hanging="297"/>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279" w:lineRule="exact"/>
        <w:rPr>
          <w:rFonts w:ascii="Arial" w:cs="Arial" w:eastAsia="Arial" w:hAnsi="Arial"/>
          <w:sz w:val="17"/>
          <w:szCs w:val="17"/>
          <w:color w:val="auto"/>
        </w:rPr>
      </w:pPr>
    </w:p>
    <w:p>
      <w:pPr>
        <w:jc w:val="both"/>
        <w:ind w:right="100" w:firstLine="1203"/>
        <w:spacing w:after="0" w:line="220" w:lineRule="auto"/>
        <w:tabs>
          <w:tab w:leader="none" w:pos="1639"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75" w:lineRule="exact"/>
        <w:rPr>
          <w:rFonts w:ascii="Arial" w:cs="Arial" w:eastAsia="Arial" w:hAnsi="Arial"/>
          <w:sz w:val="17"/>
          <w:szCs w:val="17"/>
          <w:color w:val="auto"/>
        </w:rPr>
      </w:pPr>
    </w:p>
    <w:p>
      <w:pPr>
        <w:ind w:right="100" w:firstLine="1804"/>
        <w:spacing w:after="0" w:line="230" w:lineRule="auto"/>
        <w:tabs>
          <w:tab w:leader="none" w:pos="2200" w:val="left"/>
        </w:tabs>
        <w:numPr>
          <w:ilvl w:val="2"/>
          <w:numId w:val="42"/>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160"/>
          </w:cols>
          <w:pgMar w:left="400" w:top="561" w:right="339" w:bottom="1440" w:gutter="0" w:footer="0" w:header="0"/>
        </w:sectPr>
      </w:pPr>
    </w:p>
    <w:bookmarkStart w:id="84" w:name="page85"/>
    <w:bookmarkEnd w:id="84"/>
    <w:p>
      <w:pPr>
        <w:jc w:val="both"/>
        <w:ind w:right="20" w:firstLine="1804"/>
        <w:spacing w:after="0" w:line="220" w:lineRule="auto"/>
        <w:tabs>
          <w:tab w:leader="none" w:pos="2209" w:val="left"/>
        </w:tabs>
        <w:numPr>
          <w:ilvl w:val="2"/>
          <w:numId w:val="43"/>
        </w:numPr>
        <w:rPr>
          <w:rFonts w:ascii="Arial" w:cs="Arial" w:eastAsia="Arial" w:hAnsi="Arial"/>
          <w:sz w:val="17"/>
          <w:szCs w:val="17"/>
          <w:color w:val="auto"/>
        </w:rPr>
      </w:pPr>
      <w:r>
        <w:rPr>
          <w:rFonts w:ascii="Arial" w:cs="Arial" w:eastAsia="Arial" w:hAnsi="Arial"/>
          <w:sz w:val="17"/>
          <w:szCs w:val="17"/>
          <w:u w:val="single" w:color="auto"/>
          <w:color w:val="auto"/>
        </w:rPr>
        <w:t>Continuing Severance Payments</w:t>
      </w:r>
      <w:r>
        <w:rPr>
          <w:rFonts w:ascii="Arial" w:cs="Arial" w:eastAsia="Arial" w:hAnsi="Arial"/>
          <w:sz w:val="17"/>
          <w:szCs w:val="17"/>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88" w:lineRule="exact"/>
        <w:rPr>
          <w:rFonts w:ascii="Arial" w:cs="Arial" w:eastAsia="Arial" w:hAnsi="Arial"/>
          <w:sz w:val="17"/>
          <w:szCs w:val="17"/>
          <w:color w:val="auto"/>
        </w:rPr>
      </w:pPr>
    </w:p>
    <w:p>
      <w:pPr>
        <w:jc w:val="both"/>
        <w:ind w:firstLine="1804"/>
        <w:spacing w:after="0" w:line="232" w:lineRule="auto"/>
        <w:tabs>
          <w:tab w:leader="none" w:pos="2217" w:val="left"/>
        </w:tabs>
        <w:numPr>
          <w:ilvl w:val="2"/>
          <w:numId w:val="43"/>
        </w:numPr>
        <w:rPr>
          <w:rFonts w:ascii="Arial" w:cs="Arial" w:eastAsia="Arial" w:hAnsi="Arial"/>
          <w:sz w:val="15"/>
          <w:szCs w:val="15"/>
          <w:color w:val="auto"/>
        </w:rPr>
      </w:pPr>
      <w:r>
        <w:rPr>
          <w:rFonts w:ascii="Arial" w:cs="Arial" w:eastAsia="Arial" w:hAnsi="Arial"/>
          <w:sz w:val="15"/>
          <w:szCs w:val="15"/>
          <w:u w:val="single" w:color="auto"/>
          <w:color w:val="auto"/>
        </w:rPr>
        <w:t>Continuation Coverage</w:t>
      </w:r>
      <w:r>
        <w:rPr>
          <w:rFonts w:ascii="Arial" w:cs="Arial" w:eastAsia="Arial" w:hAnsi="Arial"/>
          <w:sz w:val="15"/>
          <w:szCs w:val="15"/>
          <w:color w:val="auto"/>
        </w:rPr>
        <w:t>. If Executive elects continuation coverage pursuant to the Consolidated Omnibus Budget Reconciliation Act of 1985, as amended (“</w:t>
      </w:r>
      <w:r>
        <w:rPr>
          <w:rFonts w:ascii="Arial" w:cs="Arial" w:eastAsia="Arial" w:hAnsi="Arial"/>
          <w:sz w:val="15"/>
          <w:szCs w:val="15"/>
          <w:b w:val="1"/>
          <w:bCs w:val="1"/>
          <w:i w:val="1"/>
          <w:iCs w:val="1"/>
          <w:color w:val="auto"/>
        </w:rPr>
        <w:t>COBRA</w:t>
      </w:r>
      <w:r>
        <w:rPr>
          <w:rFonts w:ascii="Arial" w:cs="Arial" w:eastAsia="Arial" w:hAnsi="Arial"/>
          <w:sz w:val="15"/>
          <w:szCs w:val="15"/>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w:t>
      </w:r>
    </w:p>
    <w:p>
      <w:pPr>
        <w:spacing w:after="0" w:line="1" w:lineRule="exact"/>
        <w:rPr>
          <w:rFonts w:ascii="Arial" w:cs="Arial" w:eastAsia="Arial" w:hAnsi="Arial"/>
          <w:sz w:val="15"/>
          <w:szCs w:val="15"/>
          <w:color w:val="auto"/>
        </w:rPr>
      </w:pPr>
    </w:p>
    <w:p>
      <w:pPr>
        <w:jc w:val="both"/>
        <w:ind w:firstLine="3"/>
        <w:spacing w:after="0" w:line="216" w:lineRule="auto"/>
        <w:tabs>
          <w:tab w:leader="none" w:pos="29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91" w:lineRule="exact"/>
        <w:rPr>
          <w:rFonts w:ascii="Arial" w:cs="Arial" w:eastAsia="Arial" w:hAnsi="Arial"/>
          <w:sz w:val="16"/>
          <w:szCs w:val="16"/>
          <w:color w:val="auto"/>
        </w:rPr>
      </w:pPr>
    </w:p>
    <w:p>
      <w:pPr>
        <w:jc w:val="both"/>
        <w:ind w:right="20" w:firstLine="1203"/>
        <w:spacing w:after="0" w:line="233" w:lineRule="auto"/>
        <w:tabs>
          <w:tab w:leader="none" w:pos="1574"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77" w:lineRule="exact"/>
        <w:rPr>
          <w:rFonts w:ascii="Arial" w:cs="Arial" w:eastAsia="Arial" w:hAnsi="Arial"/>
          <w:sz w:val="16"/>
          <w:szCs w:val="16"/>
          <w:color w:val="auto"/>
        </w:rPr>
      </w:pPr>
    </w:p>
    <w:p>
      <w:pPr>
        <w:ind w:right="20" w:firstLine="1804"/>
        <w:spacing w:after="0" w:line="230" w:lineRule="auto"/>
        <w:tabs>
          <w:tab w:leader="none" w:pos="2200"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accrued but unpaid vacation, expense reimbursements, wages, and other benefits due to Executive under any Company-provided plans, policies, and arrangements.</w:t>
      </w:r>
    </w:p>
    <w:p>
      <w:pPr>
        <w:spacing w:after="0" w:line="175" w:lineRule="exact"/>
        <w:rPr>
          <w:rFonts w:ascii="Arial" w:cs="Arial" w:eastAsia="Arial" w:hAnsi="Arial"/>
          <w:sz w:val="17"/>
          <w:szCs w:val="17"/>
          <w:color w:val="auto"/>
        </w:rPr>
      </w:pPr>
    </w:p>
    <w:p>
      <w:pPr>
        <w:jc w:val="both"/>
        <w:ind w:firstLine="1804"/>
        <w:spacing w:after="0" w:line="221" w:lineRule="auto"/>
        <w:tabs>
          <w:tab w:leader="none" w:pos="2196"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t>Severance Payment</w:t>
      </w:r>
      <w:r>
        <w:rPr>
          <w:rFonts w:ascii="Arial" w:cs="Arial" w:eastAsia="Arial" w:hAnsi="Arial"/>
          <w:sz w:val="16"/>
          <w:szCs w:val="16"/>
          <w:color w:val="auto"/>
        </w:rPr>
        <w:t xml:space="preserve">. Executive will receive a lump-sum payment (less applicable withholding taxes) equal to eighteen (18) 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6"/>
          <w:szCs w:val="16"/>
          <w:i w:val="1"/>
          <w:iCs w:val="1"/>
          <w:color w:val="auto"/>
        </w:rPr>
        <w:t>less</w:t>
      </w:r>
      <w:r>
        <w:rPr>
          <w:rFonts w:ascii="Arial" w:cs="Arial" w:eastAsia="Arial" w:hAnsi="Arial"/>
          <w:sz w:val="16"/>
          <w:szCs w:val="16"/>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90" w:lineRule="exact"/>
        <w:rPr>
          <w:rFonts w:ascii="Arial" w:cs="Arial" w:eastAsia="Arial" w:hAnsi="Arial"/>
          <w:sz w:val="16"/>
          <w:szCs w:val="16"/>
          <w:color w:val="auto"/>
        </w:rPr>
      </w:pPr>
    </w:p>
    <w:p>
      <w:pPr>
        <w:jc w:val="both"/>
        <w:ind w:right="20" w:firstLine="1804"/>
        <w:spacing w:after="0" w:line="223" w:lineRule="auto"/>
        <w:tabs>
          <w:tab w:leader="none" w:pos="2267" w:val="left"/>
        </w:tabs>
        <w:numPr>
          <w:ilvl w:val="2"/>
          <w:numId w:val="44"/>
        </w:numPr>
        <w:rPr>
          <w:rFonts w:ascii="Arial" w:cs="Arial" w:eastAsia="Arial" w:hAnsi="Arial"/>
          <w:sz w:val="16"/>
          <w:szCs w:val="16"/>
          <w:color w:val="auto"/>
        </w:rPr>
      </w:pPr>
      <w:r>
        <w:rPr>
          <w:rFonts w:ascii="Arial" w:cs="Arial" w:eastAsia="Arial" w:hAnsi="Arial"/>
          <w:sz w:val="16"/>
          <w:szCs w:val="16"/>
          <w:u w:val="single" w:color="auto"/>
          <w:color w:val="auto"/>
        </w:rPr>
        <w:t>Bonus Payment</w:t>
      </w:r>
      <w:r>
        <w:rPr>
          <w:rFonts w:ascii="Arial" w:cs="Arial" w:eastAsia="Arial" w:hAnsi="Arial"/>
          <w:sz w:val="16"/>
          <w:szCs w:val="16"/>
          <w:color w:val="auto"/>
        </w:rPr>
        <w:t>. Executive will receive a lump-sum payment equal to one hundred fifty percent (150%) of the higher of (A)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7" w:lineRule="exact"/>
        <w:rPr>
          <w:rFonts w:ascii="Arial" w:cs="Arial" w:eastAsia="Arial" w:hAnsi="Arial"/>
          <w:sz w:val="16"/>
          <w:szCs w:val="16"/>
          <w:color w:val="auto"/>
        </w:rPr>
      </w:pPr>
    </w:p>
    <w:p>
      <w:pPr>
        <w:jc w:val="both"/>
        <w:ind w:right="20" w:firstLine="1804"/>
        <w:spacing w:after="0" w:line="220" w:lineRule="auto"/>
        <w:tabs>
          <w:tab w:leader="none" w:pos="2208"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80"/>
          </w:cols>
          <w:pgMar w:left="400" w:top="1303" w:right="419" w:bottom="1440" w:gutter="0" w:footer="0" w:header="0"/>
        </w:sectPr>
      </w:pPr>
    </w:p>
    <w:bookmarkStart w:id="85" w:name="page86"/>
    <w:bookmarkEnd w:id="85"/>
    <w:p>
      <w:pPr>
        <w:jc w:val="both"/>
        <w:spacing w:after="0" w:line="218" w:lineRule="auto"/>
        <w:rPr>
          <w:sz w:val="20"/>
          <w:szCs w:val="20"/>
          <w:color w:val="auto"/>
        </w:rPr>
      </w:pPr>
      <w:r>
        <w:rPr>
          <w:rFonts w:ascii="Arial" w:cs="Arial" w:eastAsia="Arial" w:hAnsi="Arial"/>
          <w:sz w:val="16"/>
          <w:szCs w:val="16"/>
          <w:color w:val="auto"/>
        </w:rPr>
        <w:t>effect immediately prior to Executive’s termination) until the earlier of (A)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 payments. For the avoidance of doubt, the taxable payments in lieu of COBRA reimbursements may be used for any purpose, including, but not limited to continuation coverage under COBRA, and will be subject to all applicable tax withholdings.</w:t>
      </w:r>
    </w:p>
    <w:p>
      <w:pPr>
        <w:spacing w:after="0" w:line="189" w:lineRule="exact"/>
        <w:rPr>
          <w:sz w:val="20"/>
          <w:szCs w:val="20"/>
          <w:color w:val="auto"/>
        </w:rPr>
      </w:pPr>
    </w:p>
    <w:p>
      <w:pPr>
        <w:jc w:val="both"/>
        <w:ind w:right="20" w:firstLine="1804"/>
        <w:spacing w:after="0" w:line="215" w:lineRule="auto"/>
        <w:tabs>
          <w:tab w:leader="none" w:pos="2199" w:val="left"/>
        </w:tabs>
        <w:numPr>
          <w:ilvl w:val="2"/>
          <w:numId w:val="45"/>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87" w:lineRule="exact"/>
        <w:rPr>
          <w:rFonts w:ascii="Arial" w:cs="Arial" w:eastAsia="Arial" w:hAnsi="Arial"/>
          <w:sz w:val="17"/>
          <w:szCs w:val="17"/>
          <w:color w:val="auto"/>
        </w:rPr>
      </w:pPr>
    </w:p>
    <w:p>
      <w:pPr>
        <w:jc w:val="both"/>
        <w:ind w:right="20" w:firstLine="1203"/>
        <w:spacing w:after="0" w:line="254" w:lineRule="auto"/>
        <w:tabs>
          <w:tab w:leader="none" w:pos="1589" w:val="left"/>
        </w:tabs>
        <w:numPr>
          <w:ilvl w:val="1"/>
          <w:numId w:val="46"/>
        </w:numPr>
        <w:rPr>
          <w:rFonts w:ascii="Arial" w:cs="Arial" w:eastAsia="Arial" w:hAnsi="Arial"/>
          <w:sz w:val="15"/>
          <w:szCs w:val="15"/>
          <w:color w:val="auto"/>
        </w:rPr>
      </w:pPr>
      <w:r>
        <w:rPr>
          <w:rFonts w:ascii="Arial" w:cs="Arial" w:eastAsia="Arial" w:hAnsi="Arial"/>
          <w:sz w:val="15"/>
          <w:szCs w:val="15"/>
          <w:u w:val="single" w:color="auto"/>
          <w:color w:val="auto"/>
        </w:rPr>
        <w:t>Voluntary Resignation; Termination for Cause</w:t>
      </w:r>
      <w:r>
        <w:rPr>
          <w:rFonts w:ascii="Arial" w:cs="Arial" w:eastAsia="Arial" w:hAnsi="Arial"/>
          <w:sz w:val="15"/>
          <w:szCs w:val="15"/>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65" w:lineRule="exact"/>
        <w:rPr>
          <w:rFonts w:ascii="Arial" w:cs="Arial" w:eastAsia="Arial" w:hAnsi="Arial"/>
          <w:sz w:val="15"/>
          <w:szCs w:val="15"/>
          <w:color w:val="auto"/>
        </w:rPr>
      </w:pPr>
    </w:p>
    <w:p>
      <w:pPr>
        <w:jc w:val="both"/>
        <w:ind w:right="20" w:firstLine="1203"/>
        <w:spacing w:after="0" w:line="254" w:lineRule="auto"/>
        <w:tabs>
          <w:tab w:leader="none" w:pos="1649" w:val="left"/>
        </w:tabs>
        <w:numPr>
          <w:ilvl w:val="1"/>
          <w:numId w:val="46"/>
        </w:numPr>
        <w:rPr>
          <w:rFonts w:ascii="Arial" w:cs="Arial" w:eastAsia="Arial" w:hAnsi="Arial"/>
          <w:sz w:val="15"/>
          <w:szCs w:val="15"/>
          <w:color w:val="auto"/>
        </w:rPr>
      </w:pPr>
      <w:r>
        <w:rPr>
          <w:rFonts w:ascii="Arial" w:cs="Arial" w:eastAsia="Arial" w:hAnsi="Arial"/>
          <w:sz w:val="15"/>
          <w:szCs w:val="15"/>
          <w:u w:val="single" w:color="auto"/>
          <w:color w:val="auto"/>
        </w:rPr>
        <w:t>Disability; Death</w:t>
      </w:r>
      <w:r>
        <w:rPr>
          <w:rFonts w:ascii="Arial" w:cs="Arial" w:eastAsia="Arial" w:hAnsi="Arial"/>
          <w:sz w:val="15"/>
          <w:szCs w:val="15"/>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65" w:lineRule="exact"/>
        <w:rPr>
          <w:rFonts w:ascii="Arial" w:cs="Arial" w:eastAsia="Arial" w:hAnsi="Arial"/>
          <w:sz w:val="15"/>
          <w:szCs w:val="15"/>
          <w:color w:val="auto"/>
        </w:rPr>
      </w:pPr>
    </w:p>
    <w:p>
      <w:pPr>
        <w:jc w:val="both"/>
        <w:ind w:right="20" w:firstLine="1203"/>
        <w:spacing w:after="0" w:line="211" w:lineRule="auto"/>
        <w:tabs>
          <w:tab w:leader="none" w:pos="1652"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91" w:lineRule="exact"/>
        <w:rPr>
          <w:rFonts w:ascii="Arial" w:cs="Arial" w:eastAsia="Arial" w:hAnsi="Arial"/>
          <w:sz w:val="17"/>
          <w:szCs w:val="17"/>
          <w:color w:val="auto"/>
        </w:rPr>
      </w:pPr>
    </w:p>
    <w:p>
      <w:pPr>
        <w:ind w:left="900" w:hanging="297"/>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p>
    <w:p>
      <w:pPr>
        <w:spacing w:after="0" w:line="279" w:lineRule="exact"/>
        <w:rPr>
          <w:rFonts w:ascii="Arial" w:cs="Arial" w:eastAsia="Arial" w:hAnsi="Arial"/>
          <w:sz w:val="17"/>
          <w:szCs w:val="17"/>
          <w:color w:val="auto"/>
        </w:rPr>
      </w:pPr>
    </w:p>
    <w:p>
      <w:pPr>
        <w:jc w:val="both"/>
        <w:ind w:firstLine="1203"/>
        <w:spacing w:after="0" w:line="209" w:lineRule="auto"/>
        <w:tabs>
          <w:tab w:leader="none" w:pos="1577"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Release of Claims Agreement</w:t>
      </w:r>
      <w:r>
        <w:rPr>
          <w:rFonts w:ascii="Arial" w:cs="Arial" w:eastAsia="Arial" w:hAnsi="Arial"/>
          <w:sz w:val="17"/>
          <w:szCs w:val="17"/>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must become effective and irrevocable no later than the sixtieth (60th) day following Executive’s termination of employment (the “</w:t>
      </w:r>
      <w:r>
        <w:rPr>
          <w:rFonts w:ascii="Arial" w:cs="Arial" w:eastAsia="Arial" w:hAnsi="Arial"/>
          <w:sz w:val="17"/>
          <w:szCs w:val="17"/>
          <w:b w:val="1"/>
          <w:bCs w:val="1"/>
          <w:i w:val="1"/>
          <w:iCs w:val="1"/>
          <w:color w:val="auto"/>
        </w:rPr>
        <w:t>Release Deadline</w:t>
      </w:r>
      <w:r>
        <w:rPr>
          <w:rFonts w:ascii="Arial" w:cs="Arial" w:eastAsia="Arial" w:hAnsi="Arial"/>
          <w:sz w:val="17"/>
          <w:szCs w:val="17"/>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79" w:lineRule="exact"/>
        <w:rPr>
          <w:rFonts w:ascii="Arial" w:cs="Arial" w:eastAsia="Arial" w:hAnsi="Arial"/>
          <w:sz w:val="17"/>
          <w:szCs w:val="17"/>
          <w:color w:val="auto"/>
        </w:rPr>
      </w:pPr>
    </w:p>
    <w:p>
      <w:pPr>
        <w:ind w:right="20" w:firstLine="1203"/>
        <w:spacing w:after="0" w:line="282" w:lineRule="auto"/>
        <w:tabs>
          <w:tab w:leader="none" w:pos="1574" w:val="left"/>
        </w:tabs>
        <w:numPr>
          <w:ilvl w:val="1"/>
          <w:numId w:val="47"/>
        </w:numPr>
        <w:rPr>
          <w:rFonts w:ascii="Arial" w:cs="Arial" w:eastAsia="Arial" w:hAnsi="Arial"/>
          <w:sz w:val="15"/>
          <w:szCs w:val="15"/>
          <w:color w:val="auto"/>
        </w:rPr>
      </w:pPr>
      <w:r>
        <w:rPr>
          <w:rFonts w:ascii="Arial" w:cs="Arial" w:eastAsia="Arial" w:hAnsi="Arial"/>
          <w:sz w:val="15"/>
          <w:szCs w:val="15"/>
          <w:u w:val="single" w:color="auto"/>
          <w:color w:val="auto"/>
        </w:rPr>
        <w:t>Confidential Information and Invention Assignment Agreements</w:t>
      </w:r>
      <w:r>
        <w:rPr>
          <w:rFonts w:ascii="Arial" w:cs="Arial" w:eastAsia="Arial" w:hAnsi="Arial"/>
          <w:sz w:val="15"/>
          <w:szCs w:val="15"/>
          <w:color w:val="auto"/>
        </w:rPr>
        <w:t>. Executive’s receipt of any payments or benefits under Section 3 (other than the accrued benefits set forth in either Sections 3(a)(i) or 3(b)(i)) will be subject to Executive continuing to comply with the terms of the Confidentiality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80"/>
          </w:cols>
          <w:pgMar w:left="400" w:top="1303" w:right="419" w:bottom="1440" w:gutter="0" w:footer="0" w:header="0"/>
        </w:sectPr>
      </w:pPr>
    </w:p>
    <w:bookmarkStart w:id="86" w:name="page87"/>
    <w:bookmarkEnd w:id="86"/>
    <w:p>
      <w:pPr>
        <w:ind w:left="1560" w:hanging="356"/>
        <w:spacing w:after="0"/>
        <w:tabs>
          <w:tab w:leader="none" w:pos="1560"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jc w:val="both"/>
        <w:ind w:firstLine="1804"/>
        <w:spacing w:after="0" w:line="223" w:lineRule="auto"/>
        <w:tabs>
          <w:tab w:leader="none" w:pos="2137" w:val="left"/>
        </w:tabs>
        <w:numPr>
          <w:ilvl w:val="2"/>
          <w:numId w:val="48"/>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7" w:lineRule="exact"/>
        <w:rPr>
          <w:rFonts w:ascii="Arial" w:cs="Arial" w:eastAsia="Arial" w:hAnsi="Arial"/>
          <w:sz w:val="16"/>
          <w:szCs w:val="16"/>
          <w:color w:val="auto"/>
        </w:rPr>
      </w:pPr>
    </w:p>
    <w:p>
      <w:pPr>
        <w:jc w:val="both"/>
        <w:ind w:firstLine="1804"/>
        <w:spacing w:after="0" w:line="206" w:lineRule="auto"/>
        <w:tabs>
          <w:tab w:leader="none" w:pos="2177" w:val="left"/>
        </w:tabs>
        <w:numPr>
          <w:ilvl w:val="2"/>
          <w:numId w:val="48"/>
        </w:numPr>
        <w:rPr>
          <w:rFonts w:ascii="Arial" w:cs="Arial" w:eastAsia="Arial" w:hAnsi="Arial"/>
          <w:sz w:val="16"/>
          <w:szCs w:val="16"/>
          <w:color w:val="auto"/>
        </w:rPr>
      </w:pPr>
      <w:r>
        <w:rPr>
          <w:rFonts w:ascii="Arial" w:cs="Arial" w:eastAsia="Arial" w:hAnsi="Arial"/>
          <w:sz w:val="16"/>
          <w:szCs w:val="16"/>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Arial" w:cs="Arial" w:eastAsia="Arial" w:hAnsi="Arial"/>
          <w:sz w:val="20"/>
          <w:szCs w:val="20"/>
          <w:color w:val="auto"/>
          <w:vertAlign w:val="superscript"/>
        </w:rPr>
        <w:t>st</w:t>
      </w:r>
      <w:r>
        <w:rPr>
          <w:rFonts w:ascii="Arial" w:cs="Arial" w:eastAsia="Arial" w:hAnsi="Arial"/>
          <w:sz w:val="16"/>
          <w:szCs w:val="16"/>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Arial" w:cs="Arial" w:eastAsia="Arial" w:hAnsi="Arial"/>
          <w:sz w:val="20"/>
          <w:szCs w:val="20"/>
          <w:color w:val="auto"/>
          <w:vertAlign w:val="superscript"/>
        </w:rPr>
        <w:t>st</w:t>
      </w:r>
      <w:r>
        <w:rPr>
          <w:rFonts w:ascii="Arial" w:cs="Arial" w:eastAsia="Arial" w:hAnsi="Arial"/>
          <w:sz w:val="16"/>
          <w:szCs w:val="16"/>
          <w:color w:val="auto"/>
        </w:rPr>
        <w:t>) day following Executive’s separation from service and the remaining payments will be made as provided in this Agreement.</w:t>
      </w:r>
    </w:p>
    <w:p>
      <w:pPr>
        <w:spacing w:after="0" w:line="179" w:lineRule="exact"/>
        <w:rPr>
          <w:rFonts w:ascii="Arial" w:cs="Arial" w:eastAsia="Arial" w:hAnsi="Arial"/>
          <w:sz w:val="16"/>
          <w:szCs w:val="16"/>
          <w:color w:val="auto"/>
        </w:rPr>
      </w:pPr>
    </w:p>
    <w:p>
      <w:pPr>
        <w:jc w:val="both"/>
        <w:ind w:right="20" w:firstLine="1804"/>
        <w:spacing w:after="0" w:line="235" w:lineRule="auto"/>
        <w:tabs>
          <w:tab w:leader="none" w:pos="2247" w:val="left"/>
        </w:tabs>
        <w:numPr>
          <w:ilvl w:val="2"/>
          <w:numId w:val="48"/>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87" w:lineRule="exact"/>
        <w:rPr>
          <w:rFonts w:ascii="Arial" w:cs="Arial" w:eastAsia="Arial" w:hAnsi="Arial"/>
          <w:sz w:val="15"/>
          <w:szCs w:val="15"/>
          <w:color w:val="auto"/>
        </w:rPr>
      </w:pPr>
    </w:p>
    <w:p>
      <w:pPr>
        <w:ind w:right="20" w:firstLine="1804"/>
        <w:spacing w:after="0" w:line="230" w:lineRule="auto"/>
        <w:tabs>
          <w:tab w:leader="none" w:pos="2219" w:val="left"/>
        </w:tabs>
        <w:numPr>
          <w:ilvl w:val="2"/>
          <w:numId w:val="48"/>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75" w:lineRule="exact"/>
        <w:rPr>
          <w:rFonts w:ascii="Arial" w:cs="Arial" w:eastAsia="Arial" w:hAnsi="Arial"/>
          <w:sz w:val="17"/>
          <w:szCs w:val="17"/>
          <w:color w:val="auto"/>
        </w:rPr>
      </w:pPr>
    </w:p>
    <w:p>
      <w:pPr>
        <w:jc w:val="both"/>
        <w:ind w:right="20" w:firstLine="1804"/>
        <w:spacing w:after="0" w:line="220" w:lineRule="auto"/>
        <w:tabs>
          <w:tab w:leader="none" w:pos="2242" w:val="left"/>
        </w:tabs>
        <w:numPr>
          <w:ilvl w:val="2"/>
          <w:numId w:val="48"/>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8" w:lineRule="exact"/>
        <w:rPr>
          <w:rFonts w:ascii="Arial" w:cs="Arial" w:eastAsia="Arial" w:hAnsi="Arial"/>
          <w:sz w:val="17"/>
          <w:szCs w:val="17"/>
          <w:color w:val="auto"/>
        </w:rPr>
      </w:pPr>
    </w:p>
    <w:p>
      <w:pPr>
        <w:jc w:val="both"/>
        <w:ind w:right="20" w:firstLine="1804"/>
        <w:spacing w:after="0" w:line="244" w:lineRule="auto"/>
        <w:tabs>
          <w:tab w:leader="none" w:pos="2209" w:val="left"/>
        </w:tabs>
        <w:numPr>
          <w:ilvl w:val="2"/>
          <w:numId w:val="48"/>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6" w:lineRule="exact"/>
        <w:rPr>
          <w:rFonts w:ascii="Arial" w:cs="Arial" w:eastAsia="Arial" w:hAnsi="Arial"/>
          <w:sz w:val="15"/>
          <w:szCs w:val="15"/>
          <w:color w:val="auto"/>
        </w:rPr>
      </w:pPr>
    </w:p>
    <w:p>
      <w:pPr>
        <w:jc w:val="both"/>
        <w:ind w:right="20" w:firstLine="603"/>
        <w:spacing w:after="0" w:line="220" w:lineRule="auto"/>
        <w:tabs>
          <w:tab w:leader="none" w:pos="979"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Limitation on Payments</w:t>
      </w:r>
      <w:r>
        <w:rPr>
          <w:rFonts w:ascii="Arial" w:cs="Arial" w:eastAsia="Arial" w:hAnsi="Arial"/>
          <w:sz w:val="17"/>
          <w:szCs w:val="17"/>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75" w:lineRule="exact"/>
        <w:rPr>
          <w:rFonts w:ascii="Arial" w:cs="Arial" w:eastAsia="Arial" w:hAnsi="Arial"/>
          <w:sz w:val="17"/>
          <w:szCs w:val="17"/>
          <w:color w:val="auto"/>
        </w:rPr>
      </w:pPr>
    </w:p>
    <w:p>
      <w:pPr>
        <w:ind w:left="1560" w:hanging="356"/>
        <w:spacing w:after="0"/>
        <w:tabs>
          <w:tab w:leader="none" w:pos="15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delivered in full,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80"/>
          </w:cols>
          <w:pgMar w:left="400" w:top="1303" w:right="419" w:bottom="1440" w:gutter="0" w:footer="0" w:header="0"/>
        </w:sectPr>
      </w:pPr>
    </w:p>
    <w:bookmarkStart w:id="87" w:name="page88"/>
    <w:bookmarkEnd w:id="87"/>
    <w:p>
      <w:pPr>
        <w:ind w:left="1200"/>
        <w:spacing w:after="0"/>
        <w:tabs>
          <w:tab w:leader="none" w:pos="154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5"/>
          <w:szCs w:val="15"/>
          <w:color w:val="auto"/>
        </w:rPr>
        <w:t>delivered as to such lesser extent which would result in no portion of such benefits being subject to excise tax under Section 4999 of the</w:t>
      </w:r>
    </w:p>
    <w:p>
      <w:pPr>
        <w:spacing w:after="0"/>
        <w:rPr>
          <w:sz w:val="20"/>
          <w:szCs w:val="20"/>
          <w:color w:val="auto"/>
        </w:rPr>
      </w:pPr>
      <w:r>
        <w:rPr>
          <w:rFonts w:ascii="Arial" w:cs="Arial" w:eastAsia="Arial" w:hAnsi="Arial"/>
          <w:sz w:val="17"/>
          <w:szCs w:val="17"/>
          <w:color w:val="auto"/>
        </w:rPr>
        <w:t>Code,</w:t>
      </w:r>
    </w:p>
    <w:p>
      <w:pPr>
        <w:spacing w:after="0" w:line="191" w:lineRule="exact"/>
        <w:rPr>
          <w:sz w:val="20"/>
          <w:szCs w:val="20"/>
          <w:color w:val="auto"/>
        </w:rPr>
      </w:pPr>
    </w:p>
    <w:p>
      <w:pPr>
        <w:jc w:val="both"/>
        <w:ind w:right="20"/>
        <w:spacing w:after="0" w:line="203"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w:t>
      </w:r>
    </w:p>
    <w:p>
      <w:pPr>
        <w:spacing w:after="0" w:line="3" w:lineRule="exact"/>
        <w:rPr>
          <w:sz w:val="20"/>
          <w:szCs w:val="20"/>
          <w:color w:val="auto"/>
        </w:rPr>
      </w:pPr>
    </w:p>
    <w:p>
      <w:pPr>
        <w:jc w:val="both"/>
        <w:ind w:right="20" w:firstLine="3"/>
        <w:spacing w:after="0" w:line="214" w:lineRule="auto"/>
        <w:tabs>
          <w:tab w:leader="none" w:pos="259" w:val="left"/>
        </w:tabs>
        <w:numPr>
          <w:ilvl w:val="0"/>
          <w:numId w:val="50"/>
        </w:numPr>
        <w:rPr>
          <w:rFonts w:ascii="Arial" w:cs="Arial" w:eastAsia="Arial" w:hAnsi="Arial"/>
          <w:sz w:val="17"/>
          <w:szCs w:val="17"/>
          <w:color w:val="auto"/>
        </w:rPr>
      </w:pPr>
      <w:r>
        <w:rPr>
          <w:rFonts w:ascii="Arial" w:cs="Arial" w:eastAsia="Arial" w:hAnsi="Arial"/>
          <w:sz w:val="17"/>
          <w:szCs w:val="17"/>
          <w:color w:val="auto"/>
        </w:rPr>
        <w:t>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89" w:lineRule="exact"/>
        <w:rPr>
          <w:sz w:val="20"/>
          <w:szCs w:val="20"/>
          <w:color w:val="auto"/>
        </w:rPr>
      </w:pPr>
    </w:p>
    <w:p>
      <w:pPr>
        <w:jc w:val="both"/>
        <w:ind w:firstLine="600"/>
        <w:spacing w:after="0" w:line="208" w:lineRule="auto"/>
        <w:rPr>
          <w:sz w:val="20"/>
          <w:szCs w:val="20"/>
          <w:color w:val="auto"/>
        </w:rPr>
      </w:pPr>
      <w:r>
        <w:rPr>
          <w:rFonts w:ascii="Arial" w:cs="Arial" w:eastAsia="Arial" w:hAnsi="Arial"/>
          <w:sz w:val="17"/>
          <w:szCs w:val="17"/>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7"/>
          <w:szCs w:val="17"/>
          <w:b w:val="1"/>
          <w:bCs w:val="1"/>
          <w:i w:val="1"/>
          <w:iCs w:val="1"/>
          <w:color w:val="auto"/>
        </w:rPr>
        <w:t>Firm</w:t>
      </w:r>
      <w:r>
        <w:rPr>
          <w:rFonts w:ascii="Arial" w:cs="Arial" w:eastAsia="Arial" w:hAnsi="Arial"/>
          <w:sz w:val="17"/>
          <w:szCs w:val="17"/>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78" w:lineRule="exact"/>
        <w:rPr>
          <w:sz w:val="20"/>
          <w:szCs w:val="20"/>
          <w:color w:val="auto"/>
        </w:rPr>
      </w:pPr>
    </w:p>
    <w:p>
      <w:pPr>
        <w:ind w:left="900" w:hanging="297"/>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204" w:lineRule="exact"/>
        <w:rPr>
          <w:rFonts w:ascii="Arial" w:cs="Arial" w:eastAsia="Arial" w:hAnsi="Arial"/>
          <w:sz w:val="17"/>
          <w:szCs w:val="17"/>
          <w:color w:val="auto"/>
        </w:rPr>
      </w:pPr>
    </w:p>
    <w:p>
      <w:pPr>
        <w:ind w:left="1560" w:hanging="356"/>
        <w:spacing w:after="0"/>
        <w:tabs>
          <w:tab w:leader="none" w:pos="1560"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mean:</w:t>
      </w:r>
    </w:p>
    <w:p>
      <w:pPr>
        <w:spacing w:after="0" w:line="267" w:lineRule="exact"/>
        <w:rPr>
          <w:rFonts w:ascii="Arial" w:cs="Arial" w:eastAsia="Arial" w:hAnsi="Arial"/>
          <w:sz w:val="17"/>
          <w:szCs w:val="17"/>
          <w:color w:val="auto"/>
        </w:rPr>
      </w:pPr>
    </w:p>
    <w:p>
      <w:pPr>
        <w:ind w:left="2120" w:hanging="316"/>
        <w:spacing w:after="0"/>
        <w:tabs>
          <w:tab w:leader="none" w:pos="2120" w:val="left"/>
        </w:tabs>
        <w:numPr>
          <w:ilvl w:val="2"/>
          <w:numId w:val="51"/>
        </w:numPr>
        <w:rPr>
          <w:rFonts w:ascii="Arial" w:cs="Arial" w:eastAsia="Arial" w:hAnsi="Arial"/>
          <w:sz w:val="15"/>
          <w:szCs w:val="15"/>
          <w:color w:val="auto"/>
        </w:rPr>
      </w:pPr>
      <w:r>
        <w:rPr>
          <w:rFonts w:ascii="Arial" w:cs="Arial" w:eastAsia="Arial" w:hAnsi="Arial"/>
          <w:sz w:val="15"/>
          <w:szCs w:val="15"/>
          <w:color w:val="auto"/>
        </w:rPr>
        <w:t>The willful or grossly negligent failure of the Executive to substantially perform his or her duties as an employee of the Company;</w:t>
      </w:r>
    </w:p>
    <w:p>
      <w:pPr>
        <w:spacing w:after="0" w:line="284" w:lineRule="exact"/>
        <w:rPr>
          <w:rFonts w:ascii="Arial" w:cs="Arial" w:eastAsia="Arial" w:hAnsi="Arial"/>
          <w:sz w:val="15"/>
          <w:szCs w:val="15"/>
          <w:color w:val="auto"/>
        </w:rPr>
      </w:pPr>
    </w:p>
    <w:p>
      <w:pPr>
        <w:ind w:left="2180" w:hanging="375"/>
        <w:spacing w:after="0"/>
        <w:tabs>
          <w:tab w:leader="none" w:pos="2180" w:val="left"/>
        </w:tabs>
        <w:numPr>
          <w:ilvl w:val="2"/>
          <w:numId w:val="51"/>
        </w:numPr>
        <w:rPr>
          <w:rFonts w:ascii="Arial" w:cs="Arial" w:eastAsia="Arial" w:hAnsi="Arial"/>
          <w:sz w:val="17"/>
          <w:szCs w:val="17"/>
          <w:color w:val="auto"/>
        </w:rPr>
      </w:pPr>
      <w:r>
        <w:rPr>
          <w:rFonts w:ascii="Arial" w:cs="Arial" w:eastAsia="Arial" w:hAnsi="Arial"/>
          <w:sz w:val="17"/>
          <w:szCs w:val="17"/>
          <w:color w:val="auto"/>
        </w:rPr>
        <w:t>Executive’s commission of a gross misconduct which is injurious to the</w:t>
      </w:r>
    </w:p>
    <w:p>
      <w:pPr>
        <w:spacing w:after="0"/>
        <w:rPr>
          <w:sz w:val="20"/>
          <w:szCs w:val="20"/>
          <w:color w:val="auto"/>
        </w:rPr>
      </w:pPr>
      <w:r>
        <w:rPr>
          <w:rFonts w:ascii="Arial" w:cs="Arial" w:eastAsia="Arial" w:hAnsi="Arial"/>
          <w:sz w:val="17"/>
          <w:szCs w:val="17"/>
          <w:color w:val="auto"/>
        </w:rPr>
        <w:t>Company;</w:t>
      </w:r>
    </w:p>
    <w:p>
      <w:pPr>
        <w:spacing w:after="0" w:line="235" w:lineRule="exact"/>
        <w:rPr>
          <w:sz w:val="20"/>
          <w:szCs w:val="20"/>
          <w:color w:val="auto"/>
        </w:rPr>
      </w:pPr>
    </w:p>
    <w:p>
      <w:pPr>
        <w:ind w:left="2220" w:hanging="415"/>
        <w:spacing w:after="0"/>
        <w:tabs>
          <w:tab w:leader="none" w:pos="2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Executive’s breach of a material provision of any agreement between Executive</w:t>
      </w:r>
    </w:p>
    <w:p>
      <w:pPr>
        <w:spacing w:after="0"/>
        <w:rPr>
          <w:sz w:val="20"/>
          <w:szCs w:val="20"/>
          <w:color w:val="auto"/>
        </w:rPr>
      </w:pPr>
      <w:r>
        <w:rPr>
          <w:rFonts w:ascii="Arial" w:cs="Arial" w:eastAsia="Arial" w:hAnsi="Arial"/>
          <w:sz w:val="17"/>
          <w:szCs w:val="17"/>
          <w:color w:val="auto"/>
        </w:rPr>
        <w:t>and the Company;</w:t>
      </w:r>
    </w:p>
    <w:p>
      <w:pPr>
        <w:spacing w:after="0" w:line="253" w:lineRule="exact"/>
        <w:rPr>
          <w:sz w:val="20"/>
          <w:szCs w:val="20"/>
          <w:color w:val="auto"/>
        </w:rPr>
      </w:pPr>
    </w:p>
    <w:p>
      <w:pPr>
        <w:ind w:left="2220" w:hanging="416"/>
        <w:spacing w:after="0"/>
        <w:tabs>
          <w:tab w:leader="none" w:pos="2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185" w:lineRule="exact"/>
        <w:rPr>
          <w:rFonts w:ascii="Arial" w:cs="Arial" w:eastAsia="Arial" w:hAnsi="Arial"/>
          <w:sz w:val="16"/>
          <w:szCs w:val="16"/>
          <w:color w:val="auto"/>
        </w:rPr>
      </w:pPr>
    </w:p>
    <w:p>
      <w:pPr>
        <w:ind w:left="2160" w:hanging="356"/>
        <w:spacing w:after="0"/>
        <w:tabs>
          <w:tab w:leader="none" w:pos="21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rPr>
          <w:sz w:val="20"/>
          <w:szCs w:val="20"/>
          <w:color w:val="auto"/>
        </w:rPr>
      </w:pPr>
      <w:r>
        <w:rPr>
          <w:rFonts w:ascii="Arial" w:cs="Arial" w:eastAsia="Arial" w:hAnsi="Arial"/>
          <w:sz w:val="17"/>
          <w:szCs w:val="17"/>
          <w:color w:val="auto"/>
        </w:rPr>
        <w:t>Company; or</w:t>
      </w:r>
    </w:p>
    <w:p>
      <w:pPr>
        <w:spacing w:after="0" w:line="191" w:lineRule="exact"/>
        <w:rPr>
          <w:sz w:val="20"/>
          <w:szCs w:val="20"/>
          <w:color w:val="auto"/>
        </w:rPr>
      </w:pPr>
    </w:p>
    <w:p>
      <w:pPr>
        <w:ind w:right="460" w:firstLine="1804"/>
        <w:spacing w:after="0" w:line="230" w:lineRule="auto"/>
        <w:tabs>
          <w:tab w:leader="none" w:pos="2208"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(other than motor vehicle offenses the effect of which do not materially impair Executive’s performance of Executive’s duties for the Company).</w:t>
      </w:r>
    </w:p>
    <w:p>
      <w:pPr>
        <w:spacing w:after="0" w:line="176" w:lineRule="exact"/>
        <w:rPr>
          <w:sz w:val="20"/>
          <w:szCs w:val="20"/>
          <w:color w:val="auto"/>
        </w:rPr>
      </w:pPr>
    </w:p>
    <w:p>
      <w:pPr>
        <w:ind w:right="80"/>
        <w:spacing w:after="0" w:line="220" w:lineRule="auto"/>
        <w:rPr>
          <w:sz w:val="20"/>
          <w:szCs w:val="20"/>
          <w:color w:val="auto"/>
        </w:rPr>
      </w:pPr>
      <w:r>
        <w:rPr>
          <w:rFonts w:ascii="Arial" w:cs="Arial" w:eastAsia="Arial" w:hAnsi="Arial"/>
          <w:sz w:val="17"/>
          <w:szCs w:val="17"/>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88" w:lineRule="exact"/>
        <w:rPr>
          <w:sz w:val="20"/>
          <w:szCs w:val="20"/>
          <w:color w:val="auto"/>
        </w:rPr>
      </w:pPr>
    </w:p>
    <w:p>
      <w:pPr>
        <w:jc w:val="both"/>
        <w:ind w:right="200"/>
        <w:spacing w:after="0" w:line="220"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80"/>
          </w:cols>
          <w:pgMar w:left="400" w:top="1284" w:right="41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“Company” will be interpreted to include any subsidiary, parent, affiliate or successor thereto, if applicable.</w:t>
      </w:r>
    </w:p>
    <w:p>
      <w:pPr>
        <w:spacing w:after="0" w:line="249" w:lineRule="exact"/>
        <w:rPr>
          <w:sz w:val="20"/>
          <w:szCs w:val="20"/>
          <w:color w:val="auto"/>
        </w:rPr>
      </w:pPr>
    </w:p>
    <w:p>
      <w:pPr>
        <w:ind w:left="1200"/>
        <w:spacing w:after="0"/>
        <w:tabs>
          <w:tab w:leader="none" w:pos="154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5"/>
          <w:szCs w:val="15"/>
          <w:u w:val="single" w:color="auto"/>
          <w:color w:val="auto"/>
        </w:rPr>
        <w:t xml:space="preserve">Change of Control. </w:t>
      </w:r>
      <w:r>
        <w:rPr>
          <w:rFonts w:ascii="Arial" w:cs="Arial" w:eastAsia="Arial" w:hAnsi="Arial"/>
          <w:sz w:val="15"/>
          <w:szCs w:val="15"/>
          <w:color w:val="auto"/>
        </w:rPr>
        <w:t>“</w:t>
      </w:r>
      <w:r>
        <w:rPr>
          <w:rFonts w:ascii="Arial" w:cs="Arial" w:eastAsia="Arial" w:hAnsi="Arial"/>
          <w:sz w:val="15"/>
          <w:szCs w:val="15"/>
          <w:b w:val="1"/>
          <w:bCs w:val="1"/>
          <w:i w:val="1"/>
          <w:iCs w:val="1"/>
          <w:color w:val="auto"/>
        </w:rPr>
        <w:t>Change of Control</w:t>
      </w:r>
      <w:r>
        <w:rPr>
          <w:rFonts w:ascii="Arial" w:cs="Arial" w:eastAsia="Arial" w:hAnsi="Arial"/>
          <w:sz w:val="15"/>
          <w:szCs w:val="15"/>
          <w:color w:val="auto"/>
        </w:rPr>
        <w:t>” means the occurrence of any of the following</w:t>
      </w:r>
    </w:p>
    <w:p>
      <w:pPr>
        <w:spacing w:after="0"/>
        <w:rPr>
          <w:sz w:val="20"/>
          <w:szCs w:val="20"/>
          <w:color w:val="auto"/>
        </w:rPr>
      </w:pPr>
      <w:r>
        <w:rPr>
          <w:rFonts w:ascii="Arial" w:cs="Arial" w:eastAsia="Arial" w:hAnsi="Arial"/>
          <w:sz w:val="17"/>
          <w:szCs w:val="17"/>
          <w:color w:val="auto"/>
        </w:rPr>
        <w:t>events:</w:t>
      </w:r>
    </w:p>
    <w:p>
      <w:pPr>
        <w:spacing w:after="0" w:line="266" w:lineRule="exact"/>
        <w:rPr>
          <w:sz w:val="20"/>
          <w:szCs w:val="20"/>
          <w:color w:val="auto"/>
        </w:rPr>
      </w:pPr>
    </w:p>
    <w:p>
      <w:pPr>
        <w:jc w:val="both"/>
        <w:ind w:right="20" w:firstLine="1804"/>
        <w:spacing w:after="0" w:line="244" w:lineRule="auto"/>
        <w:tabs>
          <w:tab w:leader="none" w:pos="2131" w:val="left"/>
        </w:tabs>
        <w:numPr>
          <w:ilvl w:val="0"/>
          <w:numId w:val="55"/>
        </w:numPr>
        <w:rPr>
          <w:rFonts w:ascii="Arial" w:cs="Arial" w:eastAsia="Arial" w:hAnsi="Arial"/>
          <w:sz w:val="15"/>
          <w:szCs w:val="15"/>
          <w:color w:val="auto"/>
        </w:rPr>
      </w:pPr>
      <w:r>
        <w:rPr>
          <w:rFonts w:ascii="Arial" w:cs="Arial" w:eastAsia="Arial" w:hAnsi="Arial"/>
          <w:sz w:val="15"/>
          <w:szCs w:val="15"/>
          <w:color w:val="auto"/>
        </w:rPr>
        <w:t>A change in the ownership of the Company which occurs on the date that any one person, or more than one person acting as a group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6" w:lineRule="exact"/>
        <w:rPr>
          <w:rFonts w:ascii="Arial" w:cs="Arial" w:eastAsia="Arial" w:hAnsi="Arial"/>
          <w:sz w:val="15"/>
          <w:szCs w:val="15"/>
          <w:color w:val="auto"/>
        </w:rPr>
      </w:pPr>
    </w:p>
    <w:p>
      <w:pPr>
        <w:jc w:val="both"/>
        <w:ind w:right="20" w:firstLine="1804"/>
        <w:spacing w:after="0" w:line="215" w:lineRule="auto"/>
        <w:tabs>
          <w:tab w:leader="none" w:pos="2223"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5" w:lineRule="exact"/>
        <w:rPr>
          <w:rFonts w:ascii="Arial" w:cs="Arial" w:eastAsia="Arial" w:hAnsi="Arial"/>
          <w:sz w:val="17"/>
          <w:szCs w:val="17"/>
          <w:color w:val="auto"/>
        </w:rPr>
      </w:pPr>
    </w:p>
    <w:p>
      <w:pPr>
        <w:jc w:val="both"/>
        <w:ind w:firstLine="1804"/>
        <w:spacing w:after="0" w:line="218" w:lineRule="auto"/>
        <w:tabs>
          <w:tab w:leader="none" w:pos="224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6" w:lineRule="exact"/>
        <w:rPr>
          <w:sz w:val="20"/>
          <w:szCs w:val="20"/>
          <w:color w:val="auto"/>
        </w:rPr>
      </w:pPr>
    </w:p>
    <w:p>
      <w:pPr>
        <w:jc w:val="both"/>
        <w:ind w:right="20" w:firstLine="1801"/>
        <w:spacing w:after="0" w:line="230"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88" w:lineRule="exact"/>
        <w:rPr>
          <w:sz w:val="20"/>
          <w:szCs w:val="20"/>
          <w:color w:val="auto"/>
        </w:rPr>
      </w:pPr>
    </w:p>
    <w:p>
      <w:pPr>
        <w:jc w:val="both"/>
        <w:ind w:firstLine="1801"/>
        <w:spacing w:after="0" w:line="233" w:lineRule="auto"/>
        <w:rPr>
          <w:sz w:val="20"/>
          <w:szCs w:val="20"/>
          <w:color w:val="auto"/>
        </w:rPr>
      </w:pPr>
      <w:r>
        <w:rPr>
          <w:rFonts w:ascii="Arial" w:cs="Arial" w:eastAsia="Arial" w:hAnsi="Arial"/>
          <w:sz w:val="16"/>
          <w:szCs w:val="16"/>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7" w:lineRule="exact"/>
        <w:rPr>
          <w:sz w:val="20"/>
          <w:szCs w:val="20"/>
          <w:color w:val="auto"/>
        </w:rPr>
      </w:pPr>
    </w:p>
    <w:p>
      <w:pPr>
        <w:jc w:val="both"/>
        <w:ind w:right="20" w:firstLine="1801"/>
        <w:spacing w:after="0" w:line="220"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8" w:lineRule="exact"/>
        <w:rPr>
          <w:sz w:val="20"/>
          <w:szCs w:val="20"/>
          <w:color w:val="auto"/>
        </w:rPr>
      </w:pPr>
    </w:p>
    <w:p>
      <w:pPr>
        <w:ind w:right="440" w:firstLine="1203"/>
        <w:spacing w:after="0" w:line="230" w:lineRule="auto"/>
        <w:tabs>
          <w:tab w:leader="none" w:pos="155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Change of Control Period</w:t>
      </w:r>
      <w:r>
        <w:rPr>
          <w:rFonts w:ascii="Arial" w:cs="Arial" w:eastAsia="Arial" w:hAnsi="Arial"/>
          <w:sz w:val="17"/>
          <w:szCs w:val="17"/>
          <w:color w:val="auto"/>
        </w:rPr>
        <w:t>. “</w:t>
      </w:r>
      <w:r>
        <w:rPr>
          <w:rFonts w:ascii="Arial" w:cs="Arial" w:eastAsia="Arial" w:hAnsi="Arial"/>
          <w:sz w:val="17"/>
          <w:szCs w:val="17"/>
          <w:b w:val="1"/>
          <w:bCs w:val="1"/>
          <w:i w:val="1"/>
          <w:iCs w:val="1"/>
          <w:color w:val="auto"/>
        </w:rPr>
        <w:t>Change of Control Period</w:t>
      </w:r>
      <w:r>
        <w:rPr>
          <w:rFonts w:ascii="Arial" w:cs="Arial" w:eastAsia="Arial" w:hAnsi="Arial"/>
          <w:sz w:val="17"/>
          <w:szCs w:val="17"/>
          <w:color w:val="auto"/>
        </w:rPr>
        <w:t>” will mean the period beginning two (2) months prior to, and ending twelve (12) months following, a Change of Control.</w:t>
      </w:r>
    </w:p>
    <w:p>
      <w:pPr>
        <w:spacing w:after="0" w:line="175" w:lineRule="exact"/>
        <w:rPr>
          <w:rFonts w:ascii="Arial" w:cs="Arial" w:eastAsia="Arial" w:hAnsi="Arial"/>
          <w:sz w:val="17"/>
          <w:szCs w:val="17"/>
          <w:color w:val="auto"/>
        </w:rPr>
      </w:pPr>
    </w:p>
    <w:p>
      <w:pPr>
        <w:ind w:left="1560" w:hanging="356"/>
        <w:spacing w:after="0"/>
        <w:tabs>
          <w:tab w:leader="none" w:pos="156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will mean the Internal Revenue Code of 1986, as amended.</w:t>
      </w:r>
    </w:p>
    <w:p>
      <w:pPr>
        <w:spacing w:after="0" w:line="279" w:lineRule="exact"/>
        <w:rPr>
          <w:rFonts w:ascii="Arial" w:cs="Arial" w:eastAsia="Arial" w:hAnsi="Arial"/>
          <w:sz w:val="17"/>
          <w:szCs w:val="17"/>
          <w:color w:val="auto"/>
        </w:rPr>
      </w:pPr>
    </w:p>
    <w:p>
      <w:pPr>
        <w:ind w:right="360" w:firstLine="1203"/>
        <w:spacing w:after="0" w:line="230" w:lineRule="auto"/>
        <w:tabs>
          <w:tab w:leader="none" w:pos="155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will mean that Executive has been unable to engage in any substantial gainful activity by reason of any medically determinable physical or mental impairment that can be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80"/>
          </w:cols>
          <w:pgMar w:left="400" w:top="1303" w:right="419" w:bottom="1440" w:gutter="0" w:footer="0" w:header="0"/>
        </w:sectPr>
      </w:pPr>
    </w:p>
    <w:bookmarkStart w:id="89" w:name="page90"/>
    <w:bookmarkEnd w:id="89"/>
    <w:p>
      <w:pPr>
        <w:jc w:val="both"/>
        <w:ind w:right="20"/>
        <w:spacing w:after="0" w:line="211" w:lineRule="auto"/>
        <w:rPr>
          <w:sz w:val="20"/>
          <w:szCs w:val="20"/>
          <w:color w:val="auto"/>
        </w:rPr>
      </w:pPr>
      <w:r>
        <w:rPr>
          <w:rFonts w:ascii="Arial" w:cs="Arial" w:eastAsia="Arial" w:hAnsi="Arial"/>
          <w:sz w:val="17"/>
          <w:szCs w:val="17"/>
          <w:color w:val="auto"/>
        </w:rPr>
        <w:t>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79" w:lineRule="exact"/>
        <w:rPr>
          <w:sz w:val="20"/>
          <w:szCs w:val="20"/>
          <w:color w:val="auto"/>
        </w:rPr>
      </w:pPr>
    </w:p>
    <w:p>
      <w:pPr>
        <w:ind w:right="20" w:firstLine="1203"/>
        <w:spacing w:after="0" w:line="230" w:lineRule="auto"/>
        <w:tabs>
          <w:tab w:leader="none" w:pos="1696"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mean Executive’s outstanding stock options, stock appreciation rights, restricted stock units, performance shares, performance stock units and any other Company equity compensation awards.</w:t>
      </w:r>
    </w:p>
    <w:p>
      <w:pPr>
        <w:spacing w:after="0" w:line="169" w:lineRule="exact"/>
        <w:rPr>
          <w:rFonts w:ascii="Arial" w:cs="Arial" w:eastAsia="Arial" w:hAnsi="Arial"/>
          <w:sz w:val="17"/>
          <w:szCs w:val="17"/>
          <w:color w:val="auto"/>
        </w:rPr>
      </w:pPr>
    </w:p>
    <w:p>
      <w:pPr>
        <w:ind w:left="1560" w:hanging="356"/>
        <w:spacing w:after="0"/>
        <w:tabs>
          <w:tab w:leader="none" w:pos="1560"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w:t>
      </w:r>
    </w:p>
    <w:p>
      <w:pPr>
        <w:ind w:right="360" w:firstLine="3"/>
        <w:spacing w:after="0" w:line="221" w:lineRule="auto"/>
        <w:tabs>
          <w:tab w:leader="none" w:pos="445" w:val="left"/>
        </w:tabs>
        <w:numPr>
          <w:ilvl w:val="0"/>
          <w:numId w:val="58"/>
        </w:numPr>
        <w:rPr>
          <w:rFonts w:ascii="Arial" w:cs="Arial" w:eastAsia="Arial" w:hAnsi="Arial"/>
          <w:sz w:val="17"/>
          <w:szCs w:val="17"/>
          <w:color w:val="auto"/>
        </w:rPr>
      </w:pPr>
      <w:r>
        <w:rPr>
          <w:rFonts w:ascii="Arial" w:cs="Arial" w:eastAsia="Arial" w:hAnsi="Arial"/>
          <w:sz w:val="17"/>
          <w:szCs w:val="17"/>
          <w:color w:val="auto"/>
        </w:rPr>
        <w:t>days following the expiration of any cure period (discussed below) following the occurrence of one or more of the following, without Executive’s express written consent:</w:t>
      </w:r>
    </w:p>
    <w:p>
      <w:pPr>
        <w:spacing w:after="0" w:line="176" w:lineRule="exact"/>
        <w:rPr>
          <w:rFonts w:ascii="Arial" w:cs="Arial" w:eastAsia="Arial" w:hAnsi="Arial"/>
          <w:sz w:val="17"/>
          <w:szCs w:val="17"/>
          <w:color w:val="auto"/>
        </w:rPr>
      </w:pPr>
    </w:p>
    <w:p>
      <w:pPr>
        <w:ind w:right="120" w:firstLine="1804"/>
        <w:spacing w:after="0" w:line="230" w:lineRule="auto"/>
        <w:tabs>
          <w:tab w:leader="none" w:pos="2225" w:val="left"/>
        </w:tabs>
        <w:numPr>
          <w:ilvl w:val="2"/>
          <w:numId w:val="58"/>
        </w:numPr>
        <w:rPr>
          <w:rFonts w:ascii="Arial" w:cs="Arial" w:eastAsia="Arial" w:hAnsi="Arial"/>
          <w:sz w:val="17"/>
          <w:szCs w:val="17"/>
          <w:color w:val="auto"/>
        </w:rPr>
      </w:pPr>
      <w:r>
        <w:rPr>
          <w:rFonts w:ascii="Arial" w:cs="Arial" w:eastAsia="Arial" w:hAnsi="Arial"/>
          <w:sz w:val="17"/>
          <w:szCs w:val="17"/>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168" w:lineRule="exact"/>
        <w:rPr>
          <w:rFonts w:ascii="Arial" w:cs="Arial" w:eastAsia="Arial" w:hAnsi="Arial"/>
          <w:sz w:val="17"/>
          <w:szCs w:val="17"/>
          <w:color w:val="auto"/>
        </w:rPr>
      </w:pPr>
    </w:p>
    <w:p>
      <w:pPr>
        <w:ind w:left="2220" w:hanging="416"/>
        <w:spacing w:after="0"/>
        <w:tabs>
          <w:tab w:leader="none" w:pos="2220"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 fifty</w:t>
      </w:r>
    </w:p>
    <w:p>
      <w:pPr>
        <w:ind w:left="320" w:hanging="317"/>
        <w:spacing w:after="0"/>
        <w:tabs>
          <w:tab w:leader="none" w:pos="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miles; or</w:t>
      </w:r>
    </w:p>
    <w:p>
      <w:pPr>
        <w:spacing w:after="0" w:line="247" w:lineRule="exact"/>
        <w:rPr>
          <w:rFonts w:ascii="Arial" w:cs="Arial" w:eastAsia="Arial" w:hAnsi="Arial"/>
          <w:sz w:val="17"/>
          <w:szCs w:val="17"/>
          <w:color w:val="auto"/>
        </w:rPr>
      </w:pPr>
    </w:p>
    <w:p>
      <w:pPr>
        <w:ind w:left="2220" w:hanging="415"/>
        <w:spacing w:after="0"/>
        <w:tabs>
          <w:tab w:leader="none" w:pos="2220" w:val="left"/>
        </w:tabs>
        <w:numPr>
          <w:ilvl w:val="2"/>
          <w:numId w:val="59"/>
        </w:numPr>
        <w:rPr>
          <w:rFonts w:ascii="Arial" w:cs="Arial" w:eastAsia="Arial" w:hAnsi="Arial"/>
          <w:sz w:val="17"/>
          <w:szCs w:val="17"/>
          <w:color w:val="auto"/>
        </w:rPr>
      </w:pPr>
      <w:r>
        <w:rPr>
          <w:rFonts w:ascii="Arial" w:cs="Arial" w:eastAsia="Arial" w:hAnsi="Arial"/>
          <w:sz w:val="17"/>
          <w:szCs w:val="17"/>
          <w:color w:val="auto"/>
        </w:rPr>
        <w:t>a successor of the Company as set forth in Section 7(a) hereof does not assume</w:t>
      </w:r>
    </w:p>
    <w:p>
      <w:pPr>
        <w:spacing w:after="0"/>
        <w:rPr>
          <w:sz w:val="20"/>
          <w:szCs w:val="20"/>
          <w:color w:val="auto"/>
        </w:rPr>
      </w:pPr>
      <w:r>
        <w:rPr>
          <w:rFonts w:ascii="Arial" w:cs="Arial" w:eastAsia="Arial" w:hAnsi="Arial"/>
          <w:sz w:val="17"/>
          <w:szCs w:val="17"/>
          <w:color w:val="auto"/>
        </w:rPr>
        <w:t>this Agreement.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In order for an event to qualify as Good Reason, Executive must not terminate employment with the Company</w:t>
      </w:r>
    </w:p>
    <w:p>
      <w:pPr>
        <w:ind w:right="280"/>
        <w:spacing w:after="0" w:line="235" w:lineRule="auto"/>
        <w:rPr>
          <w:sz w:val="20"/>
          <w:szCs w:val="20"/>
          <w:color w:val="auto"/>
        </w:rPr>
      </w:pPr>
      <w:r>
        <w:rPr>
          <w:rFonts w:ascii="Arial" w:cs="Arial" w:eastAsia="Arial" w:hAnsi="Arial"/>
          <w:sz w:val="16"/>
          <w:szCs w:val="16"/>
          <w:color w:val="auto"/>
        </w:rPr>
        <w:t>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the “Good Reason” definition, the term “Company” will be interpreted to include any subsidiary, parent, affiliate or successor thereto, if applicable.</w:t>
      </w:r>
    </w:p>
    <w:p>
      <w:pPr>
        <w:spacing w:after="0" w:line="209" w:lineRule="exact"/>
        <w:rPr>
          <w:sz w:val="20"/>
          <w:szCs w:val="20"/>
          <w:color w:val="auto"/>
        </w:rPr>
      </w:pPr>
    </w:p>
    <w:p>
      <w:pPr>
        <w:ind w:left="1560" w:hanging="356"/>
        <w:spacing w:after="0"/>
        <w:tabs>
          <w:tab w:leader="none" w:pos="1560" w:val="left"/>
        </w:tabs>
        <w:numPr>
          <w:ilvl w:val="2"/>
          <w:numId w:val="60"/>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w:t>
      </w:r>
    </w:p>
    <w:p>
      <w:pPr>
        <w:jc w:val="both"/>
        <w:ind w:right="20" w:firstLine="3"/>
        <w:spacing w:after="0" w:line="223" w:lineRule="auto"/>
        <w:tabs>
          <w:tab w:leader="none" w:pos="332"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77" w:lineRule="exact"/>
        <w:rPr>
          <w:rFonts w:ascii="Arial" w:cs="Arial" w:eastAsia="Arial" w:hAnsi="Arial"/>
          <w:sz w:val="16"/>
          <w:szCs w:val="16"/>
          <w:color w:val="auto"/>
        </w:rPr>
      </w:pPr>
    </w:p>
    <w:p>
      <w:pPr>
        <w:ind w:left="900" w:hanging="297"/>
        <w:spacing w:after="0"/>
        <w:tabs>
          <w:tab w:leader="none" w:pos="900"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79" w:lineRule="exact"/>
        <w:rPr>
          <w:rFonts w:ascii="Arial" w:cs="Arial" w:eastAsia="Arial" w:hAnsi="Arial"/>
          <w:sz w:val="17"/>
          <w:szCs w:val="17"/>
          <w:color w:val="auto"/>
        </w:rPr>
      </w:pPr>
    </w:p>
    <w:p>
      <w:pPr>
        <w:jc w:val="both"/>
        <w:ind w:firstLine="1203"/>
        <w:spacing w:after="0"/>
        <w:tabs>
          <w:tab w:leader="none" w:pos="1639" w:val="left"/>
        </w:tabs>
        <w:numPr>
          <w:ilvl w:val="2"/>
          <w:numId w:val="61"/>
        </w:numPr>
        <w:rPr>
          <w:rFonts w:ascii="Arial" w:cs="Arial" w:eastAsia="Arial" w:hAnsi="Arial"/>
          <w:sz w:val="15"/>
          <w:szCs w:val="15"/>
          <w:color w:val="auto"/>
        </w:rPr>
      </w:pPr>
      <w:r>
        <w:rPr>
          <w:rFonts w:ascii="Arial" w:cs="Arial" w:eastAsia="Arial" w:hAnsi="Arial"/>
          <w:sz w:val="15"/>
          <w:szCs w:val="15"/>
          <w:u w:val="single" w:color="auto"/>
          <w:color w:val="auto"/>
        </w:rPr>
        <w:t>The Company’s Successors</w:t>
      </w:r>
      <w:r>
        <w:rPr>
          <w:rFonts w:ascii="Arial" w:cs="Arial" w:eastAsia="Arial" w:hAnsi="Arial"/>
          <w:sz w:val="15"/>
          <w:szCs w:val="15"/>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76" w:lineRule="exact"/>
        <w:rPr>
          <w:rFonts w:ascii="Arial" w:cs="Arial" w:eastAsia="Arial" w:hAnsi="Arial"/>
          <w:sz w:val="15"/>
          <w:szCs w:val="15"/>
          <w:color w:val="auto"/>
        </w:rPr>
      </w:pPr>
    </w:p>
    <w:p>
      <w:pPr>
        <w:ind w:right="20" w:firstLine="1203"/>
        <w:spacing w:after="0" w:line="230" w:lineRule="auto"/>
        <w:tabs>
          <w:tab w:leader="none" w:pos="1561" w:val="left"/>
        </w:tabs>
        <w:numPr>
          <w:ilvl w:val="2"/>
          <w:numId w:val="61"/>
        </w:numPr>
        <w:rPr>
          <w:rFonts w:ascii="Arial" w:cs="Arial" w:eastAsia="Arial" w:hAnsi="Arial"/>
          <w:sz w:val="17"/>
          <w:szCs w:val="17"/>
          <w:color w:val="auto"/>
        </w:rPr>
      </w:pPr>
      <w:r>
        <w:rPr>
          <w:rFonts w:ascii="Arial" w:cs="Arial" w:eastAsia="Arial" w:hAnsi="Arial"/>
          <w:sz w:val="17"/>
          <w:szCs w:val="17"/>
          <w:u w:val="single" w:color="auto"/>
          <w:color w:val="auto"/>
        </w:rPr>
        <w:t>Executive’s Successors</w:t>
      </w:r>
      <w:r>
        <w:rPr>
          <w:rFonts w:ascii="Arial" w:cs="Arial" w:eastAsia="Arial" w:hAnsi="Arial"/>
          <w:sz w:val="17"/>
          <w:szCs w:val="17"/>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080"/>
          </w:cols>
          <w:pgMar w:left="400" w:top="1303" w:right="419" w:bottom="1440" w:gutter="0" w:footer="0" w:header="0"/>
        </w:sectPr>
      </w:pPr>
    </w:p>
    <w:bookmarkStart w:id="90" w:name="page91"/>
    <w:bookmarkEnd w:id="90"/>
    <w:p>
      <w:pPr>
        <w:ind w:left="900" w:hanging="297"/>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jc w:val="both"/>
        <w:ind w:right="20" w:firstLine="1203"/>
        <w:spacing w:after="0" w:line="223" w:lineRule="auto"/>
        <w:tabs>
          <w:tab w:leader="none" w:pos="161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87" w:lineRule="exact"/>
        <w:rPr>
          <w:rFonts w:ascii="Arial" w:cs="Arial" w:eastAsia="Arial" w:hAnsi="Arial"/>
          <w:sz w:val="16"/>
          <w:szCs w:val="16"/>
          <w:color w:val="auto"/>
        </w:rPr>
      </w:pPr>
    </w:p>
    <w:p>
      <w:pPr>
        <w:jc w:val="both"/>
        <w:ind w:right="20" w:firstLine="1203"/>
        <w:spacing w:after="0" w:line="228" w:lineRule="auto"/>
        <w:tabs>
          <w:tab w:leader="none" w:pos="1599"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89" w:lineRule="exact"/>
        <w:rPr>
          <w:rFonts w:ascii="Arial" w:cs="Arial" w:eastAsia="Arial" w:hAnsi="Arial"/>
          <w:sz w:val="16"/>
          <w:szCs w:val="16"/>
          <w:color w:val="auto"/>
        </w:rPr>
      </w:pPr>
    </w:p>
    <w:p>
      <w:pPr>
        <w:jc w:val="both"/>
        <w:ind w:right="20" w:firstLine="603"/>
        <w:spacing w:after="0" w:line="233" w:lineRule="auto"/>
        <w:tabs>
          <w:tab w:leader="none" w:pos="979"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77" w:lineRule="exact"/>
        <w:rPr>
          <w:rFonts w:ascii="Arial" w:cs="Arial" w:eastAsia="Arial" w:hAnsi="Arial"/>
          <w:sz w:val="16"/>
          <w:szCs w:val="16"/>
          <w:color w:val="auto"/>
        </w:rPr>
      </w:pPr>
    </w:p>
    <w:p>
      <w:pPr>
        <w:ind w:left="980" w:hanging="377"/>
        <w:spacing w:after="0"/>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jc w:val="both"/>
        <w:ind w:firstLine="1203"/>
        <w:spacing w:after="0" w:line="222" w:lineRule="auto"/>
        <w:tabs>
          <w:tab w:leader="none" w:pos="1627"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In consideration of Executive’s employment with the Company, its promise to arbitrate all employment</w:t>
      </w:r>
      <w:r>
        <w:rPr>
          <w:rFonts w:ascii="Arial" w:cs="Arial" w:eastAsia="Arial" w:hAnsi="Arial"/>
          <w:sz w:val="16"/>
          <w:szCs w:val="16"/>
          <w:b w:val="1"/>
          <w:bCs w:val="1"/>
          <w:color w:val="auto"/>
        </w:rPr>
        <w:t>-</w:t>
      </w:r>
      <w:r>
        <w:rPr>
          <w:rFonts w:ascii="Arial" w:cs="Arial" w:eastAsia="Arial" w:hAnsi="Arial"/>
          <w:sz w:val="16"/>
          <w:szCs w:val="16"/>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and pursuant to California law. The Federal Arbitration Act will also apply with full force and effect, notwithstanding the application of procedural rules set forth under the Act.</w:t>
      </w:r>
    </w:p>
    <w:p>
      <w:pPr>
        <w:spacing w:after="0" w:line="176" w:lineRule="exact"/>
        <w:rPr>
          <w:rFonts w:ascii="Arial" w:cs="Arial" w:eastAsia="Arial" w:hAnsi="Arial"/>
          <w:sz w:val="16"/>
          <w:szCs w:val="16"/>
          <w:color w:val="auto"/>
        </w:rPr>
      </w:pPr>
    </w:p>
    <w:p>
      <w:pPr>
        <w:jc w:val="both"/>
        <w:ind w:right="20" w:firstLine="1203"/>
        <w:spacing w:after="0" w:line="223" w:lineRule="auto"/>
        <w:tabs>
          <w:tab w:leader="none" w:pos="1574"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87" w:lineRule="exact"/>
        <w:rPr>
          <w:rFonts w:ascii="Arial" w:cs="Arial" w:eastAsia="Arial" w:hAnsi="Arial"/>
          <w:sz w:val="16"/>
          <w:szCs w:val="16"/>
          <w:color w:val="auto"/>
        </w:rPr>
      </w:pPr>
    </w:p>
    <w:p>
      <w:pPr>
        <w:jc w:val="both"/>
        <w:ind w:right="20" w:firstLine="1203"/>
        <w:spacing w:after="0" w:line="219" w:lineRule="auto"/>
        <w:tabs>
          <w:tab w:leader="none" w:pos="1639"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Executive agrees that any arbitration will be administered by the Judicial Arbitration &amp;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pursuant to its Employment Arbitration Rules &amp; Procedures (the “</w:t>
      </w:r>
      <w:r>
        <w:rPr>
          <w:rFonts w:ascii="Arial" w:cs="Arial" w:eastAsia="Arial" w:hAnsi="Arial"/>
          <w:sz w:val="16"/>
          <w:szCs w:val="16"/>
          <w:b w:val="1"/>
          <w:bCs w:val="1"/>
          <w:i w:val="1"/>
          <w:iCs w:val="1"/>
          <w:color w:val="auto"/>
        </w:rPr>
        <w:t>JAMS Rules</w:t>
      </w:r>
      <w:r>
        <w:rPr>
          <w:rFonts w:ascii="Arial" w:cs="Arial" w:eastAsia="Arial" w:hAnsi="Arial"/>
          <w:sz w:val="16"/>
          <w:szCs w:val="16"/>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080"/>
          </w:cols>
          <w:pgMar w:left="400" w:top="1303" w:right="419" w:bottom="1440" w:gutter="0" w:footer="0" w:header="0"/>
        </w:sectPr>
      </w:pPr>
    </w:p>
    <w:bookmarkStart w:id="91" w:name="page92"/>
    <w:bookmarkEnd w:id="91"/>
    <w:p>
      <w:pPr>
        <w:ind w:right="20"/>
        <w:spacing w:after="0" w:line="230" w:lineRule="auto"/>
        <w:rPr>
          <w:sz w:val="20"/>
          <w:szCs w:val="20"/>
          <w:color w:val="auto"/>
        </w:rPr>
      </w:pPr>
      <w:r>
        <w:rPr>
          <w:rFonts w:ascii="Arial" w:cs="Arial" w:eastAsia="Arial" w:hAnsi="Arial"/>
          <w:sz w:val="17"/>
          <w:szCs w:val="17"/>
          <w:color w:val="auto"/>
        </w:rPr>
        <w:t>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8" w:lineRule="exact"/>
        <w:rPr>
          <w:sz w:val="20"/>
          <w:szCs w:val="20"/>
          <w:color w:val="auto"/>
        </w:rPr>
      </w:pPr>
    </w:p>
    <w:p>
      <w:pPr>
        <w:jc w:val="both"/>
        <w:ind w:right="20" w:firstLine="1203"/>
        <w:spacing w:after="0" w:line="244" w:lineRule="auto"/>
        <w:tabs>
          <w:tab w:leader="none" w:pos="1586" w:val="left"/>
        </w:tabs>
        <w:numPr>
          <w:ilvl w:val="1"/>
          <w:numId w:val="63"/>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pacing w:after="0" w:line="186" w:lineRule="exact"/>
        <w:rPr>
          <w:rFonts w:ascii="Arial" w:cs="Arial" w:eastAsia="Arial" w:hAnsi="Arial"/>
          <w:sz w:val="15"/>
          <w:szCs w:val="15"/>
          <w:color w:val="auto"/>
        </w:rPr>
      </w:pPr>
    </w:p>
    <w:p>
      <w:pPr>
        <w:jc w:val="both"/>
        <w:ind w:firstLine="1203"/>
        <w:spacing w:after="0" w:line="215" w:lineRule="auto"/>
        <w:tabs>
          <w:tab w:leader="none" w:pos="1564"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5" w:lineRule="exact"/>
        <w:rPr>
          <w:rFonts w:ascii="Arial" w:cs="Arial" w:eastAsia="Arial" w:hAnsi="Arial"/>
          <w:sz w:val="17"/>
          <w:szCs w:val="17"/>
          <w:color w:val="auto"/>
        </w:rPr>
      </w:pPr>
    </w:p>
    <w:p>
      <w:pPr>
        <w:jc w:val="both"/>
        <w:ind w:right="20" w:firstLine="1203"/>
        <w:spacing w:after="0" w:line="225" w:lineRule="auto"/>
        <w:tabs>
          <w:tab w:leader="none" w:pos="1558"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Voluntary Nature of Agreement</w:t>
      </w:r>
      <w:r>
        <w:rPr>
          <w:rFonts w:ascii="Arial" w:cs="Arial" w:eastAsia="Arial" w:hAnsi="Arial"/>
          <w:sz w:val="16"/>
          <w:szCs w:val="16"/>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6"/>
          <w:szCs w:val="16"/>
          <w:i w:val="1"/>
          <w:iCs w:val="1"/>
          <w:color w:val="auto"/>
        </w:rPr>
        <w:t>EXECUTIVE IS WAIVING EXECUTIVE’S RIGHT TO A JURY TRIAL</w:t>
      </w:r>
      <w:r>
        <w:rPr>
          <w:rFonts w:ascii="Arial" w:cs="Arial" w:eastAsia="Arial" w:hAnsi="Arial"/>
          <w:sz w:val="16"/>
          <w:szCs w:val="16"/>
          <w:color w:val="auto"/>
        </w:rPr>
        <w:t>. Finally, Executive agrees that Executive has been provided an opportunity to seek the advice of an attorney of Executive’s choice before signing this Agreement.</w:t>
      </w:r>
    </w:p>
    <w:p>
      <w:pPr>
        <w:spacing w:after="0" w:line="188" w:lineRule="exact"/>
        <w:rPr>
          <w:rFonts w:ascii="Arial" w:cs="Arial" w:eastAsia="Arial" w:hAnsi="Arial"/>
          <w:sz w:val="16"/>
          <w:szCs w:val="16"/>
          <w:color w:val="auto"/>
        </w:rPr>
      </w:pPr>
    </w:p>
    <w:p>
      <w:pPr>
        <w:ind w:left="980" w:hanging="377"/>
        <w:spacing w:after="0"/>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right="20" w:firstLine="1203"/>
        <w:spacing w:after="0" w:line="230" w:lineRule="auto"/>
        <w:tabs>
          <w:tab w:leader="none" w:pos="1589"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pacing w:after="0" w:line="188" w:lineRule="exact"/>
        <w:rPr>
          <w:rFonts w:ascii="Arial" w:cs="Arial" w:eastAsia="Arial" w:hAnsi="Arial"/>
          <w:sz w:val="17"/>
          <w:szCs w:val="17"/>
          <w:color w:val="auto"/>
        </w:rPr>
      </w:pPr>
    </w:p>
    <w:p>
      <w:pPr>
        <w:jc w:val="both"/>
        <w:ind w:right="20" w:firstLine="1203"/>
        <w:spacing w:after="0" w:line="215" w:lineRule="auto"/>
        <w:tabs>
          <w:tab w:leader="none" w:pos="1586"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68" w:lineRule="exact"/>
        <w:rPr>
          <w:rFonts w:ascii="Arial" w:cs="Arial" w:eastAsia="Arial" w:hAnsi="Arial"/>
          <w:sz w:val="17"/>
          <w:szCs w:val="17"/>
          <w:color w:val="auto"/>
        </w:rPr>
      </w:pPr>
    </w:p>
    <w:p>
      <w:pPr>
        <w:ind w:left="1660" w:hanging="457"/>
        <w:spacing w:after="0"/>
        <w:tabs>
          <w:tab w:leader="none" w:pos="1660"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178" w:lineRule="exact"/>
        <w:rPr>
          <w:rFonts w:ascii="Arial" w:cs="Arial" w:eastAsia="Arial" w:hAnsi="Arial"/>
          <w:sz w:val="16"/>
          <w:szCs w:val="16"/>
          <w:color w:val="auto"/>
        </w:rPr>
      </w:pPr>
    </w:p>
    <w:p>
      <w:pPr>
        <w:jc w:val="both"/>
        <w:ind w:right="20" w:firstLine="1203"/>
        <w:spacing w:after="0" w:line="215" w:lineRule="auto"/>
        <w:tabs>
          <w:tab w:leader="none" w:pos="1724"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87" w:lineRule="exact"/>
        <w:rPr>
          <w:rFonts w:ascii="Arial" w:cs="Arial" w:eastAsia="Arial" w:hAnsi="Arial"/>
          <w:sz w:val="17"/>
          <w:szCs w:val="17"/>
          <w:color w:val="auto"/>
        </w:rPr>
      </w:pPr>
    </w:p>
    <w:p>
      <w:pPr>
        <w:jc w:val="both"/>
        <w:ind w:right="20" w:firstLine="1203"/>
        <w:spacing w:after="0" w:line="228" w:lineRule="auto"/>
        <w:tabs>
          <w:tab w:leader="none" w:pos="1614"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080"/>
          </w:cols>
          <w:pgMar w:left="400" w:top="1303" w:right="419" w:bottom="1440" w:gutter="0" w:footer="0" w:header="0"/>
        </w:sectPr>
      </w:pPr>
    </w:p>
    <w:bookmarkStart w:id="92" w:name="page93"/>
    <w:bookmarkEnd w:id="92"/>
    <w:p>
      <w:pPr>
        <w:ind w:firstLine="1203"/>
        <w:spacing w:after="0" w:line="230" w:lineRule="auto"/>
        <w:tabs>
          <w:tab w:leader="none" w:pos="1558"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88" w:lineRule="exact"/>
        <w:rPr>
          <w:rFonts w:ascii="Arial" w:cs="Arial" w:eastAsia="Arial" w:hAnsi="Arial"/>
          <w:sz w:val="17"/>
          <w:szCs w:val="17"/>
          <w:color w:val="auto"/>
        </w:rPr>
      </w:pPr>
    </w:p>
    <w:p>
      <w:pPr>
        <w:ind w:left="1620" w:hanging="417"/>
        <w:spacing w:after="0"/>
        <w:tabs>
          <w:tab w:leader="none" w:pos="1620" w:val="left"/>
        </w:tabs>
        <w:numPr>
          <w:ilvl w:val="0"/>
          <w:numId w:val="65"/>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All payments made pursuant to this Agreement will be subject to withholding of applicable income, employment and other</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taxes.</w:t>
      </w:r>
    </w:p>
    <w:p>
      <w:pPr>
        <w:spacing w:after="0" w:line="190" w:lineRule="exact"/>
        <w:rPr>
          <w:rFonts w:ascii="Arial" w:cs="Arial" w:eastAsia="Arial" w:hAnsi="Arial"/>
          <w:sz w:val="15"/>
          <w:szCs w:val="15"/>
          <w:color w:val="auto"/>
        </w:rPr>
      </w:pPr>
    </w:p>
    <w:p>
      <w:pPr>
        <w:ind w:firstLine="1203"/>
        <w:spacing w:after="0" w:line="230" w:lineRule="auto"/>
        <w:tabs>
          <w:tab w:leader="none" w:pos="1624"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[Signature Pages to Follow]</w:t>
      </w:r>
    </w:p>
    <w:p>
      <w:pPr>
        <w:spacing w:after="0" w:line="200" w:lineRule="exact"/>
        <w:rPr>
          <w:sz w:val="20"/>
          <w:szCs w:val="20"/>
          <w:color w:val="auto"/>
        </w:rPr>
      </w:pPr>
    </w:p>
    <w:p>
      <w:pPr>
        <w:spacing w:after="0" w:line="259"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060"/>
          </w:cols>
          <w:pgMar w:left="400" w:top="1303" w:right="439" w:bottom="1440" w:gutter="0" w:footer="0" w:header="0"/>
        </w:sectPr>
      </w:pPr>
    </w:p>
    <w:bookmarkStart w:id="93" w:name="page94"/>
    <w:bookmarkEnd w:id="93"/>
    <w:p>
      <w:pPr>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1"/>
          <w:szCs w:val="11"/>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5"/>
          <w:szCs w:val="15"/>
          <w:color w:val="auto"/>
        </w:rPr>
        <w:t>, the Company and Executive have executed this Agreement as of February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E</w:t>
      </w:r>
      <w:r>
        <w:rPr>
          <w:rFonts w:ascii="Arial" w:cs="Arial" w:eastAsia="Arial" w:hAnsi="Arial"/>
          <w:sz w:val="13"/>
          <w:szCs w:val="13"/>
          <w:b w:val="1"/>
          <w:bCs w:val="1"/>
          <w:color w:val="auto"/>
        </w:rPr>
        <w:t>XECUTIVE</w:t>
      </w:r>
    </w:p>
    <w:p>
      <w:pPr>
        <w:spacing w:after="0" w:line="200" w:lineRule="exact"/>
        <w:rPr>
          <w:sz w:val="20"/>
          <w:szCs w:val="20"/>
          <w:color w:val="auto"/>
        </w:rPr>
      </w:pPr>
    </w:p>
    <w:p>
      <w:pPr>
        <w:spacing w:after="0" w:line="222"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By: /S/Tina S.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2559050</wp:posOffset>
            </wp:positionH>
            <wp:positionV relativeFrom="paragraph">
              <wp:posOffset>-12065</wp:posOffset>
            </wp:positionV>
            <wp:extent cx="7816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pacing w:after="0" w:line="24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Name: Tina S. Nova,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2159"/>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p>
      <w:pPr>
        <w:sectPr>
          <w:pgSz w:w="11900" w:h="16838" w:orient="portrait"/>
          <w:cols w:equalWidth="0" w:num="1">
            <w:col w:w="9599"/>
          </w:cols>
          <w:pgMar w:left="860" w:top="1299" w:right="1440" w:bottom="1440" w:gutter="0" w:footer="0" w:header="0"/>
        </w:sectPr>
      </w:pPr>
    </w:p>
    <w:bookmarkStart w:id="94" w:name="page95"/>
    <w:bookmarkEnd w:id="94"/>
    <w:p>
      <w:pPr>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11"/>
          <w:szCs w:val="11"/>
          <w:b w:val="1"/>
          <w:bCs w:val="1"/>
          <w:color w:val="auto"/>
        </w:rPr>
        <w:t>N</w:t>
      </w:r>
      <w:r>
        <w:rPr>
          <w:rFonts w:ascii="Arial" w:cs="Arial" w:eastAsia="Arial" w:hAnsi="Arial"/>
          <w:sz w:val="15"/>
          <w:szCs w:val="15"/>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5"/>
          <w:szCs w:val="15"/>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5"/>
          <w:szCs w:val="15"/>
          <w:color w:val="auto"/>
        </w:rPr>
        <w:t>, the Company and Executive have executed this Agreement as of February 2, 2021.</w:t>
      </w:r>
    </w:p>
    <w:p>
      <w:pPr>
        <w:spacing w:after="0" w:line="200" w:lineRule="exact"/>
        <w:rPr>
          <w:sz w:val="20"/>
          <w:szCs w:val="20"/>
          <w:color w:val="auto"/>
        </w:rPr>
      </w:pPr>
    </w:p>
    <w:p>
      <w:pPr>
        <w:spacing w:after="0" w:line="241"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OMPANY</w:t>
      </w:r>
    </w:p>
    <w:p>
      <w:pPr>
        <w:spacing w:after="0" w:line="200" w:lineRule="exact"/>
        <w:rPr>
          <w:sz w:val="20"/>
          <w:szCs w:val="20"/>
          <w:color w:val="auto"/>
        </w:rPr>
      </w:pPr>
    </w:p>
    <w:p>
      <w:pPr>
        <w:spacing w:after="0" w:line="234"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By: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-12065</wp:posOffset>
            </wp:positionV>
            <wp:extent cx="10058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spacing w:after="0" w:line="229"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Name: Bonnie H. Anderson</w:t>
      </w:r>
    </w:p>
    <w:p>
      <w:pPr>
        <w:ind w:left="3140"/>
        <w:spacing w:after="0"/>
        <w:rPr>
          <w:sz w:val="20"/>
          <w:szCs w:val="20"/>
          <w:color w:val="auto"/>
        </w:rPr>
      </w:pPr>
      <w:r>
        <w:rPr>
          <w:rFonts w:ascii="Arial" w:cs="Arial" w:eastAsia="Arial" w:hAnsi="Arial"/>
          <w:sz w:val="17"/>
          <w:szCs w:val="17"/>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2159"/>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p>
      <w:pPr>
        <w:sectPr>
          <w:pgSz w:w="11900" w:h="16838" w:orient="portrait"/>
          <w:cols w:equalWidth="0" w:num="1">
            <w:col w:w="9599"/>
          </w:cols>
          <w:pgMar w:left="860" w:top="1299" w:right="1440"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7"/>
          <w:szCs w:val="17"/>
          <w:b w:val="1"/>
          <w:bCs w:val="1"/>
          <w:u w:val="single" w:color="auto"/>
          <w:color w:val="auto"/>
        </w:rPr>
        <w:t>EXHIBIT</w:t>
      </w:r>
      <w:r>
        <w:rPr>
          <w:rFonts w:ascii="Arial" w:cs="Arial" w:eastAsia="Arial" w:hAnsi="Arial"/>
          <w:sz w:val="17"/>
          <w:szCs w:val="17"/>
          <w:b w:val="1"/>
          <w:bCs w:val="1"/>
          <w:color w:val="auto"/>
        </w:rPr>
        <w:t xml:space="preserve"> A</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RELEASE OF CLAIMS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This release of claims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by and between 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Tina</w:t>
      </w:r>
    </w:p>
    <w:p>
      <w:pPr>
        <w:spacing w:after="0"/>
        <w:rPr>
          <w:sz w:val="20"/>
          <w:szCs w:val="20"/>
          <w:color w:val="auto"/>
        </w:rPr>
      </w:pPr>
      <w:r>
        <w:rPr>
          <w:rFonts w:ascii="Arial" w:cs="Arial" w:eastAsia="Arial" w:hAnsi="Arial"/>
          <w:sz w:val="15"/>
          <w:szCs w:val="15"/>
          <w:color w:val="auto"/>
        </w:rPr>
        <w:t>S. Nova, PhD (“</w:t>
      </w:r>
      <w:r>
        <w:rPr>
          <w:rFonts w:ascii="Arial" w:cs="Arial" w:eastAsia="Arial" w:hAnsi="Arial"/>
          <w:sz w:val="15"/>
          <w:szCs w:val="15"/>
          <w:b w:val="1"/>
          <w:bCs w:val="1"/>
          <w:i w:val="1"/>
          <w:iCs w:val="1"/>
          <w:color w:val="auto"/>
        </w:rPr>
        <w:t>Executive</w:t>
      </w:r>
      <w:r>
        <w:rPr>
          <w:rFonts w:ascii="Arial" w:cs="Arial" w:eastAsia="Arial" w:hAnsi="Arial"/>
          <w:sz w:val="15"/>
          <w:szCs w:val="15"/>
          <w:color w:val="auto"/>
        </w:rPr>
        <w:t>”). The Company and Executive are sometimes collectively referred to herein as the “</w:t>
      </w:r>
      <w:r>
        <w:rPr>
          <w:rFonts w:ascii="Arial" w:cs="Arial" w:eastAsia="Arial" w:hAnsi="Arial"/>
          <w:sz w:val="15"/>
          <w:szCs w:val="15"/>
          <w:b w:val="1"/>
          <w:bCs w:val="1"/>
          <w:i w:val="1"/>
          <w:iCs w:val="1"/>
          <w:color w:val="auto"/>
        </w:rPr>
        <w:t>Parties</w:t>
      </w:r>
      <w:r>
        <w:rPr>
          <w:rFonts w:ascii="Arial" w:cs="Arial" w:eastAsia="Arial" w:hAnsi="Arial"/>
          <w:sz w:val="15"/>
          <w:szCs w:val="15"/>
          <w:color w:val="auto"/>
        </w:rPr>
        <w:t>” and individually referred to as a “</w:t>
      </w:r>
      <w:r>
        <w:rPr>
          <w:rFonts w:ascii="Arial" w:cs="Arial" w:eastAsia="Arial" w:hAnsi="Arial"/>
          <w:sz w:val="15"/>
          <w:szCs w:val="15"/>
          <w:b w:val="1"/>
          <w:bCs w:val="1"/>
          <w:i w:val="1"/>
          <w:iCs w:val="1"/>
          <w:color w:val="auto"/>
        </w:rPr>
        <w:t>Party</w:t>
      </w:r>
      <w:r>
        <w:rPr>
          <w:rFonts w:ascii="Arial" w:cs="Arial" w:eastAsia="Arial" w:hAnsi="Arial"/>
          <w:sz w:val="15"/>
          <w:szCs w:val="15"/>
          <w:color w:val="auto"/>
        </w:rPr>
        <w: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RECITALS</w:t>
      </w:r>
    </w:p>
    <w:p>
      <w:pPr>
        <w:spacing w:after="0" w:line="205" w:lineRule="exact"/>
        <w:rPr>
          <w:sz w:val="20"/>
          <w:szCs w:val="20"/>
          <w:color w:val="auto"/>
        </w:rPr>
      </w:pPr>
    </w:p>
    <w:p>
      <w:pPr>
        <w:jc w:val="both"/>
        <w:ind w:firstLine="600"/>
        <w:spacing w:after="0" w:line="23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an At-Will Employment, Confidential Information and Invention Assignment and Arbitration Agreement with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on [ ], 2021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-22225</wp:posOffset>
            </wp:positionV>
            <wp:extent cx="1060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6045" cy="8255"/>
                    </a:xfrm>
                    <a:prstGeom prst="rect">
                      <a:avLst/>
                    </a:prstGeom>
                    <a:noFill/>
                  </pic:spPr>
                </pic:pic>
              </a:graphicData>
            </a:graphic>
          </wp:anchor>
        </w:drawing>
      </w:r>
    </w:p>
    <w:p>
      <w:pPr>
        <w:spacing w:after="0" w:line="153" w:lineRule="exact"/>
        <w:rPr>
          <w:sz w:val="20"/>
          <w:szCs w:val="20"/>
          <w:color w:val="auto"/>
        </w:rPr>
      </w:pPr>
    </w:p>
    <w:p>
      <w:pPr>
        <w:jc w:val="both"/>
        <w:ind w:right="20" w:firstLine="600"/>
        <w:spacing w:after="0" w:line="287"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Executive signed a Change of Control and Severance Agreement with the company on February 2, 2021 (the “</w:t>
      </w:r>
      <w:r>
        <w:rPr>
          <w:rFonts w:ascii="Arial" w:cs="Arial" w:eastAsia="Arial" w:hAnsi="Arial"/>
          <w:sz w:val="15"/>
          <w:szCs w:val="15"/>
          <w:b w:val="1"/>
          <w:bCs w:val="1"/>
          <w:i w:val="1"/>
          <w:iCs w:val="1"/>
          <w:color w:val="auto"/>
        </w:rPr>
        <w:t>Severance Agreement</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which, among other things, provides for certain severance benefits to be paid to Executive by the Company upon the termination of Executive’s employment;</w:t>
      </w:r>
    </w:p>
    <w:p>
      <w:pPr>
        <w:spacing w:after="0" w:line="138" w:lineRule="exact"/>
        <w:rPr>
          <w:sz w:val="20"/>
          <w:szCs w:val="20"/>
          <w:color w:val="auto"/>
        </w:rPr>
      </w:pPr>
    </w:p>
    <w:p>
      <w:pPr>
        <w:ind w:left="600"/>
        <w:spacing w:after="0"/>
        <w:tabs>
          <w:tab w:leader="none" w:pos="4940" w:val="left"/>
        </w:tabs>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was employed by the Company until [</w:t>
      </w:r>
      <w:r>
        <w:rPr>
          <w:sz w:val="20"/>
          <w:szCs w:val="20"/>
          <w:color w:val="auto"/>
        </w:rPr>
        <w:tab/>
      </w:r>
      <w:r>
        <w:rPr>
          <w:rFonts w:ascii="Arial" w:cs="Arial" w:eastAsia="Arial" w:hAnsi="Arial"/>
          <w:sz w:val="15"/>
          <w:szCs w:val="15"/>
          <w:color w:val="auto"/>
        </w:rPr>
        <w:t>], when Executive’s employment was terminated (“</w:t>
      </w:r>
      <w:r>
        <w:rPr>
          <w:rFonts w:ascii="Arial" w:cs="Arial" w:eastAsia="Arial" w:hAnsi="Arial"/>
          <w:sz w:val="15"/>
          <w:szCs w:val="15"/>
          <w:b w:val="1"/>
          <w:bCs w:val="1"/>
          <w:i w:val="1"/>
          <w:iCs w:val="1"/>
          <w:color w:val="auto"/>
        </w:rPr>
        <w:t>Termination Date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-9525</wp:posOffset>
            </wp:positionV>
            <wp:extent cx="1060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6045" cy="8255"/>
                    </a:xfrm>
                    <a:prstGeom prst="rect">
                      <a:avLst/>
                    </a:prstGeom>
                    <a:noFill/>
                  </pic:spPr>
                </pic:pic>
              </a:graphicData>
            </a:graphic>
          </wp:anchor>
        </w:drawing>
      </w:r>
    </w:p>
    <w:p>
      <w:pPr>
        <w:spacing w:after="0" w:line="185" w:lineRule="exact"/>
        <w:rPr>
          <w:sz w:val="20"/>
          <w:szCs w:val="20"/>
          <w:color w:val="auto"/>
        </w:rPr>
      </w:pPr>
    </w:p>
    <w:p>
      <w:pPr>
        <w:jc w:val="both"/>
        <w:ind w:right="20" w:firstLine="600"/>
        <w:spacing w:after="0" w:line="22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accordance with Section 4 of the Change of Control and Severance Agreement between the Company and Executive, Executive has agreed</w:t>
      </w:r>
      <w:r>
        <w:rPr>
          <w:rFonts w:ascii="Arial" w:cs="Arial" w:eastAsia="Arial" w:hAnsi="Arial"/>
          <w:sz w:val="17"/>
          <w:szCs w:val="17"/>
          <w:b w:val="1"/>
          <w:bCs w:val="1"/>
          <w:color w:val="auto"/>
        </w:rPr>
        <w:t xml:space="preserve"> </w:t>
      </w:r>
      <w:r>
        <w:rPr>
          <w:rFonts w:ascii="Arial" w:cs="Arial" w:eastAsia="Arial" w:hAnsi="Arial"/>
          <w:sz w:val="17"/>
          <w:szCs w:val="17"/>
          <w:color w:val="auto"/>
        </w:rPr>
        <w:t>to enter into and not revoke a standard release of claims in favor of the Company as a condition to receiving the severance benefits described in the Severance Agreement; and</w:t>
      </w:r>
    </w:p>
    <w:p>
      <w:pPr>
        <w:spacing w:after="0" w:line="173" w:lineRule="exact"/>
        <w:rPr>
          <w:sz w:val="20"/>
          <w:szCs w:val="20"/>
          <w:color w:val="auto"/>
        </w:rPr>
      </w:pPr>
    </w:p>
    <w:p>
      <w:pPr>
        <w:jc w:val="both"/>
        <w:ind w:right="20" w:firstLine="600"/>
        <w:spacing w:after="0" w:line="22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wish to resolve any and all disputes, claims, complaints, grievances, charges, actions, petitions and demands that Executive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86" w:lineRule="exact"/>
        <w:rPr>
          <w:sz w:val="20"/>
          <w:szCs w:val="20"/>
          <w:color w:val="auto"/>
        </w:rPr>
      </w:pPr>
    </w:p>
    <w:p>
      <w:pPr>
        <w:jc w:val="both"/>
        <w:ind w:right="20" w:firstLine="600"/>
        <w:spacing w:after="0" w:line="23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including the mutual promises and covenants made herein, the Company and Executive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agree as follows: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COVENANTS</w:t>
      </w:r>
    </w:p>
    <w:p>
      <w:pPr>
        <w:spacing w:after="0" w:line="209" w:lineRule="exact"/>
        <w:rPr>
          <w:sz w:val="20"/>
          <w:szCs w:val="20"/>
          <w:color w:val="auto"/>
        </w:rPr>
      </w:pPr>
    </w:p>
    <w:p>
      <w:pPr>
        <w:ind w:left="900" w:hanging="297"/>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Executive’s employment with the Company terminated on the Termination Date.</w:t>
      </w:r>
    </w:p>
    <w:p>
      <w:pPr>
        <w:spacing w:after="0" w:line="267" w:lineRule="exact"/>
        <w:rPr>
          <w:rFonts w:ascii="Arial" w:cs="Arial" w:eastAsia="Arial" w:hAnsi="Arial"/>
          <w:sz w:val="17"/>
          <w:szCs w:val="17"/>
          <w:color w:val="auto"/>
        </w:rPr>
      </w:pPr>
    </w:p>
    <w:p>
      <w:pPr>
        <w:jc w:val="both"/>
        <w:ind w:right="20" w:firstLine="603"/>
        <w:spacing w:after="0" w:line="211" w:lineRule="auto"/>
        <w:tabs>
          <w:tab w:leader="none" w:pos="90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79" w:lineRule="exact"/>
        <w:rPr>
          <w:rFonts w:ascii="Arial" w:cs="Arial" w:eastAsia="Arial" w:hAnsi="Arial"/>
          <w:sz w:val="17"/>
          <w:szCs w:val="17"/>
          <w:color w:val="auto"/>
        </w:rPr>
      </w:pPr>
    </w:p>
    <w:p>
      <w:pPr>
        <w:jc w:val="both"/>
        <w:ind w:firstLine="603"/>
        <w:spacing w:after="0" w:line="235" w:lineRule="auto"/>
        <w:tabs>
          <w:tab w:leader="none" w:pos="991"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Release of Claims</w:t>
      </w:r>
      <w:r>
        <w:rPr>
          <w:rFonts w:ascii="Arial" w:cs="Arial" w:eastAsia="Arial" w:hAnsi="Arial"/>
          <w:sz w:val="15"/>
          <w:szCs w:val="15"/>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5"/>
          <w:szCs w:val="15"/>
          <w:b w:val="1"/>
          <w:bCs w:val="1"/>
          <w:i w:val="1"/>
          <w:iCs w:val="1"/>
          <w:color w:val="auto"/>
        </w:rPr>
        <w:t>Releasees</w:t>
      </w:r>
      <w:r>
        <w:rPr>
          <w:rFonts w:ascii="Arial" w:cs="Arial" w:eastAsia="Arial" w:hAnsi="Arial"/>
          <w:sz w:val="15"/>
          <w:szCs w:val="15"/>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ectPr>
          <w:pgSz w:w="11900" w:h="16838" w:orient="portrait"/>
          <w:cols w:equalWidth="0" w:num="1">
            <w:col w:w="11080"/>
          </w:cols>
          <w:pgMar w:left="400" w:top="1312" w:right="419" w:bottom="1440" w:gutter="0" w:footer="0" w:header="0"/>
        </w:sectPr>
      </w:pPr>
    </w:p>
    <w:bookmarkStart w:id="96" w:name="page97"/>
    <w:bookmarkEnd w:id="96"/>
    <w:p>
      <w:pPr>
        <w:ind w:left="960" w:hanging="357"/>
        <w:spacing w:after="0"/>
        <w:tabs>
          <w:tab w:leader="none" w:pos="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 relationship;</w:t>
      </w:r>
    </w:p>
    <w:p>
      <w:pPr>
        <w:spacing w:after="0" w:line="216" w:lineRule="exact"/>
        <w:rPr>
          <w:rFonts w:ascii="Arial" w:cs="Arial" w:eastAsia="Arial" w:hAnsi="Arial"/>
          <w:sz w:val="16"/>
          <w:szCs w:val="16"/>
          <w:color w:val="auto"/>
        </w:rPr>
      </w:pPr>
    </w:p>
    <w:p>
      <w:pPr>
        <w:jc w:val="both"/>
        <w:ind w:right="20" w:firstLine="603"/>
        <w:spacing w:after="0" w:line="220" w:lineRule="auto"/>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5" w:lineRule="exact"/>
        <w:rPr>
          <w:rFonts w:ascii="Arial" w:cs="Arial" w:eastAsia="Arial" w:hAnsi="Arial"/>
          <w:sz w:val="17"/>
          <w:szCs w:val="17"/>
          <w:color w:val="auto"/>
        </w:rPr>
      </w:pPr>
    </w:p>
    <w:p>
      <w:pPr>
        <w:jc w:val="both"/>
        <w:ind w:right="20" w:firstLine="603"/>
        <w:spacing w:after="0" w:line="211" w:lineRule="auto"/>
        <w:tabs>
          <w:tab w:leader="none" w:pos="977"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79" w:lineRule="exact"/>
        <w:rPr>
          <w:rFonts w:ascii="Arial" w:cs="Arial" w:eastAsia="Arial" w:hAnsi="Arial"/>
          <w:sz w:val="17"/>
          <w:szCs w:val="17"/>
          <w:color w:val="auto"/>
        </w:rPr>
      </w:pPr>
    </w:p>
    <w:p>
      <w:pPr>
        <w:jc w:val="both"/>
        <w:ind w:right="20" w:firstLine="603"/>
        <w:spacing w:after="0" w:line="250" w:lineRule="auto"/>
        <w:tabs>
          <w:tab w:leader="none" w:pos="99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w:t>
      </w:r>
      <w:r>
        <w:rPr>
          <w:rFonts w:ascii="Arial" w:cs="Arial" w:eastAsia="Arial" w:hAnsi="Arial"/>
          <w:sz w:val="19"/>
          <w:szCs w:val="19"/>
          <w:color w:val="auto"/>
          <w:vertAlign w:val="superscript"/>
        </w:rPr>
        <w:t>1</w:t>
      </w:r>
    </w:p>
    <w:p>
      <w:pPr>
        <w:spacing w:after="0" w:line="92" w:lineRule="exact"/>
        <w:rPr>
          <w:rFonts w:ascii="Arial" w:cs="Arial" w:eastAsia="Arial" w:hAnsi="Arial"/>
          <w:sz w:val="15"/>
          <w:szCs w:val="15"/>
          <w:color w:val="auto"/>
        </w:rPr>
      </w:pPr>
    </w:p>
    <w:p>
      <w:pPr>
        <w:ind w:left="960" w:hanging="357"/>
        <w:spacing w:after="0"/>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204" w:lineRule="exact"/>
        <w:rPr>
          <w:rFonts w:ascii="Arial" w:cs="Arial" w:eastAsia="Arial" w:hAnsi="Arial"/>
          <w:sz w:val="17"/>
          <w:szCs w:val="17"/>
          <w:color w:val="auto"/>
        </w:rPr>
      </w:pPr>
    </w:p>
    <w:p>
      <w:pPr>
        <w:ind w:left="940" w:hanging="337"/>
        <w:spacing w:after="0"/>
        <w:tabs>
          <w:tab w:leader="none" w:pos="9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204" w:lineRule="exact"/>
        <w:rPr>
          <w:rFonts w:ascii="Arial" w:cs="Arial" w:eastAsia="Arial" w:hAnsi="Arial"/>
          <w:sz w:val="17"/>
          <w:szCs w:val="17"/>
          <w:color w:val="auto"/>
        </w:rPr>
      </w:pPr>
    </w:p>
    <w:p>
      <w:pPr>
        <w:ind w:right="20" w:firstLine="603"/>
        <w:spacing w:after="0" w:line="230" w:lineRule="auto"/>
        <w:tabs>
          <w:tab w:leader="none" w:pos="10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Agreement; and</w:t>
      </w:r>
    </w:p>
    <w:p>
      <w:pPr>
        <w:spacing w:after="0" w:line="175" w:lineRule="exact"/>
        <w:rPr>
          <w:rFonts w:ascii="Arial" w:cs="Arial" w:eastAsia="Arial" w:hAnsi="Arial"/>
          <w:sz w:val="17"/>
          <w:szCs w:val="17"/>
          <w:color w:val="auto"/>
        </w:rPr>
      </w:pPr>
    </w:p>
    <w:p>
      <w:pPr>
        <w:ind w:left="960" w:hanging="357"/>
        <w:spacing w:after="0"/>
        <w:tabs>
          <w:tab w:leader="none" w:pos="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Executive agrees that the release set forth in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Release</w:t>
      </w:r>
      <w:r>
        <w:rPr>
          <w:rFonts w:ascii="Arial" w:cs="Arial" w:eastAsia="Arial" w:hAnsi="Arial"/>
          <w:sz w:val="15"/>
          <w:szCs w:val="15"/>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w:t>
      </w:r>
      <w:r>
        <w:rPr>
          <w:rFonts w:ascii="Arial" w:cs="Arial" w:eastAsia="Arial" w:hAnsi="Arial"/>
          <w:sz w:val="15"/>
          <w:szCs w:val="15"/>
          <w:u w:val="single" w:color="auto"/>
          <w:color w:val="auto"/>
        </w:rPr>
        <w:t>Section 3</w:t>
      </w:r>
      <w:r>
        <w:rPr>
          <w:rFonts w:ascii="Arial" w:cs="Arial" w:eastAsia="Arial" w:hAnsi="Arial"/>
          <w:sz w:val="15"/>
          <w:szCs w:val="15"/>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89" w:lineRule="exact"/>
        <w:rPr>
          <w:sz w:val="20"/>
          <w:szCs w:val="20"/>
          <w:color w:val="auto"/>
        </w:rPr>
      </w:pPr>
    </w:p>
    <w:p>
      <w:pPr>
        <w:jc w:val="both"/>
        <w:ind w:right="20" w:firstLine="603"/>
        <w:spacing w:after="0" w:line="223" w:lineRule="auto"/>
        <w:tabs>
          <w:tab w:leader="none" w:pos="929"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Protected Rights</w:t>
      </w:r>
      <w:r>
        <w:rPr>
          <w:rFonts w:ascii="Arial" w:cs="Arial" w:eastAsia="Arial" w:hAnsi="Arial"/>
          <w:sz w:val="16"/>
          <w:szCs w:val="16"/>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6"/>
          <w:szCs w:val="16"/>
          <w:b w:val="1"/>
          <w:bCs w:val="1"/>
          <w:i w:val="1"/>
          <w:iCs w:val="1"/>
          <w:color w:val="auto"/>
        </w:rPr>
        <w:t>Government Agencies</w:t>
      </w:r>
      <w:r>
        <w:rPr>
          <w:rFonts w:ascii="Arial" w:cs="Arial" w:eastAsia="Arial" w:hAnsi="Arial"/>
          <w:sz w:val="16"/>
          <w:szCs w:val="16"/>
          <w:color w:val="auto"/>
        </w:rPr>
        <w:t>”).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75" w:lineRule="exact"/>
        <w:rPr>
          <w:rFonts w:ascii="Arial" w:cs="Arial" w:eastAsia="Arial" w:hAnsi="Arial"/>
          <w:sz w:val="16"/>
          <w:szCs w:val="16"/>
          <w:color w:val="auto"/>
        </w:rPr>
      </w:pPr>
    </w:p>
    <w:p>
      <w:pPr>
        <w:ind w:right="20" w:firstLine="603"/>
        <w:spacing w:after="0" w:line="230" w:lineRule="auto"/>
        <w:tabs>
          <w:tab w:leader="none" w:pos="904" w:val="left"/>
        </w:tabs>
        <w:numPr>
          <w:ilvl w:val="0"/>
          <w:numId w:val="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Acknowledgment of Waiver of Claims under ADEA</w:t>
      </w:r>
      <w:r>
        <w:rPr>
          <w:rFonts w:ascii="Arial" w:cs="Arial" w:eastAsia="Arial" w:hAnsi="Arial"/>
          <w:sz w:val="17"/>
          <w:szCs w:val="17"/>
          <w:color w:val="auto"/>
        </w:rPr>
        <w:t>. Executive acknowledges that Executive is waiving and releasing any rights Executive may have under the Age Discrimination in Employment Act of 1967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850265</wp:posOffset>
            </wp:positionV>
            <wp:extent cx="15252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firstLine="3"/>
        <w:spacing w:after="0" w:line="211" w:lineRule="auto"/>
        <w:tabs>
          <w:tab w:leader="none" w:pos="96"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ectPr>
          <w:pgSz w:w="11900" w:h="16838" w:orient="portrait"/>
          <w:cols w:equalWidth="0" w:num="1">
            <w:col w:w="11080"/>
          </w:cols>
          <w:pgMar w:left="400" w:top="1303" w:right="419" w:bottom="1440" w:gutter="0" w:footer="0" w:header="0"/>
        </w:sectPr>
      </w:pPr>
    </w:p>
    <w:bookmarkStart w:id="97" w:name="page98"/>
    <w:bookmarkEnd w:id="97"/>
    <w:p>
      <w:pPr>
        <w:jc w:val="both"/>
        <w:ind w:right="20"/>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ADEA</w:t>
      </w:r>
      <w:r>
        <w:rPr>
          <w:rFonts w:ascii="Arial" w:cs="Arial" w:eastAsia="Arial" w:hAnsi="Arial"/>
          <w:sz w:val="15"/>
          <w:szCs w:val="15"/>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5"/>
          <w:szCs w:val="15"/>
          <w:b w:val="1"/>
          <w:bCs w:val="1"/>
          <w:i w:val="1"/>
          <w:iCs w:val="1"/>
          <w:color w:val="auto"/>
        </w:rPr>
        <w:t>prior</w:t>
      </w:r>
      <w:r>
        <w:rPr>
          <w:rFonts w:ascii="Arial" w:cs="Arial" w:eastAsia="Arial" w:hAnsi="Arial"/>
          <w:sz w:val="15"/>
          <w:szCs w:val="15"/>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w:t>
      </w:r>
      <w:r>
        <w:rPr>
          <w:rFonts w:ascii="Arial" w:cs="Arial" w:eastAsia="Arial" w:hAnsi="Arial"/>
          <w:sz w:val="19"/>
          <w:szCs w:val="19"/>
          <w:color w:val="auto"/>
          <w:vertAlign w:val="superscript"/>
        </w:rPr>
        <w:t>2</w:t>
      </w:r>
    </w:p>
    <w:p>
      <w:pPr>
        <w:spacing w:after="0" w:line="116" w:lineRule="exact"/>
        <w:rPr>
          <w:sz w:val="20"/>
          <w:szCs w:val="20"/>
          <w:color w:val="auto"/>
        </w:rPr>
      </w:pPr>
    </w:p>
    <w:p>
      <w:pPr>
        <w:ind w:right="20" w:firstLine="603"/>
        <w:spacing w:after="0" w:line="249" w:lineRule="auto"/>
        <w:tabs>
          <w:tab w:leader="none" w:pos="929"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69" w:lineRule="exact"/>
        <w:rPr>
          <w:sz w:val="20"/>
          <w:szCs w:val="20"/>
          <w:color w:val="auto"/>
        </w:rPr>
      </w:pPr>
    </w:p>
    <w:p>
      <w:pPr>
        <w:jc w:val="both"/>
        <w:ind w:left="1200" w:right="20"/>
        <w:spacing w:after="0" w:line="220"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6" w:lineRule="exact"/>
        <w:rPr>
          <w:sz w:val="20"/>
          <w:szCs w:val="20"/>
          <w:color w:val="auto"/>
        </w:rPr>
      </w:pPr>
    </w:p>
    <w:p>
      <w:pPr>
        <w:jc w:val="both"/>
        <w:ind w:right="20"/>
        <w:spacing w:after="0" w:line="230" w:lineRule="auto"/>
        <w:rPr>
          <w:sz w:val="20"/>
          <w:szCs w:val="20"/>
          <w:color w:val="auto"/>
        </w:rPr>
      </w:pPr>
      <w:r>
        <w:rPr>
          <w:rFonts w:ascii="Arial" w:cs="Arial" w:eastAsia="Arial" w:hAnsi="Arial"/>
          <w:sz w:val="17"/>
          <w:szCs w:val="17"/>
          <w:color w:val="auto"/>
        </w:rPr>
        <w:t>Executive, being aware of California Civil Code Section 1542, agrees to expressly waive any rights Executive may have thereunder, as well as under any other statute or common law principles of similar effect.</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OR</w:t>
      </w:r>
    </w:p>
    <w:p>
      <w:pPr>
        <w:spacing w:after="0" w:line="19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Arial" w:cs="Arial" w:eastAsia="Arial" w:hAnsi="Arial"/>
          <w:sz w:val="20"/>
          <w:szCs w:val="20"/>
          <w:color w:val="auto"/>
          <w:vertAlign w:val="superscript"/>
        </w:rPr>
        <w:t>3</w:t>
      </w:r>
    </w:p>
    <w:p>
      <w:pPr>
        <w:spacing w:after="0" w:line="126" w:lineRule="exact"/>
        <w:rPr>
          <w:sz w:val="20"/>
          <w:szCs w:val="20"/>
          <w:color w:val="auto"/>
        </w:rPr>
      </w:pPr>
    </w:p>
    <w:p>
      <w:pPr>
        <w:jc w:val="both"/>
        <w:ind w:right="20" w:firstLine="603"/>
        <w:spacing w:after="0" w:line="220" w:lineRule="auto"/>
        <w:tabs>
          <w:tab w:leader="none" w:pos="929"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 Pending or Future Lawsuits</w:t>
      </w:r>
      <w:r>
        <w:rPr>
          <w:rFonts w:ascii="Arial" w:cs="Arial" w:eastAsia="Arial" w:hAnsi="Arial"/>
          <w:sz w:val="17"/>
          <w:szCs w:val="17"/>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75" w:lineRule="exact"/>
        <w:rPr>
          <w:rFonts w:ascii="Arial" w:cs="Arial" w:eastAsia="Arial" w:hAnsi="Arial"/>
          <w:sz w:val="17"/>
          <w:szCs w:val="17"/>
          <w:color w:val="auto"/>
        </w:rPr>
      </w:pPr>
    </w:p>
    <w:p>
      <w:pPr>
        <w:ind w:right="20" w:firstLine="603"/>
        <w:spacing w:after="0" w:line="230" w:lineRule="auto"/>
        <w:tabs>
          <w:tab w:leader="none" w:pos="979"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Sufficiency of Consideration</w:t>
      </w:r>
      <w:r>
        <w:rPr>
          <w:rFonts w:ascii="Arial" w:cs="Arial" w:eastAsia="Arial" w:hAnsi="Arial"/>
          <w:sz w:val="17"/>
          <w:szCs w:val="17"/>
          <w:color w:val="auto"/>
        </w:rPr>
        <w:t>. Executive hereby acknowledges and agrees that Executive has received good and sufficient consideration for every promise, duty, release, obligation, agreement and right contained in this Release.</w:t>
      </w:r>
    </w:p>
    <w:p>
      <w:pPr>
        <w:spacing w:after="0" w:line="188" w:lineRule="exact"/>
        <w:rPr>
          <w:rFonts w:ascii="Arial" w:cs="Arial" w:eastAsia="Arial" w:hAnsi="Arial"/>
          <w:sz w:val="17"/>
          <w:szCs w:val="17"/>
          <w:color w:val="auto"/>
        </w:rPr>
      </w:pPr>
    </w:p>
    <w:p>
      <w:pPr>
        <w:jc w:val="both"/>
        <w:ind w:firstLine="603"/>
        <w:spacing w:after="0" w:line="233" w:lineRule="auto"/>
        <w:tabs>
          <w:tab w:leader="none" w:pos="89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as to any provisions regarding competition contained in the Confidentiality Agreement that conflict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843280</wp:posOffset>
            </wp:positionV>
            <wp:extent cx="1525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 w:hanging="97"/>
        <w:spacing w:after="0"/>
        <w:tabs>
          <w:tab w:leader="none" w:pos="100" w:val="left"/>
        </w:tabs>
        <w:numPr>
          <w:ilvl w:val="0"/>
          <w:numId w:val="72"/>
        </w:numPr>
        <w:rPr>
          <w:rFonts w:ascii="Arial" w:cs="Arial" w:eastAsia="Arial" w:hAnsi="Arial"/>
          <w:sz w:val="22"/>
          <w:szCs w:val="22"/>
          <w:color w:val="auto"/>
          <w:vertAlign w:val="superscript"/>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182" w:lineRule="auto"/>
        <w:rPr>
          <w:rFonts w:ascii="Arial" w:cs="Arial" w:eastAsia="Arial" w:hAnsi="Arial"/>
          <w:sz w:val="22"/>
          <w:szCs w:val="22"/>
          <w:color w:val="auto"/>
          <w:vertAlign w:val="superscript"/>
        </w:rPr>
      </w:pPr>
      <w:r>
        <w:rPr>
          <w:rFonts w:ascii="Arial" w:cs="Arial" w:eastAsia="Arial" w:hAnsi="Arial"/>
          <w:sz w:val="20"/>
          <w:szCs w:val="20"/>
          <w:color w:val="auto"/>
          <w:vertAlign w:val="superscript"/>
        </w:rPr>
        <w:t>3</w:t>
      </w:r>
      <w:r>
        <w:rPr>
          <w:rFonts w:ascii="Arial" w:cs="Arial" w:eastAsia="Arial" w:hAnsi="Arial"/>
          <w:sz w:val="16"/>
          <w:szCs w:val="16"/>
          <w:color w:val="auto"/>
        </w:rPr>
        <w:t xml:space="preserve"> If Executive resides in California at the time Executive’s employment relationship is terminated, the first provision</w:t>
      </w:r>
    </w:p>
    <w:p>
      <w:pPr>
        <w:spacing w:after="0"/>
        <w:rPr>
          <w:rFonts w:ascii="Arial" w:cs="Arial" w:eastAsia="Arial" w:hAnsi="Arial"/>
          <w:sz w:val="22"/>
          <w:szCs w:val="22"/>
          <w:color w:val="auto"/>
          <w:vertAlign w:val="superscript"/>
        </w:rPr>
      </w:pPr>
      <w:r>
        <w:rPr>
          <w:rFonts w:ascii="Arial" w:cs="Arial" w:eastAsia="Arial" w:hAnsi="Arial"/>
          <w:sz w:val="17"/>
          <w:szCs w:val="17"/>
          <w:color w:val="auto"/>
        </w:rPr>
        <w:t>- “</w:t>
      </w:r>
      <w:r>
        <w:rPr>
          <w:rFonts w:ascii="Arial" w:cs="Arial" w:eastAsia="Arial" w:hAnsi="Arial"/>
          <w:sz w:val="17"/>
          <w:szCs w:val="17"/>
          <w:i w:val="1"/>
          <w:iCs w:val="1"/>
          <w:color w:val="auto"/>
        </w:rPr>
        <w:t>California Civil Code Section 1542</w:t>
      </w:r>
      <w:r>
        <w:rPr>
          <w:rFonts w:ascii="Arial" w:cs="Arial" w:eastAsia="Arial" w:hAnsi="Arial"/>
          <w:sz w:val="17"/>
          <w:szCs w:val="17"/>
          <w:color w:val="auto"/>
        </w:rPr>
        <w:t>” - will be included in this Agreement, otherwise the second provision - “</w:t>
      </w:r>
      <w:r>
        <w:rPr>
          <w:rFonts w:ascii="Arial" w:cs="Arial" w:eastAsia="Arial" w:hAnsi="Arial"/>
          <w:sz w:val="17"/>
          <w:szCs w:val="17"/>
          <w:i w:val="1"/>
          <w:iCs w:val="1"/>
          <w:color w:val="auto"/>
        </w:rPr>
        <w:t>Unknown Claims</w:t>
      </w:r>
      <w:r>
        <w:rPr>
          <w:rFonts w:ascii="Arial" w:cs="Arial" w:eastAsia="Arial" w:hAnsi="Arial"/>
          <w:sz w:val="17"/>
          <w:szCs w:val="17"/>
          <w:color w:val="auto"/>
        </w:rPr>
        <w:t>” - will be used.</w:t>
      </w:r>
    </w:p>
    <w:p>
      <w:pPr>
        <w:sectPr>
          <w:pgSz w:w="11900" w:h="16838" w:orient="portrait"/>
          <w:cols w:equalWidth="0" w:num="1">
            <w:col w:w="11080"/>
          </w:cols>
          <w:pgMar w:left="400" w:top="1303" w:right="419" w:bottom="1440" w:gutter="0" w:footer="0" w:header="0"/>
        </w:sectPr>
      </w:pPr>
    </w:p>
    <w:bookmarkStart w:id="98" w:name="page99"/>
    <w:bookmarkEnd w:id="98"/>
    <w:p>
      <w:pPr>
        <w:jc w:val="both"/>
        <w:ind w:right="20"/>
        <w:spacing w:after="0" w:line="220" w:lineRule="auto"/>
        <w:rPr>
          <w:sz w:val="20"/>
          <w:szCs w:val="20"/>
          <w:color w:val="auto"/>
        </w:rPr>
      </w:pPr>
      <w:r>
        <w:rPr>
          <w:rFonts w:ascii="Arial" w:cs="Arial" w:eastAsia="Arial" w:hAnsi="Arial"/>
          <w:sz w:val="17"/>
          <w:szCs w:val="17"/>
          <w:color w:val="auto"/>
        </w:rPr>
        <w:t>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88" w:lineRule="exact"/>
        <w:rPr>
          <w:sz w:val="20"/>
          <w:szCs w:val="20"/>
          <w:color w:val="auto"/>
        </w:rPr>
      </w:pPr>
    </w:p>
    <w:p>
      <w:pPr>
        <w:jc w:val="both"/>
        <w:ind w:right="20" w:firstLine="603"/>
        <w:spacing w:after="0" w:line="236" w:lineRule="auto"/>
        <w:tabs>
          <w:tab w:leader="none" w:pos="975"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Return of Company Property; Passwords and Password-protected Documents</w:t>
      </w:r>
      <w:r>
        <w:rPr>
          <w:rFonts w:ascii="Arial" w:cs="Arial" w:eastAsia="Arial" w:hAnsi="Arial"/>
          <w:sz w:val="15"/>
          <w:szCs w:val="15"/>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89" w:lineRule="exact"/>
        <w:rPr>
          <w:rFonts w:ascii="Arial" w:cs="Arial" w:eastAsia="Arial" w:hAnsi="Arial"/>
          <w:sz w:val="15"/>
          <w:szCs w:val="15"/>
          <w:color w:val="auto"/>
        </w:rPr>
      </w:pPr>
    </w:p>
    <w:p>
      <w:pPr>
        <w:jc w:val="both"/>
        <w:ind w:right="20" w:firstLine="603"/>
        <w:spacing w:after="0" w:line="211" w:lineRule="auto"/>
        <w:tabs>
          <w:tab w:leader="none" w:pos="993"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 Cooperation</w:t>
      </w:r>
      <w:r>
        <w:rPr>
          <w:rFonts w:ascii="Arial" w:cs="Arial" w:eastAsia="Arial" w:hAnsi="Arial"/>
          <w:sz w:val="17"/>
          <w:szCs w:val="17"/>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79" w:lineRule="exact"/>
        <w:rPr>
          <w:rFonts w:ascii="Arial" w:cs="Arial" w:eastAsia="Arial" w:hAnsi="Arial"/>
          <w:sz w:val="17"/>
          <w:szCs w:val="17"/>
          <w:color w:val="auto"/>
        </w:rPr>
      </w:pPr>
    </w:p>
    <w:p>
      <w:pPr>
        <w:ind w:right="20" w:firstLine="603"/>
        <w:spacing w:after="0" w:line="230" w:lineRule="auto"/>
        <w:tabs>
          <w:tab w:leader="none" w:pos="1012"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75" w:lineRule="exact"/>
        <w:rPr>
          <w:rFonts w:ascii="Arial" w:cs="Arial" w:eastAsia="Arial" w:hAnsi="Arial"/>
          <w:sz w:val="17"/>
          <w:szCs w:val="17"/>
          <w:color w:val="auto"/>
        </w:rPr>
      </w:pPr>
    </w:p>
    <w:p>
      <w:pPr>
        <w:jc w:val="both"/>
        <w:ind w:right="20" w:firstLine="603"/>
        <w:spacing w:after="0" w:line="215" w:lineRule="auto"/>
        <w:tabs>
          <w:tab w:leader="none" w:pos="1037"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7" w:lineRule="exact"/>
        <w:rPr>
          <w:rFonts w:ascii="Arial" w:cs="Arial" w:eastAsia="Arial" w:hAnsi="Arial"/>
          <w:sz w:val="17"/>
          <w:szCs w:val="17"/>
          <w:color w:val="auto"/>
        </w:rPr>
      </w:pPr>
    </w:p>
    <w:p>
      <w:pPr>
        <w:jc w:val="both"/>
        <w:ind w:right="20" w:firstLine="603"/>
        <w:spacing w:after="0" w:line="254" w:lineRule="auto"/>
        <w:tabs>
          <w:tab w:leader="none" w:pos="1012"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Solicitation of Employees</w:t>
      </w:r>
      <w:r>
        <w:rPr>
          <w:rFonts w:ascii="Arial" w:cs="Arial" w:eastAsia="Arial" w:hAnsi="Arial"/>
          <w:sz w:val="15"/>
          <w:szCs w:val="15"/>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78" w:lineRule="exact"/>
        <w:rPr>
          <w:rFonts w:ascii="Arial" w:cs="Arial" w:eastAsia="Arial" w:hAnsi="Arial"/>
          <w:sz w:val="15"/>
          <w:szCs w:val="15"/>
          <w:color w:val="auto"/>
        </w:rPr>
      </w:pPr>
    </w:p>
    <w:p>
      <w:pPr>
        <w:ind w:left="980" w:hanging="377"/>
        <w:spacing w:after="0"/>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 Agreement.</w:t>
      </w:r>
    </w:p>
    <w:p>
      <w:pPr>
        <w:spacing w:after="0" w:line="203" w:lineRule="exact"/>
        <w:rPr>
          <w:rFonts w:ascii="Arial" w:cs="Arial" w:eastAsia="Arial" w:hAnsi="Arial"/>
          <w:sz w:val="16"/>
          <w:szCs w:val="16"/>
          <w:color w:val="auto"/>
        </w:rPr>
      </w:pPr>
    </w:p>
    <w:p>
      <w:pPr>
        <w:jc w:val="both"/>
        <w:ind w:firstLine="603"/>
        <w:spacing w:after="0" w:line="218" w:lineRule="auto"/>
        <w:tabs>
          <w:tab w:leader="none" w:pos="107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PURSUANT TO ITS EMPLOYMENT ARBITRATION RULES &amp; PROCEDURES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RULES</w:t>
      </w:r>
      <w:r>
        <w:rPr>
          <w:rFonts w:ascii="Arial" w:cs="Arial" w:eastAsia="Arial" w:hAnsi="Arial"/>
          <w:sz w:val="16"/>
          <w:szCs w:val="16"/>
          <w:color w:val="auto"/>
        </w:rPr>
        <w:t>”). THE ARBITRATOR MAY GRANT INJUNCTIONS AND OTHER RELIEF IN SUCH DISPUTES. THE ARBITRATOR WILL ADMINISTER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w:t>
      </w:r>
    </w:p>
    <w:p>
      <w:pPr>
        <w:sectPr>
          <w:pgSz w:w="11900" w:h="16838" w:orient="portrait"/>
          <w:cols w:equalWidth="0" w:num="1">
            <w:col w:w="11080"/>
          </w:cols>
          <w:pgMar w:left="400" w:top="1303" w:right="419" w:bottom="1440" w:gutter="0" w:footer="0" w:header="0"/>
        </w:sectPr>
      </w:pPr>
    </w:p>
    <w:bookmarkStart w:id="99" w:name="page100"/>
    <w:bookmarkEnd w:id="99"/>
    <w:p>
      <w:pPr>
        <w:jc w:val="both"/>
        <w:ind w:right="20"/>
        <w:spacing w:after="0" w:line="224" w:lineRule="auto"/>
        <w:rPr>
          <w:sz w:val="20"/>
          <w:szCs w:val="20"/>
          <w:color w:val="auto"/>
        </w:rPr>
      </w:pPr>
      <w:r>
        <w:rPr>
          <w:rFonts w:ascii="Arial" w:cs="Arial" w:eastAsia="Arial" w:hAnsi="Arial"/>
          <w:sz w:val="16"/>
          <w:szCs w:val="16"/>
          <w:color w:val="auto"/>
        </w:rPr>
        <w:t xml:space="preserve">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 </w:t>
      </w:r>
      <w:r>
        <w:rPr>
          <w:rFonts w:ascii="Arial" w:cs="Arial" w:eastAsia="Arial" w:hAnsi="Arial"/>
          <w:sz w:val="20"/>
          <w:szCs w:val="20"/>
          <w:color w:val="auto"/>
          <w:vertAlign w:val="superscript"/>
        </w:rPr>
        <w:t>4</w:t>
      </w:r>
    </w:p>
    <w:p>
      <w:pPr>
        <w:spacing w:after="0" w:line="101" w:lineRule="exact"/>
        <w:rPr>
          <w:sz w:val="20"/>
          <w:szCs w:val="20"/>
          <w:color w:val="auto"/>
        </w:rPr>
      </w:pPr>
    </w:p>
    <w:p>
      <w:pPr>
        <w:jc w:val="both"/>
        <w:ind w:right="20" w:firstLine="603"/>
        <w:spacing w:after="0" w:line="244" w:lineRule="auto"/>
        <w:tabs>
          <w:tab w:leader="none" w:pos="975"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Authority</w:t>
      </w:r>
      <w:r>
        <w:rPr>
          <w:rFonts w:ascii="Arial" w:cs="Arial" w:eastAsia="Arial" w:hAnsi="Arial"/>
          <w:sz w:val="15"/>
          <w:szCs w:val="15"/>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6" w:lineRule="exact"/>
        <w:rPr>
          <w:rFonts w:ascii="Arial" w:cs="Arial" w:eastAsia="Arial" w:hAnsi="Arial"/>
          <w:sz w:val="15"/>
          <w:szCs w:val="15"/>
          <w:color w:val="auto"/>
        </w:rPr>
      </w:pPr>
    </w:p>
    <w:p>
      <w:pPr>
        <w:jc w:val="both"/>
        <w:ind w:right="20" w:firstLine="603"/>
        <w:spacing w:after="0" w:line="220"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88" w:lineRule="exact"/>
        <w:rPr>
          <w:rFonts w:ascii="Arial" w:cs="Arial" w:eastAsia="Arial" w:hAnsi="Arial"/>
          <w:sz w:val="17"/>
          <w:szCs w:val="17"/>
          <w:color w:val="auto"/>
        </w:rPr>
      </w:pPr>
    </w:p>
    <w:p>
      <w:pPr>
        <w:jc w:val="both"/>
        <w:ind w:right="20" w:firstLine="603"/>
        <w:spacing w:after="0" w:line="220" w:lineRule="auto"/>
        <w:tabs>
          <w:tab w:leader="none" w:pos="1037"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75" w:lineRule="exact"/>
        <w:rPr>
          <w:rFonts w:ascii="Arial" w:cs="Arial" w:eastAsia="Arial" w:hAnsi="Arial"/>
          <w:sz w:val="17"/>
          <w:szCs w:val="17"/>
          <w:color w:val="auto"/>
        </w:rPr>
      </w:pPr>
    </w:p>
    <w:p>
      <w:pPr>
        <w:jc w:val="both"/>
        <w:ind w:right="20" w:firstLine="603"/>
        <w:spacing w:after="0" w:line="211" w:lineRule="auto"/>
        <w:tabs>
          <w:tab w:leader="none" w:pos="102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4" w:lineRule="exact"/>
        <w:rPr>
          <w:rFonts w:ascii="Arial" w:cs="Arial" w:eastAsia="Arial" w:hAnsi="Arial"/>
          <w:sz w:val="17"/>
          <w:szCs w:val="17"/>
          <w:color w:val="auto"/>
        </w:rPr>
      </w:pPr>
    </w:p>
    <w:p>
      <w:pPr>
        <w:ind w:left="1040" w:hanging="437"/>
        <w:spacing w:after="0"/>
        <w:tabs>
          <w:tab w:leader="none" w:pos="104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190" w:lineRule="exact"/>
        <w:rPr>
          <w:rFonts w:ascii="Arial" w:cs="Arial" w:eastAsia="Arial" w:hAnsi="Arial"/>
          <w:sz w:val="16"/>
          <w:szCs w:val="16"/>
          <w:color w:val="auto"/>
        </w:rPr>
      </w:pPr>
    </w:p>
    <w:p>
      <w:pPr>
        <w:ind w:right="20" w:firstLine="603"/>
        <w:spacing w:after="0" w:line="242" w:lineRule="auto"/>
        <w:tabs>
          <w:tab w:leader="none" w:pos="105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will be governed by the laws of the State of California, without regard for choice-of-law provisions. Executive consents to personal and exclusive jurisdiction and venue in the State of California. </w:t>
      </w:r>
      <w:r>
        <w:rPr>
          <w:rFonts w:ascii="Arial" w:cs="Arial" w:eastAsia="Arial" w:hAnsi="Arial"/>
          <w:sz w:val="21"/>
          <w:szCs w:val="21"/>
          <w:color w:val="auto"/>
          <w:vertAlign w:val="superscript"/>
        </w:rPr>
        <w:t>5</w:t>
      </w:r>
    </w:p>
    <w:p>
      <w:pPr>
        <w:spacing w:after="0" w:line="109" w:lineRule="exact"/>
        <w:rPr>
          <w:rFonts w:ascii="Arial" w:cs="Arial" w:eastAsia="Arial" w:hAnsi="Arial"/>
          <w:sz w:val="17"/>
          <w:szCs w:val="17"/>
          <w:color w:val="auto"/>
        </w:rPr>
      </w:pPr>
    </w:p>
    <w:p>
      <w:pPr>
        <w:jc w:val="both"/>
        <w:ind w:firstLine="603"/>
        <w:spacing w:after="0" w:line="204" w:lineRule="auto"/>
        <w:tabs>
          <w:tab w:leader="none" w:pos="100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1"/>
          <w:szCs w:val="21"/>
          <w:color w:val="auto"/>
          <w:vertAlign w:val="superscript"/>
        </w:rPr>
        <w:t>th</w:t>
      </w:r>
      <w:r>
        <w:rPr>
          <w:rFonts w:ascii="Arial" w:cs="Arial" w:eastAsia="Arial" w:hAnsi="Arial"/>
          <w:sz w:val="17"/>
          <w:szCs w:val="17"/>
          <w:color w:val="auto"/>
        </w:rPr>
        <w:t>) day after Executive signed this Agreement, so long as it has been 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278130</wp:posOffset>
            </wp:positionV>
            <wp:extent cx="15252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252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00" w:hanging="97"/>
        <w:spacing w:after="0"/>
        <w:tabs>
          <w:tab w:leader="none" w:pos="100" w:val="left"/>
        </w:tabs>
        <w:numPr>
          <w:ilvl w:val="0"/>
          <w:numId w:val="75"/>
        </w:numPr>
        <w:rPr>
          <w:rFonts w:ascii="Arial" w:cs="Arial" w:eastAsia="Arial" w:hAnsi="Arial"/>
          <w:sz w:val="19"/>
          <w:szCs w:val="19"/>
          <w:color w:val="auto"/>
          <w:vertAlign w:val="superscript"/>
        </w:rPr>
      </w:pPr>
      <w:r>
        <w:rPr>
          <w:rFonts w:ascii="Arial" w:cs="Arial" w:eastAsia="Arial" w:hAnsi="Arial"/>
          <w:sz w:val="15"/>
          <w:szCs w:val="15"/>
          <w:color w:val="auto"/>
        </w:rPr>
        <w:t>References to California will only be included in this Agreement if Executive resides in California at the time Executive’s employment relationship is terminated.</w:t>
      </w:r>
    </w:p>
    <w:p>
      <w:pPr>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5</w:t>
      </w:r>
      <w:r>
        <w:rPr>
          <w:rFonts w:ascii="Arial" w:cs="Arial" w:eastAsia="Arial" w:hAnsi="Arial"/>
          <w:sz w:val="15"/>
          <w:szCs w:val="15"/>
          <w:color w:val="auto"/>
        </w:rPr>
        <w:t xml:space="preserve"> References to California will only be included in this Agreement if Executive resides in California at the time Executive’s employment relationship is terminated.</w:t>
      </w:r>
    </w:p>
    <w:p>
      <w:pPr>
        <w:sectPr>
          <w:pgSz w:w="11900" w:h="16838" w:orient="portrait"/>
          <w:cols w:equalWidth="0" w:num="1">
            <w:col w:w="11080"/>
          </w:cols>
          <w:pgMar w:left="400" w:top="1303" w:right="419" w:bottom="1440" w:gutter="0" w:footer="0" w:header="0"/>
        </w:sectPr>
      </w:pPr>
    </w:p>
    <w:bookmarkStart w:id="100" w:name="page101"/>
    <w:bookmarkEnd w:id="100"/>
    <w:p>
      <w:pPr>
        <w:ind w:right="520"/>
        <w:spacing w:after="0" w:line="224" w:lineRule="auto"/>
        <w:rPr>
          <w:sz w:val="20"/>
          <w:szCs w:val="20"/>
          <w:color w:val="auto"/>
        </w:rPr>
      </w:pPr>
      <w:r>
        <w:rPr>
          <w:rFonts w:ascii="Arial" w:cs="Arial" w:eastAsia="Arial" w:hAnsi="Arial"/>
          <w:sz w:val="17"/>
          <w:szCs w:val="17"/>
          <w:color w:val="auto"/>
        </w:rPr>
        <w:t>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1"/>
          <w:szCs w:val="21"/>
          <w:color w:val="auto"/>
          <w:vertAlign w:val="superscript"/>
        </w:rPr>
        <w:t>6</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1"/>
          <w:szCs w:val="21"/>
          <w:color w:val="auto"/>
          <w:vertAlign w:val="superscript"/>
        </w:rPr>
        <w:t>7</w:t>
      </w:r>
    </w:p>
    <w:p>
      <w:pPr>
        <w:spacing w:after="0" w:line="112" w:lineRule="exact"/>
        <w:rPr>
          <w:sz w:val="20"/>
          <w:szCs w:val="20"/>
          <w:color w:val="auto"/>
        </w:rPr>
      </w:pPr>
    </w:p>
    <w:p>
      <w:pPr>
        <w:ind w:firstLine="603"/>
        <w:spacing w:after="0" w:line="230" w:lineRule="auto"/>
        <w:tabs>
          <w:tab w:leader="none" w:pos="102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75" w:lineRule="exact"/>
        <w:rPr>
          <w:rFonts w:ascii="Arial" w:cs="Arial" w:eastAsia="Arial" w:hAnsi="Arial"/>
          <w:sz w:val="17"/>
          <w:szCs w:val="17"/>
          <w:color w:val="auto"/>
        </w:rPr>
      </w:pPr>
    </w:p>
    <w:p>
      <w:pPr>
        <w:jc w:val="both"/>
        <w:ind w:firstLine="603"/>
        <w:spacing w:after="0" w:line="220" w:lineRule="auto"/>
        <w:tabs>
          <w:tab w:leader="none" w:pos="105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75" w:lineRule="exact"/>
        <w:rPr>
          <w:rFonts w:ascii="Arial" w:cs="Arial" w:eastAsia="Arial" w:hAnsi="Arial"/>
          <w:sz w:val="17"/>
          <w:szCs w:val="17"/>
          <w:color w:val="auto"/>
        </w:rPr>
      </w:pPr>
    </w:p>
    <w:p>
      <w:pPr>
        <w:ind w:left="1560" w:hanging="356"/>
        <w:spacing w:after="0"/>
        <w:tabs>
          <w:tab w:leader="none" w:pos="15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Executive has read this Agreement;</w:t>
      </w:r>
    </w:p>
    <w:p>
      <w:pPr>
        <w:spacing w:after="0" w:line="204" w:lineRule="exact"/>
        <w:rPr>
          <w:rFonts w:ascii="Arial" w:cs="Arial" w:eastAsia="Arial" w:hAnsi="Arial"/>
          <w:sz w:val="17"/>
          <w:szCs w:val="17"/>
          <w:color w:val="auto"/>
        </w:rPr>
      </w:pPr>
    </w:p>
    <w:p>
      <w:pPr>
        <w:ind w:left="1800" w:hanging="596"/>
        <w:spacing w:after="0" w:line="230" w:lineRule="auto"/>
        <w:tabs>
          <w:tab w:leader="none" w:pos="1587" w:val="left"/>
        </w:tabs>
        <w:numPr>
          <w:ilvl w:val="1"/>
          <w:numId w:val="76"/>
        </w:numPr>
        <w:rPr>
          <w:rFonts w:ascii="Arial" w:cs="Arial" w:eastAsia="Arial" w:hAnsi="Arial"/>
          <w:sz w:val="17"/>
          <w:szCs w:val="17"/>
          <w:color w:val="auto"/>
        </w:rPr>
      </w:pPr>
      <w:r>
        <w:rPr>
          <w:rFonts w:ascii="Arial" w:cs="Arial" w:eastAsia="Arial" w:hAnsi="Arial"/>
          <w:sz w:val="17"/>
          <w:szCs w:val="17"/>
          <w:color w:val="auto"/>
        </w:rPr>
        <w:t>Executive has been represented in the preparation, negotiation, and execution of this Agreement by legal counsel of Executive’s own choice or has elected not to retain legal counsel;</w:t>
      </w:r>
    </w:p>
    <w:p>
      <w:pPr>
        <w:spacing w:after="0" w:line="175" w:lineRule="exact"/>
        <w:rPr>
          <w:rFonts w:ascii="Arial" w:cs="Arial" w:eastAsia="Arial" w:hAnsi="Arial"/>
          <w:sz w:val="17"/>
          <w:szCs w:val="17"/>
          <w:color w:val="auto"/>
        </w:rPr>
      </w:pPr>
    </w:p>
    <w:p>
      <w:pPr>
        <w:ind w:left="1560" w:hanging="356"/>
        <w:spacing w:after="0"/>
        <w:tabs>
          <w:tab w:leader="none" w:pos="15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Executive understands the terms and consequences of this Agreement and of the releases it contains; and</w:t>
      </w:r>
    </w:p>
    <w:p>
      <w:pPr>
        <w:spacing w:after="0" w:line="204" w:lineRule="exact"/>
        <w:rPr>
          <w:rFonts w:ascii="Arial" w:cs="Arial" w:eastAsia="Arial" w:hAnsi="Arial"/>
          <w:sz w:val="17"/>
          <w:szCs w:val="17"/>
          <w:color w:val="auto"/>
        </w:rPr>
      </w:pPr>
    </w:p>
    <w:p>
      <w:pPr>
        <w:ind w:left="1560" w:hanging="356"/>
        <w:spacing w:after="0"/>
        <w:tabs>
          <w:tab w:leader="none" w:pos="15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Executive is fully aware of the legal and binding effect of this Agreement.</w:t>
      </w:r>
    </w:p>
    <w:p>
      <w:pPr>
        <w:spacing w:after="0" w:line="304" w:lineRule="exact"/>
        <w:rPr>
          <w:rFonts w:ascii="Arial" w:cs="Arial" w:eastAsia="Arial" w:hAnsi="Arial"/>
          <w:sz w:val="17"/>
          <w:szCs w:val="17"/>
          <w:color w:val="auto"/>
        </w:rPr>
      </w:pPr>
    </w:p>
    <w:p>
      <w:pPr>
        <w:ind w:left="3620"/>
        <w:spacing w:after="0"/>
        <w:rPr>
          <w:rFonts w:ascii="Arial" w:cs="Arial" w:eastAsia="Arial" w:hAnsi="Arial"/>
          <w:sz w:val="17"/>
          <w:szCs w:val="17"/>
          <w:color w:val="auto"/>
        </w:rPr>
      </w:pPr>
      <w:r>
        <w:rPr>
          <w:rFonts w:ascii="Arial" w:cs="Arial" w:eastAsia="Arial" w:hAnsi="Arial"/>
          <w:sz w:val="17"/>
          <w:szCs w:val="17"/>
          <w:color w:val="auto"/>
        </w:rPr>
        <w:t>* * * * * [</w:t>
      </w:r>
      <w:r>
        <w:rPr>
          <w:rFonts w:ascii="Arial" w:cs="Arial" w:eastAsia="Arial" w:hAnsi="Arial"/>
          <w:sz w:val="17"/>
          <w:szCs w:val="17"/>
          <w:i w:val="1"/>
          <w:iCs w:val="1"/>
          <w:color w:val="auto"/>
        </w:rPr>
        <w:t>Signature page to follow</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3395345</wp:posOffset>
            </wp:positionV>
            <wp:extent cx="1835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hanging="97"/>
        <w:spacing w:after="0"/>
        <w:tabs>
          <w:tab w:leader="none" w:pos="10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This provision will only be included in this Agreement if Executive is age 40 or older at the time Executive’s employment relationship is terminated.</w:t>
      </w:r>
    </w:p>
    <w:p>
      <w:pPr>
        <w:ind w:left="100" w:hanging="97"/>
        <w:spacing w:after="0" w:line="197" w:lineRule="auto"/>
        <w:tabs>
          <w:tab w:leader="none" w:pos="100"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This provision will only be included in this Agreement if Executive is under the age of 40 at the time Executive’s employment relationship is terminated.</w:t>
      </w:r>
    </w:p>
    <w:p>
      <w:pPr>
        <w:sectPr>
          <w:pgSz w:w="11900" w:h="16838" w:orient="portrait"/>
          <w:cols w:equalWidth="0" w:num="1">
            <w:col w:w="11060"/>
          </w:cols>
          <w:pgMar w:left="400" w:top="1303" w:right="439" w:bottom="1440" w:gutter="0" w:footer="0" w:header="0"/>
        </w:sectPr>
      </w:pPr>
    </w:p>
    <w:bookmarkStart w:id="101" w:name="page102"/>
    <w:bookmarkEnd w:id="101"/>
    <w:p>
      <w:pPr>
        <w:spacing w:after="0" w:line="8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have executed this Agreement on the respective dates set forth</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ectPr>
          <w:pgSz w:w="11900" w:h="16838" w:orient="portrait"/>
          <w:cols w:equalWidth="0" w:num="1">
            <w:col w:w="10059"/>
          </w:cols>
          <w:pgMar w:left="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19050</wp:posOffset>
            </wp:positionV>
            <wp:extent cx="18275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26670</wp:posOffset>
            </wp:positionV>
            <wp:extent cx="1827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26670</wp:posOffset>
            </wp:positionV>
            <wp:extent cx="1827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26670</wp:posOffset>
            </wp:positionV>
            <wp:extent cx="18275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2753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5"/>
          <w:szCs w:val="15"/>
          <w:color w:val="auto"/>
        </w:rPr>
        <w:t>TINA S. NOVA PhD, an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25400</wp:posOffset>
            </wp:positionV>
            <wp:extent cx="27730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73045" cy="825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ectPr>
          <w:pgSz w:w="11900" w:h="16838" w:orient="portrait"/>
          <w:cols w:equalWidth="0" w:num="2">
            <w:col w:w="4320" w:space="720"/>
            <w:col w:w="5019"/>
          </w:cols>
          <w:pgMar w:left="400" w:top="1440" w:right="1440" w:bottom="1440" w:gutter="0" w:footer="0" w:header="0"/>
          <w:type w:val="continuous"/>
        </w:sectPr>
      </w:pPr>
    </w:p>
    <w:p>
      <w:pPr>
        <w:spacing w:after="0" w:line="55"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Dated:________________________________</w:t>
      </w:r>
    </w:p>
    <w:p>
      <w:pPr>
        <w:sectPr>
          <w:pgSz w:w="11900" w:h="16838" w:orient="portrait"/>
          <w:cols w:equalWidth="0" w:num="1">
            <w:col w:w="10059"/>
          </w:cols>
          <w:pgMar w:left="400" w:top="1440" w:right="1440" w:bottom="1440" w:gutter="0" w:footer="0" w:header="0"/>
          <w:type w:val="continuous"/>
        </w:sectPr>
      </w:pPr>
    </w:p>
    <w:bookmarkStart w:id="102" w:name="page103"/>
    <w:bookmarkEnd w:id="102"/>
    <w:p>
      <w:pPr>
        <w:jc w:val="right"/>
        <w:spacing w:after="0"/>
        <w:rPr>
          <w:sz w:val="20"/>
          <w:szCs w:val="20"/>
          <w:color w:val="auto"/>
        </w:rPr>
      </w:pPr>
      <w:r>
        <w:rPr>
          <w:rFonts w:ascii="Arial" w:cs="Arial" w:eastAsia="Arial" w:hAnsi="Arial"/>
          <w:sz w:val="20"/>
          <w:szCs w:val="20"/>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-6985</wp:posOffset>
            </wp:positionV>
            <wp:extent cx="897890" cy="651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9789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02/07/2022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Annie McGuire</w:t>
      </w:r>
    </w:p>
    <w:p>
      <w:pPr>
        <w:spacing w:after="0"/>
        <w:rPr>
          <w:sz w:val="20"/>
          <w:szCs w:val="20"/>
          <w:color w:val="auto"/>
        </w:rPr>
      </w:pPr>
      <w:r>
        <w:rPr>
          <w:rFonts w:ascii="Arial" w:cs="Arial" w:eastAsia="Arial" w:hAnsi="Arial"/>
          <w:sz w:val="17"/>
          <w:szCs w:val="17"/>
          <w:color w:val="auto"/>
        </w:rPr>
        <w:t>Agoura Hills, CA</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Dear Annie:</w:t>
      </w:r>
    </w:p>
    <w:p>
      <w:pPr>
        <w:spacing w:after="0" w:line="23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We’re delighted to confirm our offer of employment as Veracyte’s SVP, General Counsel. In this role, you will report to Marc Stapley, Chief Executive Officer. (You should note that the Company may modify job titles and reporting relationships from time to time as it deems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this offer are as follows:</w:t>
      </w:r>
    </w:p>
    <w:p>
      <w:pPr>
        <w:spacing w:after="0" w:line="230" w:lineRule="exact"/>
        <w:rPr>
          <w:sz w:val="20"/>
          <w:szCs w:val="20"/>
          <w:color w:val="auto"/>
        </w:rPr>
      </w:pPr>
    </w:p>
    <w:p>
      <w:pPr>
        <w:ind w:left="600" w:hanging="300"/>
        <w:spacing w:after="0" w:line="252" w:lineRule="auto"/>
        <w:tabs>
          <w:tab w:leader="none" w:pos="651" w:val="left"/>
        </w:tabs>
        <w:numPr>
          <w:ilvl w:val="0"/>
          <w:numId w:val="79"/>
        </w:numPr>
        <w:rPr>
          <w:rFonts w:ascii="Arial" w:cs="Arial" w:eastAsia="Arial" w:hAnsi="Arial"/>
          <w:sz w:val="17"/>
          <w:szCs w:val="17"/>
          <w:color w:val="auto"/>
        </w:rPr>
      </w:pPr>
      <w:r>
        <w:rPr>
          <w:rFonts w:ascii="Arial" w:cs="Arial" w:eastAsia="Arial" w:hAnsi="Arial"/>
          <w:sz w:val="17"/>
          <w:szCs w:val="17"/>
          <w:color w:val="auto"/>
        </w:rPr>
        <w:t>You will receive a base salary of $400,000 per year, less all applicable taxes and withholdings, paid in accordance with Veracyte’s established payroll schedule, presently semi-monthly.</w:t>
      </w:r>
    </w:p>
    <w:p>
      <w:pPr>
        <w:spacing w:after="0" w:line="153" w:lineRule="exact"/>
        <w:rPr>
          <w:sz w:val="20"/>
          <w:szCs w:val="20"/>
          <w:color w:val="auto"/>
        </w:rPr>
      </w:pPr>
    </w:p>
    <w:p>
      <w:pPr>
        <w:ind w:left="600"/>
        <w:spacing w:after="0" w:line="252" w:lineRule="auto"/>
        <w:rPr>
          <w:sz w:val="20"/>
          <w:szCs w:val="20"/>
          <w:color w:val="auto"/>
        </w:rPr>
      </w:pPr>
      <w:r>
        <w:rPr>
          <w:rFonts w:ascii="Arial" w:cs="Arial" w:eastAsia="Arial" w:hAnsi="Arial"/>
          <w:sz w:val="17"/>
          <w:szCs w:val="17"/>
          <w:color w:val="auto"/>
        </w:rPr>
        <w:t>In addition, you will be eligible to participate in the Company’s 2022 Bonus Plan. Your target bonus for 2022 will be 40% of eligible annual earnings. Payout is dependent on company and individual performance and is not guaranteed.</w:t>
      </w:r>
    </w:p>
    <w:p>
      <w:pPr>
        <w:spacing w:after="0" w:line="128" w:lineRule="exact"/>
        <w:rPr>
          <w:sz w:val="20"/>
          <w:szCs w:val="20"/>
          <w:color w:val="auto"/>
        </w:rPr>
      </w:pPr>
    </w:p>
    <w:p>
      <w:pPr>
        <w:jc w:val="both"/>
        <w:ind w:left="600" w:hanging="300"/>
        <w:spacing w:after="0" w:line="245" w:lineRule="auto"/>
        <w:tabs>
          <w:tab w:leader="none" w:pos="697"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Company’s Board of Directors has agreed to offer equity participation to you. You will be granted the option to purchase up to 42,175 shares of Veracyte Common Stock. The price per share will be equal to the fair market value of the Common Stock on the date of grant (your hire date). The vesting schedule will be 1/4 of the shares vesting on the first anniversary of your employment, and then 1/48 of the shares vesting each month for the next 36 months.</w:t>
      </w:r>
    </w:p>
    <w:p>
      <w:pPr>
        <w:spacing w:after="0" w:line="2" w:lineRule="exact"/>
        <w:rPr>
          <w:rFonts w:ascii="Arial" w:cs="Arial" w:eastAsia="Arial" w:hAnsi="Arial"/>
          <w:sz w:val="17"/>
          <w:szCs w:val="17"/>
          <w:color w:val="auto"/>
        </w:rPr>
      </w:pPr>
    </w:p>
    <w:p>
      <w:pPr>
        <w:jc w:val="both"/>
        <w:ind w:left="600"/>
        <w:spacing w:after="0" w:line="272" w:lineRule="auto"/>
        <w:rPr>
          <w:rFonts w:ascii="Arial" w:cs="Arial" w:eastAsia="Arial" w:hAnsi="Arial"/>
          <w:sz w:val="17"/>
          <w:szCs w:val="17"/>
          <w:color w:val="auto"/>
        </w:rPr>
      </w:pPr>
      <w:r>
        <w:rPr>
          <w:rFonts w:ascii="Arial" w:cs="Arial" w:eastAsia="Arial" w:hAnsi="Arial"/>
          <w:sz w:val="16"/>
          <w:szCs w:val="16"/>
          <w:color w:val="auto"/>
        </w:rPr>
        <w:t>In addition, you will be granted 22,855 restricted stock units (RSUs) of Veracyte’s common stock as recommended and approved by the Company’s Board of Directors following commencement of your full-time employment with Veracyte. Your RSUs will vest over four years, with the first 1/4th vesting on March 2, 2023 and your remaining RSUs vesting 1/16th per quarter thereafter on the company’s RSU vesting schedule.</w:t>
      </w:r>
    </w:p>
    <w:p>
      <w:pPr>
        <w:spacing w:after="0" w:line="200" w:lineRule="exact"/>
        <w:rPr>
          <w:rFonts w:ascii="Arial" w:cs="Arial" w:eastAsia="Arial" w:hAnsi="Arial"/>
          <w:sz w:val="17"/>
          <w:szCs w:val="17"/>
          <w:color w:val="auto"/>
        </w:rPr>
      </w:pPr>
    </w:p>
    <w:p>
      <w:pPr>
        <w:jc w:val="both"/>
        <w:ind w:left="600" w:hanging="300"/>
        <w:spacing w:after="0" w:line="247" w:lineRule="auto"/>
        <w:tabs>
          <w:tab w:leader="none" w:pos="589" w:val="left"/>
        </w:tabs>
        <w:numPr>
          <w:ilvl w:val="0"/>
          <w:numId w:val="80"/>
        </w:numPr>
        <w:rPr>
          <w:rFonts w:ascii="Arial" w:cs="Arial" w:eastAsia="Arial" w:hAnsi="Arial"/>
          <w:sz w:val="17"/>
          <w:szCs w:val="17"/>
          <w:color w:val="auto"/>
        </w:rPr>
      </w:pPr>
      <w:r>
        <w:rPr>
          <w:rFonts w:ascii="Arial" w:cs="Arial" w:eastAsia="Arial" w:hAnsi="Arial"/>
          <w:sz w:val="17"/>
          <w:szCs w:val="17"/>
          <w:color w:val="auto"/>
        </w:rPr>
        <w:t>Starting in March, you will receive a monthly housing stipend of $5,000 net, grossed up for taxes, for the first twelve (12) months after joining. The stipend will be processed through payroll. The Company will pay the estimated federal, state, local and FICA tax liability on your behalf and include that as income on your W-2. In other words, the total taxable reimbursement amount plus taxes paid by the company is the grossed-up income included on your W-2. If you voluntarily resign within 24 months of your start date, you will be required to repay Veracyte the full amount within 10 days of your termination date.</w:t>
      </w:r>
    </w:p>
    <w:p>
      <w:pPr>
        <w:spacing w:after="0" w:line="157" w:lineRule="exact"/>
        <w:rPr>
          <w:rFonts w:ascii="Arial" w:cs="Arial" w:eastAsia="Arial" w:hAnsi="Arial"/>
          <w:sz w:val="17"/>
          <w:szCs w:val="17"/>
          <w:color w:val="auto"/>
        </w:rPr>
      </w:pPr>
    </w:p>
    <w:p>
      <w:pPr>
        <w:ind w:left="600" w:hanging="300"/>
        <w:spacing w:after="0" w:line="252" w:lineRule="auto"/>
        <w:tabs>
          <w:tab w:leader="none" w:pos="663" w:val="left"/>
        </w:tabs>
        <w:numPr>
          <w:ilvl w:val="0"/>
          <w:numId w:val="80"/>
        </w:numPr>
        <w:rPr>
          <w:rFonts w:ascii="Arial" w:cs="Arial" w:eastAsia="Arial" w:hAnsi="Arial"/>
          <w:sz w:val="17"/>
          <w:szCs w:val="17"/>
          <w:color w:val="auto"/>
        </w:rPr>
      </w:pPr>
      <w:r>
        <w:rPr>
          <w:rFonts w:ascii="Arial" w:cs="Arial" w:eastAsia="Arial" w:hAnsi="Arial"/>
          <w:sz w:val="17"/>
          <w:szCs w:val="17"/>
          <w:color w:val="auto"/>
        </w:rPr>
        <w:t>You also will be eligible for medical, dental, vision and life insurance benefits, and participation in the Company’s 401(k) and Employee Stock Purchase Plans, which will be further detailed in a separate conversation with Human Resources.</w:t>
      </w:r>
    </w:p>
    <w:p>
      <w:pPr>
        <w:spacing w:after="0" w:line="153" w:lineRule="exact"/>
        <w:rPr>
          <w:sz w:val="20"/>
          <w:szCs w:val="20"/>
          <w:color w:val="auto"/>
        </w:rPr>
      </w:pPr>
    </w:p>
    <w:p>
      <w:pPr>
        <w:ind w:left="600"/>
        <w:spacing w:after="0" w:line="252" w:lineRule="auto"/>
        <w:rPr>
          <w:sz w:val="20"/>
          <w:szCs w:val="20"/>
          <w:color w:val="auto"/>
        </w:rPr>
      </w:pPr>
      <w:r>
        <w:rPr>
          <w:rFonts w:ascii="Arial" w:cs="Arial" w:eastAsia="Arial" w:hAnsi="Arial"/>
          <w:sz w:val="17"/>
          <w:szCs w:val="17"/>
          <w:color w:val="auto"/>
        </w:rPr>
        <w:t>Also, you will be eligible for paid time off and company paid holidays in accordance with Veracyte’s established policies. These and other policies are explained fully in the Company’s employee handbook.</w:t>
      </w:r>
    </w:p>
    <w:p>
      <w:pPr>
        <w:spacing w:after="0" w:line="215" w:lineRule="exact"/>
        <w:rPr>
          <w:sz w:val="20"/>
          <w:szCs w:val="20"/>
          <w:color w:val="auto"/>
        </w:rPr>
      </w:pPr>
    </w:p>
    <w:p>
      <w:pPr>
        <w:jc w:val="both"/>
        <w:ind w:left="600" w:hanging="300"/>
        <w:spacing w:after="0" w:line="249"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accordance with Federal immigration law, you will be required to provide the Company documentary evidence of your identity and eligibility for employment in the United States. This documentation must be provided to the Company within three (3) business days of your date of hire, or the Company may terminate its employment relationship with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6000 Shoreline Court, Suite 300, South San Francisco, CA 94080 | T: 650.243.6300 | F: 650.243.6301</w:t>
      </w:r>
    </w:p>
    <w:p>
      <w:pPr>
        <w:sectPr>
          <w:pgSz w:w="11900" w:h="16838" w:orient="portrait"/>
          <w:cols w:equalWidth="0" w:num="1">
            <w:col w:w="11240"/>
          </w:cols>
          <w:pgMar w:left="320" w:top="121" w:right="339" w:bottom="1440" w:gutter="0" w:footer="0" w:header="0"/>
        </w:sectPr>
      </w:pPr>
    </w:p>
    <w:bookmarkStart w:id="103" w:name="page104"/>
    <w:bookmarkEnd w:id="103"/>
    <w:p>
      <w:pPr>
        <w:jc w:val="both"/>
        <w:ind w:left="600" w:hanging="300"/>
        <w:spacing w:after="0" w:line="249" w:lineRule="auto"/>
        <w:tabs>
          <w:tab w:leader="none" w:pos="633"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accordance with the law, employment with the Company is at-will, and may be terminated at any time by you or the Company, with or without cause and with or without notice. However, if employment is terminated by you, the Company requests that you provide as much notice as possible.</w:t>
      </w:r>
    </w:p>
    <w:p>
      <w:pPr>
        <w:spacing w:after="0" w:line="154" w:lineRule="exact"/>
        <w:rPr>
          <w:rFonts w:ascii="Arial" w:cs="Arial" w:eastAsia="Arial" w:hAnsi="Arial"/>
          <w:sz w:val="17"/>
          <w:szCs w:val="17"/>
          <w:color w:val="auto"/>
        </w:rPr>
      </w:pPr>
    </w:p>
    <w:p>
      <w:pPr>
        <w:jc w:val="both"/>
        <w:ind w:left="600" w:hanging="300"/>
        <w:spacing w:after="0" w:line="247" w:lineRule="auto"/>
        <w:tabs>
          <w:tab w:leader="none" w:pos="638" w:val="left"/>
        </w:tabs>
        <w:numPr>
          <w:ilvl w:val="0"/>
          <w:numId w:val="82"/>
        </w:numPr>
        <w:rPr>
          <w:rFonts w:ascii="Arial" w:cs="Arial" w:eastAsia="Arial" w:hAnsi="Arial"/>
          <w:sz w:val="17"/>
          <w:szCs w:val="17"/>
          <w:color w:val="auto"/>
        </w:rPr>
      </w:pPr>
      <w:r>
        <w:rPr>
          <w:rFonts w:ascii="Arial" w:cs="Arial" w:eastAsia="Arial" w:hAnsi="Arial"/>
          <w:sz w:val="17"/>
          <w:szCs w:val="17"/>
          <w:color w:val="auto"/>
        </w:rPr>
        <w:t>Employment with the Company is contingent upon your signature of, and compliance with, its At-Will Employment, Confidential Information and Invention Assignment and Arbitration Agreement. This requires, among other provisions, the assignment of patent rights to any invention made during your employment with the Company, as well as non-disclosure of Company proprietary information. There is also a requirement for resolution by binding arbitration of any dispute arising out of our employment relationship. The arbitration requirement is described in detail in the agreement, a copy of which is enclosed with this offer.</w:t>
      </w:r>
    </w:p>
    <w:p>
      <w:pPr>
        <w:spacing w:after="0" w:line="170" w:lineRule="exact"/>
        <w:rPr>
          <w:rFonts w:ascii="Arial" w:cs="Arial" w:eastAsia="Arial" w:hAnsi="Arial"/>
          <w:sz w:val="17"/>
          <w:szCs w:val="17"/>
          <w:color w:val="auto"/>
        </w:rPr>
      </w:pPr>
    </w:p>
    <w:p>
      <w:pPr>
        <w:ind w:left="620" w:hanging="320"/>
        <w:spacing w:after="0"/>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This offer is contingent upon a successfully completed background report.</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To accept the Company’s offer, please sign and date this letter in the space provided below. Your target start date is February 28, 2022. This letter, together with any agreements relating to proprietary rights as herein described, sets forth the terms of your employment with the Company, and supersedes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We’re all keenly looking forward to welcoming you aboard! If you have any questions about this offer or its terms, please feel free to contact Jennifer Harvey, HR Director, directly at 650-243-6328.</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/s/ Marc Stapley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Marc Stapley</w:t>
      </w:r>
    </w:p>
    <w:p>
      <w:pPr>
        <w:spacing w:after="0"/>
        <w:rPr>
          <w:sz w:val="20"/>
          <w:szCs w:val="20"/>
          <w:color w:val="auto"/>
        </w:rPr>
      </w:pPr>
      <w:r>
        <w:rPr>
          <w:rFonts w:ascii="Arial" w:cs="Arial" w:eastAsia="Arial" w:hAnsi="Arial"/>
          <w:sz w:val="17"/>
          <w:szCs w:val="17"/>
          <w:color w:val="auto"/>
        </w:rPr>
        <w:t>Chief Executive Officer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Agreed to and accepted: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Signature: ____________</w:t>
      </w:r>
      <w:r>
        <w:rPr>
          <w:rFonts w:ascii="Arial" w:cs="Arial" w:eastAsia="Arial" w:hAnsi="Arial"/>
          <w:sz w:val="17"/>
          <w:szCs w:val="17"/>
          <w:u w:val="single" w:color="auto"/>
          <w:color w:val="auto"/>
        </w:rPr>
        <w:t>/s/ Annie McGuire</w:t>
      </w:r>
      <w:r>
        <w:rPr>
          <w:rFonts w:ascii="Arial" w:cs="Arial" w:eastAsia="Arial" w:hAnsi="Arial"/>
          <w:sz w:val="17"/>
          <w:szCs w:val="17"/>
          <w:color w:val="auto"/>
        </w:rPr>
        <w:t>____________________</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Printed Name: __ </w:t>
      </w:r>
      <w:r>
        <w:rPr>
          <w:rFonts w:ascii="Arial" w:cs="Arial" w:eastAsia="Arial" w:hAnsi="Arial"/>
          <w:sz w:val="17"/>
          <w:szCs w:val="17"/>
          <w:u w:val="single" w:color="auto"/>
          <w:color w:val="auto"/>
        </w:rPr>
        <w:t>Annie McGuire</w:t>
      </w:r>
      <w:r>
        <w:rPr>
          <w:rFonts w:ascii="Arial" w:cs="Arial" w:eastAsia="Arial" w:hAnsi="Arial"/>
          <w:sz w:val="17"/>
          <w:szCs w:val="17"/>
          <w:color w:val="auto"/>
        </w:rPr>
        <w:t>_____________________________</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Date: _____</w:t>
      </w:r>
      <w:r>
        <w:rPr>
          <w:rFonts w:ascii="Arial" w:cs="Arial" w:eastAsia="Arial" w:hAnsi="Arial"/>
          <w:sz w:val="17"/>
          <w:szCs w:val="17"/>
          <w:u w:val="single" w:color="auto"/>
          <w:color w:val="auto"/>
        </w:rPr>
        <w:t>2/8/2022</w:t>
      </w:r>
      <w:r>
        <w:rPr>
          <w:rFonts w:ascii="Arial" w:cs="Arial" w:eastAsia="Arial" w:hAnsi="Arial"/>
          <w:sz w:val="17"/>
          <w:szCs w:val="17"/>
          <w:color w:val="auto"/>
        </w:rPr>
        <w:t>_______________________________________</w:t>
      </w:r>
    </w:p>
    <w:p>
      <w:pPr>
        <w:sectPr>
          <w:pgSz w:w="11900" w:h="16838" w:orient="portrait"/>
          <w:cols w:equalWidth="0" w:num="1">
            <w:col w:w="11240"/>
          </w:cols>
          <w:pgMar w:left="320" w:top="1340" w:right="339" w:bottom="1440" w:gutter="0" w:footer="0" w:header="0"/>
        </w:sectPr>
      </w:pPr>
    </w:p>
    <w:bookmarkStart w:id="104" w:name="page105"/>
    <w:bookmarkEnd w:id="104"/>
    <w:p>
      <w:pPr>
        <w:ind w:left="10200"/>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CHANGE OF CONTROL AND SEVERANCE AGREEMENT</w:t>
      </w:r>
    </w:p>
    <w:p>
      <w:pPr>
        <w:spacing w:after="0" w:line="134" w:lineRule="exact"/>
        <w:rPr>
          <w:sz w:val="20"/>
          <w:szCs w:val="20"/>
          <w:color w:val="auto"/>
        </w:rPr>
      </w:pPr>
    </w:p>
    <w:p>
      <w:pPr>
        <w:ind w:right="380" w:firstLine="601"/>
        <w:spacing w:after="0" w:line="230" w:lineRule="auto"/>
        <w:rPr>
          <w:sz w:val="20"/>
          <w:szCs w:val="20"/>
          <w:color w:val="auto"/>
        </w:rPr>
      </w:pPr>
      <w:r>
        <w:rPr>
          <w:rFonts w:ascii="Arial" w:cs="Arial" w:eastAsia="Arial" w:hAnsi="Arial"/>
          <w:sz w:val="17"/>
          <w:szCs w:val="17"/>
          <w:color w:val="auto"/>
        </w:rPr>
        <w:t>This Change of Control and Severance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by and between Ann (Annie) McGuire. (“</w:t>
      </w:r>
      <w:r>
        <w:rPr>
          <w:rFonts w:ascii="Arial" w:cs="Arial" w:eastAsia="Arial" w:hAnsi="Arial"/>
          <w:sz w:val="17"/>
          <w:szCs w:val="17"/>
          <w:b w:val="1"/>
          <w:bCs w:val="1"/>
          <w:i w:val="1"/>
          <w:iCs w:val="1"/>
          <w:color w:val="auto"/>
        </w:rPr>
        <w:t>Executive</w:t>
      </w:r>
      <w:r>
        <w:rPr>
          <w:rFonts w:ascii="Arial" w:cs="Arial" w:eastAsia="Arial" w:hAnsi="Arial"/>
          <w:sz w:val="17"/>
          <w:szCs w:val="17"/>
          <w:color w:val="auto"/>
        </w:rPr>
        <w:t>”) and Veracyte,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effective as of February 28, 2022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p>
    <w:p>
      <w:pPr>
        <w:spacing w:after="0" w:line="130" w:lineRule="exact"/>
        <w:rPr>
          <w:sz w:val="20"/>
          <w:szCs w:val="20"/>
          <w:color w:val="auto"/>
        </w:rPr>
      </w:pPr>
    </w:p>
    <w:p>
      <w:pPr>
        <w:ind w:firstLine="601"/>
        <w:spacing w:after="0" w:line="215" w:lineRule="auto"/>
        <w:tabs>
          <w:tab w:leader="none" w:pos="1201"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12" w:lineRule="exact"/>
        <w:rPr>
          <w:rFonts w:ascii="Arial" w:cs="Arial" w:eastAsia="Arial" w:hAnsi="Arial"/>
          <w:sz w:val="17"/>
          <w:szCs w:val="17"/>
          <w:color w:val="auto"/>
        </w:rPr>
      </w:pPr>
    </w:p>
    <w:p>
      <w:pPr>
        <w:ind w:right="400" w:firstLine="601"/>
        <w:spacing w:after="0" w:line="220" w:lineRule="auto"/>
        <w:tabs>
          <w:tab w:leader="none" w:pos="1201"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13" w:lineRule="exact"/>
        <w:rPr>
          <w:rFonts w:ascii="Arial" w:cs="Arial" w:eastAsia="Arial" w:hAnsi="Arial"/>
          <w:sz w:val="17"/>
          <w:szCs w:val="17"/>
          <w:color w:val="auto"/>
        </w:rPr>
      </w:pPr>
    </w:p>
    <w:p>
      <w:pPr>
        <w:ind w:left="1200" w:hanging="599"/>
        <w:spacing w:after="0"/>
        <w:tabs>
          <w:tab w:leader="none" w:pos="12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Certain capitalized terms used in the Agreement are defined in Section 6 below.</w:t>
      </w:r>
    </w:p>
    <w:p>
      <w:pPr>
        <w:spacing w:after="0" w:line="130" w:lineRule="exact"/>
        <w:rPr>
          <w:sz w:val="20"/>
          <w:szCs w:val="20"/>
          <w:color w:val="auto"/>
        </w:rPr>
      </w:pPr>
    </w:p>
    <w:p>
      <w:pPr>
        <w:ind w:left="5100"/>
        <w:spacing w:after="0"/>
        <w:rPr>
          <w:sz w:val="20"/>
          <w:szCs w:val="20"/>
          <w:color w:val="auto"/>
        </w:rPr>
      </w:pPr>
      <w:r>
        <w:rPr>
          <w:rFonts w:ascii="Arial" w:cs="Arial" w:eastAsia="Arial" w:hAnsi="Arial"/>
          <w:sz w:val="17"/>
          <w:szCs w:val="17"/>
          <w:u w:val="single" w:color="auto"/>
          <w:color w:val="auto"/>
        </w:rPr>
        <w:t>AGREEMENT</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NOW, THEREFORE, in consideration of the mutual covenants contained herein, the parties hereto agree as follows:</w:t>
      </w:r>
    </w:p>
    <w:p>
      <w:pPr>
        <w:spacing w:after="0" w:line="130" w:lineRule="exact"/>
        <w:rPr>
          <w:sz w:val="20"/>
          <w:szCs w:val="20"/>
          <w:color w:val="auto"/>
        </w:rPr>
      </w:pPr>
    </w:p>
    <w:p>
      <w:pPr>
        <w:ind w:firstLine="601"/>
        <w:spacing w:after="0" w:line="208" w:lineRule="auto"/>
        <w:tabs>
          <w:tab w:leader="none" w:pos="120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Term of Agreement</w:t>
      </w:r>
      <w:r>
        <w:rPr>
          <w:rFonts w:ascii="Arial" w:cs="Arial" w:eastAsia="Arial" w:hAnsi="Arial"/>
          <w:sz w:val="17"/>
          <w:szCs w:val="17"/>
          <w:color w:val="auto"/>
        </w:rPr>
        <w:t>. This Agreement will have an initial term of four (4) years commencing on the Effective Date (the “</w:t>
      </w:r>
      <w:r>
        <w:rPr>
          <w:rFonts w:ascii="Arial" w:cs="Arial" w:eastAsia="Arial" w:hAnsi="Arial"/>
          <w:sz w:val="17"/>
          <w:szCs w:val="17"/>
          <w:b w:val="1"/>
          <w:bCs w:val="1"/>
          <w:i w:val="1"/>
          <w:iCs w:val="1"/>
          <w:color w:val="auto"/>
        </w:rPr>
        <w:t>Initial Term</w:t>
      </w:r>
      <w:r>
        <w:rPr>
          <w:rFonts w:ascii="Arial" w:cs="Arial" w:eastAsia="Arial" w:hAnsi="Arial"/>
          <w:sz w:val="17"/>
          <w:szCs w:val="17"/>
          <w:color w:val="auto"/>
        </w:rPr>
        <w:t>”). On the fourth anniversary of the Effective Date, this Agreement will renew automatically for additional one (1) year terms (each an “</w:t>
      </w:r>
      <w:r>
        <w:rPr>
          <w:rFonts w:ascii="Arial" w:cs="Arial" w:eastAsia="Arial" w:hAnsi="Arial"/>
          <w:sz w:val="17"/>
          <w:szCs w:val="17"/>
          <w:b w:val="1"/>
          <w:bCs w:val="1"/>
          <w:i w:val="1"/>
          <w:iCs w:val="1"/>
          <w:color w:val="auto"/>
        </w:rPr>
        <w:t>Additional Term</w:t>
      </w:r>
      <w:r>
        <w:rPr>
          <w:rFonts w:ascii="Arial" w:cs="Arial" w:eastAsia="Arial" w:hAnsi="Arial"/>
          <w:sz w:val="17"/>
          <w:szCs w:val="17"/>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15" w:lineRule="exact"/>
        <w:rPr>
          <w:rFonts w:ascii="Arial" w:cs="Arial" w:eastAsia="Arial" w:hAnsi="Arial"/>
          <w:sz w:val="17"/>
          <w:szCs w:val="17"/>
          <w:color w:val="auto"/>
        </w:rPr>
      </w:pPr>
    </w:p>
    <w:p>
      <w:pPr>
        <w:ind w:right="260" w:firstLine="601"/>
        <w:spacing w:after="0" w:line="282" w:lineRule="auto"/>
        <w:tabs>
          <w:tab w:leader="none" w:pos="1201"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At-Will Employment</w:t>
      </w:r>
      <w:r>
        <w:rPr>
          <w:rFonts w:ascii="Arial" w:cs="Arial" w:eastAsia="Arial" w:hAnsi="Arial"/>
          <w:sz w:val="15"/>
          <w:szCs w:val="15"/>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82" w:lineRule="exact"/>
        <w:rPr>
          <w:rFonts w:ascii="Arial" w:cs="Arial" w:eastAsia="Arial" w:hAnsi="Arial"/>
          <w:sz w:val="15"/>
          <w:szCs w:val="15"/>
          <w:color w:val="auto"/>
        </w:rPr>
      </w:pPr>
    </w:p>
    <w:p>
      <w:pPr>
        <w:ind w:left="1200" w:hanging="599"/>
        <w:spacing w:after="0"/>
        <w:tabs>
          <w:tab w:leader="none" w:pos="120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Severance Benefits</w:t>
      </w:r>
      <w:r>
        <w:rPr>
          <w:rFonts w:ascii="Arial" w:cs="Arial" w:eastAsia="Arial" w:hAnsi="Arial"/>
          <w:sz w:val="17"/>
          <w:szCs w:val="17"/>
          <w:color w:val="auto"/>
        </w:rPr>
        <w:t>.</w:t>
      </w:r>
    </w:p>
    <w:p>
      <w:pPr>
        <w:spacing w:after="0" w:line="129" w:lineRule="exact"/>
        <w:rPr>
          <w:rFonts w:ascii="Arial" w:cs="Arial" w:eastAsia="Arial" w:hAnsi="Arial"/>
          <w:sz w:val="17"/>
          <w:szCs w:val="17"/>
          <w:color w:val="auto"/>
        </w:rPr>
      </w:pPr>
    </w:p>
    <w:p>
      <w:pPr>
        <w:ind w:right="240" w:firstLine="1201"/>
        <w:spacing w:after="0" w:line="220" w:lineRule="auto"/>
        <w:tabs>
          <w:tab w:leader="none" w:pos="1799"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13" w:lineRule="exact"/>
        <w:rPr>
          <w:rFonts w:ascii="Arial" w:cs="Arial" w:eastAsia="Arial" w:hAnsi="Arial"/>
          <w:sz w:val="17"/>
          <w:szCs w:val="17"/>
          <w:color w:val="auto"/>
        </w:rPr>
      </w:pPr>
    </w:p>
    <w:p>
      <w:pPr>
        <w:ind w:right="40" w:firstLine="1802"/>
        <w:spacing w:after="0" w:line="230" w:lineRule="auto"/>
        <w:tabs>
          <w:tab w:leader="none" w:pos="2422" w:val="left"/>
        </w:tabs>
        <w:numPr>
          <w:ilvl w:val="2"/>
          <w:numId w:val="84"/>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expense reimbursements, wages, and other benefits due to Executive under any Company-provided plans, policies, and arrangements.</w:t>
      </w:r>
    </w:p>
    <w:p>
      <w:pPr>
        <w:spacing w:after="0" w:line="113" w:lineRule="exact"/>
        <w:rPr>
          <w:rFonts w:ascii="Arial" w:cs="Arial" w:eastAsia="Arial" w:hAnsi="Arial"/>
          <w:sz w:val="17"/>
          <w:szCs w:val="17"/>
          <w:color w:val="auto"/>
        </w:rPr>
      </w:pPr>
    </w:p>
    <w:p>
      <w:pPr>
        <w:ind w:right="120" w:firstLine="1802"/>
        <w:spacing w:after="0" w:line="220" w:lineRule="auto"/>
        <w:tabs>
          <w:tab w:leader="none" w:pos="2431" w:val="left"/>
        </w:tabs>
        <w:numPr>
          <w:ilvl w:val="2"/>
          <w:numId w:val="84"/>
        </w:numPr>
        <w:rPr>
          <w:rFonts w:ascii="Arial" w:cs="Arial" w:eastAsia="Arial" w:hAnsi="Arial"/>
          <w:sz w:val="17"/>
          <w:szCs w:val="17"/>
          <w:color w:val="auto"/>
        </w:rPr>
      </w:pPr>
      <w:r>
        <w:rPr>
          <w:rFonts w:ascii="Arial" w:cs="Arial" w:eastAsia="Arial" w:hAnsi="Arial"/>
          <w:sz w:val="17"/>
          <w:szCs w:val="17"/>
          <w:u w:val="single" w:color="auto"/>
          <w:color w:val="auto"/>
        </w:rPr>
        <w:t>Continuing Severance Payments</w:t>
      </w:r>
      <w:r>
        <w:rPr>
          <w:rFonts w:ascii="Arial" w:cs="Arial" w:eastAsia="Arial" w:hAnsi="Arial"/>
          <w:sz w:val="17"/>
          <w:szCs w:val="17"/>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40"/>
          </w:cols>
          <w:pgMar w:left="320" w:top="110" w:right="339" w:bottom="1440" w:gutter="0" w:footer="0" w:header="0"/>
        </w:sectPr>
      </w:pPr>
    </w:p>
    <w:bookmarkStart w:id="105" w:name="page106"/>
    <w:bookmarkEnd w:id="105"/>
    <w:p>
      <w:pPr>
        <w:ind w:right="60" w:firstLine="1802"/>
        <w:spacing w:after="0" w:line="232" w:lineRule="auto"/>
        <w:tabs>
          <w:tab w:leader="none" w:pos="2440" w:val="left"/>
        </w:tabs>
        <w:numPr>
          <w:ilvl w:val="2"/>
          <w:numId w:val="85"/>
        </w:numPr>
        <w:rPr>
          <w:rFonts w:ascii="Arial" w:cs="Arial" w:eastAsia="Arial" w:hAnsi="Arial"/>
          <w:sz w:val="15"/>
          <w:szCs w:val="15"/>
          <w:color w:val="auto"/>
        </w:rPr>
      </w:pPr>
      <w:r>
        <w:rPr>
          <w:rFonts w:ascii="Arial" w:cs="Arial" w:eastAsia="Arial" w:hAnsi="Arial"/>
          <w:sz w:val="15"/>
          <w:szCs w:val="15"/>
          <w:u w:val="single" w:color="auto"/>
          <w:color w:val="auto"/>
        </w:rPr>
        <w:t>Continuation Coverage</w:t>
      </w:r>
      <w:r>
        <w:rPr>
          <w:rFonts w:ascii="Arial" w:cs="Arial" w:eastAsia="Arial" w:hAnsi="Arial"/>
          <w:sz w:val="15"/>
          <w:szCs w:val="15"/>
          <w:color w:val="auto"/>
        </w:rPr>
        <w:t>. If Executive elects continuation coverage pursuant to the Consolidated Omnibus Budget Reconciliation Act of 1985, as amended (“</w:t>
      </w:r>
      <w:r>
        <w:rPr>
          <w:rFonts w:ascii="Arial" w:cs="Arial" w:eastAsia="Arial" w:hAnsi="Arial"/>
          <w:sz w:val="15"/>
          <w:szCs w:val="15"/>
          <w:b w:val="1"/>
          <w:bCs w:val="1"/>
          <w:i w:val="1"/>
          <w:iCs w:val="1"/>
          <w:color w:val="auto"/>
        </w:rPr>
        <w:t>COBRA</w:t>
      </w:r>
      <w:r>
        <w:rPr>
          <w:rFonts w:ascii="Arial" w:cs="Arial" w:eastAsia="Arial" w:hAnsi="Arial"/>
          <w:sz w:val="15"/>
          <w:szCs w:val="15"/>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w:t>
      </w:r>
    </w:p>
    <w:p>
      <w:pPr>
        <w:spacing w:after="0" w:line="1" w:lineRule="exact"/>
        <w:rPr>
          <w:rFonts w:ascii="Arial" w:cs="Arial" w:eastAsia="Arial" w:hAnsi="Arial"/>
          <w:sz w:val="15"/>
          <w:szCs w:val="15"/>
          <w:color w:val="auto"/>
        </w:rPr>
      </w:pPr>
    </w:p>
    <w:p>
      <w:pPr>
        <w:spacing w:after="0" w:line="231" w:lineRule="auto"/>
        <w:tabs>
          <w:tab w:leader="none" w:pos="273" w:val="left"/>
        </w:tabs>
        <w:numPr>
          <w:ilvl w:val="0"/>
          <w:numId w:val="86"/>
        </w:numPr>
        <w:rPr>
          <w:rFonts w:ascii="Arial" w:cs="Arial" w:eastAsia="Arial" w:hAnsi="Arial"/>
          <w:sz w:val="15"/>
          <w:szCs w:val="15"/>
          <w:color w:val="auto"/>
        </w:rPr>
      </w:pPr>
      <w:r>
        <w:rPr>
          <w:rFonts w:ascii="Arial" w:cs="Arial" w:eastAsia="Arial" w:hAnsi="Arial"/>
          <w:sz w:val="15"/>
          <w:szCs w:val="15"/>
          <w:color w:val="auto"/>
        </w:rPr>
        <w:t>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7" w:lineRule="exact"/>
        <w:rPr>
          <w:rFonts w:ascii="Arial" w:cs="Arial" w:eastAsia="Arial" w:hAnsi="Arial"/>
          <w:sz w:val="15"/>
          <w:szCs w:val="15"/>
          <w:color w:val="auto"/>
        </w:rPr>
      </w:pPr>
    </w:p>
    <w:p>
      <w:pPr>
        <w:ind w:right="20" w:firstLine="1201"/>
        <w:spacing w:after="0" w:line="233" w:lineRule="auto"/>
        <w:tabs>
          <w:tab w:leader="none" w:pos="1808"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14" w:lineRule="exact"/>
        <w:rPr>
          <w:rFonts w:ascii="Arial" w:cs="Arial" w:eastAsia="Arial" w:hAnsi="Arial"/>
          <w:sz w:val="16"/>
          <w:szCs w:val="16"/>
          <w:color w:val="auto"/>
        </w:rPr>
      </w:pPr>
    </w:p>
    <w:p>
      <w:pPr>
        <w:ind w:right="40" w:firstLine="1802"/>
        <w:spacing w:after="0" w:line="230" w:lineRule="auto"/>
        <w:tabs>
          <w:tab w:leader="none" w:pos="2422" w:val="left"/>
        </w:tabs>
        <w:numPr>
          <w:ilvl w:val="2"/>
          <w:numId w:val="86"/>
        </w:numPr>
        <w:rPr>
          <w:rFonts w:ascii="Arial" w:cs="Arial" w:eastAsia="Arial" w:hAnsi="Arial"/>
          <w:sz w:val="17"/>
          <w:szCs w:val="17"/>
          <w:color w:val="auto"/>
        </w:rPr>
      </w:pPr>
      <w:r>
        <w:rPr>
          <w:rFonts w:ascii="Arial" w:cs="Arial" w:eastAsia="Arial" w:hAnsi="Arial"/>
          <w:sz w:val="17"/>
          <w:szCs w:val="17"/>
          <w:u w:val="single" w:color="auto"/>
          <w:color w:val="auto"/>
        </w:rPr>
        <w:t>Accrued Compensation</w:t>
      </w:r>
      <w:r>
        <w:rPr>
          <w:rFonts w:ascii="Arial" w:cs="Arial" w:eastAsia="Arial" w:hAnsi="Arial"/>
          <w:sz w:val="17"/>
          <w:szCs w:val="17"/>
          <w:color w:val="auto"/>
        </w:rPr>
        <w:t>. The Company will pay Executive all expense reimbursements, wages, and other benefits due to Executive under any Company-provided plans, policies, and arrangements.</w:t>
      </w:r>
    </w:p>
    <w:p>
      <w:pPr>
        <w:spacing w:after="0" w:line="106" w:lineRule="exact"/>
        <w:rPr>
          <w:sz w:val="20"/>
          <w:szCs w:val="20"/>
          <w:color w:val="auto"/>
        </w:rPr>
      </w:pPr>
    </w:p>
    <w:p>
      <w:pPr>
        <w:ind w:left="2440" w:hanging="638"/>
        <w:spacing w:after="0"/>
        <w:tabs>
          <w:tab w:leader="none" w:pos="2440"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Severance Payment</w:t>
      </w:r>
      <w:r>
        <w:rPr>
          <w:rFonts w:ascii="Arial" w:cs="Arial" w:eastAsia="Arial" w:hAnsi="Arial"/>
          <w:sz w:val="16"/>
          <w:szCs w:val="16"/>
          <w:color w:val="auto"/>
        </w:rPr>
        <w:t>. Executive will receive a lump-sum payment (less applicable withholding taxes) equal to the twelve</w:t>
      </w:r>
    </w:p>
    <w:p>
      <w:pPr>
        <w:ind w:right="120"/>
        <w:spacing w:after="0" w:line="219" w:lineRule="auto"/>
        <w:tabs>
          <w:tab w:leader="none" w:pos="3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6"/>
          <w:szCs w:val="16"/>
          <w:i w:val="1"/>
          <w:iCs w:val="1"/>
          <w:color w:val="auto"/>
        </w:rPr>
        <w:t>less</w:t>
      </w:r>
      <w:r>
        <w:rPr>
          <w:rFonts w:ascii="Arial" w:cs="Arial" w:eastAsia="Arial" w:hAnsi="Arial"/>
          <w:sz w:val="16"/>
          <w:szCs w:val="16"/>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17" w:lineRule="exact"/>
        <w:rPr>
          <w:rFonts w:ascii="Arial" w:cs="Arial" w:eastAsia="Arial" w:hAnsi="Arial"/>
          <w:sz w:val="16"/>
          <w:szCs w:val="16"/>
          <w:color w:val="auto"/>
        </w:rPr>
      </w:pPr>
    </w:p>
    <w:p>
      <w:pPr>
        <w:ind w:right="20" w:firstLine="1802"/>
        <w:spacing w:after="0" w:line="223" w:lineRule="auto"/>
        <w:tabs>
          <w:tab w:leader="none" w:pos="2440"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Bonus Payment</w:t>
      </w:r>
      <w:r>
        <w:rPr>
          <w:rFonts w:ascii="Arial" w:cs="Arial" w:eastAsia="Arial" w:hAnsi="Arial"/>
          <w:sz w:val="16"/>
          <w:szCs w:val="16"/>
          <w:color w:val="auto"/>
        </w:rPr>
        <w:t>. Executive will receive a lump-sum payment equal to one hundred percent (100%) of the higher of (A)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 (iii) will not be prorated based on the actual amount of time Executive is employed by the Company during the fiscal year (or the relevant performance period if something different than a fiscal year) during which the termination occurs.</w:t>
      </w:r>
    </w:p>
    <w:p>
      <w:pPr>
        <w:spacing w:after="0" w:line="112" w:lineRule="exact"/>
        <w:rPr>
          <w:rFonts w:ascii="Arial" w:cs="Arial" w:eastAsia="Arial" w:hAnsi="Arial"/>
          <w:sz w:val="16"/>
          <w:szCs w:val="16"/>
          <w:color w:val="auto"/>
        </w:rPr>
      </w:pPr>
    </w:p>
    <w:p>
      <w:pPr>
        <w:ind w:right="120" w:firstLine="1802"/>
        <w:spacing w:after="0" w:line="215" w:lineRule="auto"/>
        <w:tabs>
          <w:tab w:leader="none" w:pos="2418"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40"/>
          </w:cols>
          <w:pgMar w:left="320" w:top="1316" w:right="339" w:bottom="1440" w:gutter="0" w:footer="0" w:header="0"/>
        </w:sectPr>
      </w:pPr>
    </w:p>
    <w:bookmarkStart w:id="106" w:name="page107"/>
    <w:bookmarkEnd w:id="106"/>
    <w:p>
      <w:pPr>
        <w:spacing w:after="0" w:line="234" w:lineRule="auto"/>
        <w:rPr>
          <w:sz w:val="20"/>
          <w:szCs w:val="20"/>
          <w:color w:val="auto"/>
        </w:rPr>
      </w:pPr>
      <w:r>
        <w:rPr>
          <w:rFonts w:ascii="Arial" w:cs="Arial" w:eastAsia="Arial" w:hAnsi="Arial"/>
          <w:sz w:val="15"/>
          <w:szCs w:val="15"/>
          <w:color w:val="auto"/>
        </w:rPr>
        <w:t>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13" w:lineRule="exact"/>
        <w:rPr>
          <w:sz w:val="20"/>
          <w:szCs w:val="20"/>
          <w:color w:val="auto"/>
        </w:rPr>
      </w:pPr>
    </w:p>
    <w:p>
      <w:pPr>
        <w:jc w:val="both"/>
        <w:ind w:right="80" w:firstLine="1802"/>
        <w:spacing w:after="0" w:line="215" w:lineRule="auto"/>
        <w:tabs>
          <w:tab w:leader="none" w:pos="2409" w:val="left"/>
        </w:tabs>
        <w:numPr>
          <w:ilvl w:val="2"/>
          <w:numId w:val="89"/>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5" w:lineRule="exact"/>
        <w:rPr>
          <w:rFonts w:ascii="Arial" w:cs="Arial" w:eastAsia="Arial" w:hAnsi="Arial"/>
          <w:sz w:val="17"/>
          <w:szCs w:val="17"/>
          <w:color w:val="auto"/>
        </w:rPr>
      </w:pPr>
    </w:p>
    <w:p>
      <w:pPr>
        <w:jc w:val="both"/>
        <w:ind w:right="80" w:firstLine="1201"/>
        <w:spacing w:after="0" w:line="254" w:lineRule="auto"/>
        <w:tabs>
          <w:tab w:leader="none" w:pos="1812" w:val="left"/>
        </w:tabs>
        <w:numPr>
          <w:ilvl w:val="1"/>
          <w:numId w:val="90"/>
        </w:numPr>
        <w:rPr>
          <w:rFonts w:ascii="Arial" w:cs="Arial" w:eastAsia="Arial" w:hAnsi="Arial"/>
          <w:sz w:val="15"/>
          <w:szCs w:val="15"/>
          <w:color w:val="auto"/>
        </w:rPr>
      </w:pPr>
      <w:r>
        <w:rPr>
          <w:rFonts w:ascii="Arial" w:cs="Arial" w:eastAsia="Arial" w:hAnsi="Arial"/>
          <w:sz w:val="15"/>
          <w:szCs w:val="15"/>
          <w:u w:val="single" w:color="auto"/>
          <w:color w:val="auto"/>
        </w:rPr>
        <w:t>Voluntary Resignation; Termination for Cause</w:t>
      </w:r>
      <w:r>
        <w:rPr>
          <w:rFonts w:ascii="Arial" w:cs="Arial" w:eastAsia="Arial" w:hAnsi="Arial"/>
          <w:sz w:val="15"/>
          <w:szCs w:val="15"/>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02" w:lineRule="exact"/>
        <w:rPr>
          <w:rFonts w:ascii="Arial" w:cs="Arial" w:eastAsia="Arial" w:hAnsi="Arial"/>
          <w:sz w:val="15"/>
          <w:szCs w:val="15"/>
          <w:color w:val="auto"/>
        </w:rPr>
      </w:pPr>
    </w:p>
    <w:p>
      <w:pPr>
        <w:ind w:right="380" w:firstLine="1201"/>
        <w:spacing w:after="0" w:line="254" w:lineRule="auto"/>
        <w:tabs>
          <w:tab w:leader="none" w:pos="1808" w:val="left"/>
        </w:tabs>
        <w:numPr>
          <w:ilvl w:val="1"/>
          <w:numId w:val="90"/>
        </w:numPr>
        <w:rPr>
          <w:rFonts w:ascii="Arial" w:cs="Arial" w:eastAsia="Arial" w:hAnsi="Arial"/>
          <w:sz w:val="15"/>
          <w:szCs w:val="15"/>
          <w:color w:val="auto"/>
        </w:rPr>
      </w:pPr>
      <w:r>
        <w:rPr>
          <w:rFonts w:ascii="Arial" w:cs="Arial" w:eastAsia="Arial" w:hAnsi="Arial"/>
          <w:sz w:val="15"/>
          <w:szCs w:val="15"/>
          <w:u w:val="single" w:color="auto"/>
          <w:color w:val="auto"/>
        </w:rPr>
        <w:t>Disability; Death</w:t>
      </w:r>
      <w:r>
        <w:rPr>
          <w:rFonts w:ascii="Arial" w:cs="Arial" w:eastAsia="Arial" w:hAnsi="Arial"/>
          <w:sz w:val="15"/>
          <w:szCs w:val="15"/>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02" w:lineRule="exact"/>
        <w:rPr>
          <w:rFonts w:ascii="Arial" w:cs="Arial" w:eastAsia="Arial" w:hAnsi="Arial"/>
          <w:sz w:val="15"/>
          <w:szCs w:val="15"/>
          <w:color w:val="auto"/>
        </w:rPr>
      </w:pPr>
    </w:p>
    <w:p>
      <w:pPr>
        <w:ind w:firstLine="1201"/>
        <w:spacing w:after="0" w:line="211" w:lineRule="auto"/>
        <w:tabs>
          <w:tab w:leader="none" w:pos="1812"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Exclusive Remedy</w:t>
      </w:r>
      <w:r>
        <w:rPr>
          <w:rFonts w:ascii="Arial" w:cs="Arial" w:eastAsia="Arial" w:hAnsi="Arial"/>
          <w:sz w:val="17"/>
          <w:szCs w:val="17"/>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16" w:lineRule="exact"/>
        <w:rPr>
          <w:rFonts w:ascii="Arial" w:cs="Arial" w:eastAsia="Arial" w:hAnsi="Arial"/>
          <w:sz w:val="17"/>
          <w:szCs w:val="17"/>
          <w:color w:val="auto"/>
        </w:rPr>
      </w:pPr>
    </w:p>
    <w:p>
      <w:pPr>
        <w:ind w:left="1200" w:hanging="599"/>
        <w:spacing w:after="0"/>
        <w:tabs>
          <w:tab w:leader="none" w:pos="120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Conditions to Receipt of Severance</w:t>
      </w:r>
    </w:p>
    <w:p>
      <w:pPr>
        <w:spacing w:after="0" w:line="129" w:lineRule="exact"/>
        <w:rPr>
          <w:rFonts w:ascii="Arial" w:cs="Arial" w:eastAsia="Arial" w:hAnsi="Arial"/>
          <w:sz w:val="17"/>
          <w:szCs w:val="17"/>
          <w:color w:val="auto"/>
        </w:rPr>
      </w:pPr>
    </w:p>
    <w:p>
      <w:pPr>
        <w:ind w:right="40" w:firstLine="1201"/>
        <w:spacing w:after="0" w:line="209" w:lineRule="auto"/>
        <w:tabs>
          <w:tab w:leader="none" w:pos="1799"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Release of Claims Agreement</w:t>
      </w:r>
      <w:r>
        <w:rPr>
          <w:rFonts w:ascii="Arial" w:cs="Arial" w:eastAsia="Arial" w:hAnsi="Arial"/>
          <w:sz w:val="17"/>
          <w:szCs w:val="17"/>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must become effective and irrevocable no later than the sixtieth (60th) day following Executive’s termination of employment (the “</w:t>
      </w:r>
      <w:r>
        <w:rPr>
          <w:rFonts w:ascii="Arial" w:cs="Arial" w:eastAsia="Arial" w:hAnsi="Arial"/>
          <w:sz w:val="17"/>
          <w:szCs w:val="17"/>
          <w:b w:val="1"/>
          <w:bCs w:val="1"/>
          <w:i w:val="1"/>
          <w:iCs w:val="1"/>
          <w:color w:val="auto"/>
        </w:rPr>
        <w:t>Release Deadline</w:t>
      </w:r>
      <w:r>
        <w:rPr>
          <w:rFonts w:ascii="Arial" w:cs="Arial" w:eastAsia="Arial" w:hAnsi="Arial"/>
          <w:sz w:val="17"/>
          <w:szCs w:val="17"/>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17" w:lineRule="exact"/>
        <w:rPr>
          <w:rFonts w:ascii="Arial" w:cs="Arial" w:eastAsia="Arial" w:hAnsi="Arial"/>
          <w:sz w:val="17"/>
          <w:szCs w:val="17"/>
          <w:color w:val="auto"/>
        </w:rPr>
      </w:pPr>
    </w:p>
    <w:p>
      <w:pPr>
        <w:ind w:right="300" w:firstLine="1201"/>
        <w:spacing w:after="0" w:line="220" w:lineRule="auto"/>
        <w:tabs>
          <w:tab w:leader="none" w:pos="1808"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Confidential Information and Invention Assignment Agreements</w:t>
      </w:r>
      <w:r>
        <w:rPr>
          <w:rFonts w:ascii="Arial" w:cs="Arial" w:eastAsia="Arial" w:hAnsi="Arial"/>
          <w:sz w:val="17"/>
          <w:szCs w:val="17"/>
          <w:color w:val="auto"/>
        </w:rPr>
        <w:t>. Executive’s receipt of any payments or benefits under Section 3 (other than the accrued benefits set forth in either Sections 3(a)(i) or 3(b)(i)) will be subject to Executive continuing to comply with the terms of the [ConfidentialtyAgreement], between the Company and Executive, as such agreement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40"/>
          </w:cols>
          <w:pgMar w:left="320" w:top="1316" w:right="339" w:bottom="1440" w:gutter="0" w:footer="0" w:header="0"/>
        </w:sectPr>
      </w:pPr>
    </w:p>
    <w:bookmarkStart w:id="107" w:name="page108"/>
    <w:bookmarkEnd w:id="107"/>
    <w:p>
      <w:pPr>
        <w:ind w:left="1820" w:hanging="619"/>
        <w:spacing w:after="0"/>
        <w:tabs>
          <w:tab w:leader="none" w:pos="1820"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w:t>
      </w:r>
    </w:p>
    <w:p>
      <w:pPr>
        <w:spacing w:after="0" w:line="129" w:lineRule="exact"/>
        <w:rPr>
          <w:rFonts w:ascii="Arial" w:cs="Arial" w:eastAsia="Arial" w:hAnsi="Arial"/>
          <w:sz w:val="17"/>
          <w:szCs w:val="17"/>
          <w:color w:val="auto"/>
        </w:rPr>
      </w:pPr>
    </w:p>
    <w:p>
      <w:pPr>
        <w:ind w:right="60" w:firstLine="1802"/>
        <w:spacing w:after="0" w:line="223" w:lineRule="auto"/>
        <w:tabs>
          <w:tab w:leader="none" w:pos="2422" w:val="left"/>
        </w:tabs>
        <w:numPr>
          <w:ilvl w:val="2"/>
          <w:numId w:val="9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(together, the “</w:t>
      </w:r>
      <w:r>
        <w:rPr>
          <w:rFonts w:ascii="Arial" w:cs="Arial" w:eastAsia="Arial" w:hAnsi="Arial"/>
          <w:sz w:val="16"/>
          <w:szCs w:val="16"/>
          <w:b w:val="1"/>
          <w:bCs w:val="1"/>
          <w:i w:val="1"/>
          <w:iCs w:val="1"/>
          <w:color w:val="auto"/>
        </w:rPr>
        <w:t>Deferred Payments</w:t>
      </w:r>
      <w:r>
        <w:rPr>
          <w:rFonts w:ascii="Arial" w:cs="Arial" w:eastAsia="Arial" w:hAnsi="Arial"/>
          <w:sz w:val="16"/>
          <w:szCs w:val="16"/>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12" w:lineRule="exact"/>
        <w:rPr>
          <w:rFonts w:ascii="Arial" w:cs="Arial" w:eastAsia="Arial" w:hAnsi="Arial"/>
          <w:sz w:val="16"/>
          <w:szCs w:val="16"/>
          <w:color w:val="auto"/>
        </w:rPr>
      </w:pPr>
    </w:p>
    <w:p>
      <w:pPr>
        <w:ind w:right="80" w:firstLine="1802"/>
        <w:spacing w:after="0" w:line="230" w:lineRule="auto"/>
        <w:tabs>
          <w:tab w:leader="none" w:pos="2431" w:val="left"/>
        </w:tabs>
        <w:numPr>
          <w:ilvl w:val="2"/>
          <w:numId w:val="92"/>
        </w:numPr>
        <w:rPr>
          <w:rFonts w:ascii="Arial" w:cs="Arial" w:eastAsia="Arial" w:hAnsi="Arial"/>
          <w:sz w:val="15"/>
          <w:szCs w:val="15"/>
          <w:color w:val="auto"/>
        </w:rPr>
      </w:pPr>
      <w:r>
        <w:rPr>
          <w:rFonts w:ascii="Arial" w:cs="Arial" w:eastAsia="Arial" w:hAnsi="Arial"/>
          <w:sz w:val="15"/>
          <w:szCs w:val="15"/>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w:t>
      </w:r>
      <w:r>
        <w:rPr>
          <w:rFonts w:ascii="Arial" w:cs="Arial" w:eastAsia="Arial" w:hAnsi="Arial"/>
          <w:sz w:val="9"/>
          <w:szCs w:val="9"/>
          <w:color w:val="auto"/>
        </w:rPr>
        <w:t>th</w:t>
      </w:r>
      <w:r>
        <w:rPr>
          <w:rFonts w:ascii="Arial" w:cs="Arial" w:eastAsia="Arial" w:hAnsi="Arial"/>
          <w:sz w:val="15"/>
          <w:szCs w:val="15"/>
          <w:color w:val="auto"/>
        </w:rPr>
        <w:t>) day following Executive’s separation from service, or, if later, such time as required by Section 4(c)(iii). Except as required by Section 4(c)(iii), any installment payments that would have been made to Executive during the sixty</w:t>
      </w:r>
    </w:p>
    <w:p>
      <w:pPr>
        <w:ind w:right="100"/>
        <w:spacing w:after="0" w:line="221" w:lineRule="auto"/>
        <w:tabs>
          <w:tab w:leader="none" w:pos="3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day period immediately following Executive’s separation from service but for the preceding sentence will be paid to Executive on the sixtieth (60</w:t>
      </w:r>
      <w:r>
        <w:rPr>
          <w:rFonts w:ascii="Arial" w:cs="Arial" w:eastAsia="Arial" w:hAnsi="Arial"/>
          <w:sz w:val="10"/>
          <w:szCs w:val="10"/>
          <w:color w:val="auto"/>
        </w:rPr>
        <w:t>th</w:t>
      </w:r>
      <w:r>
        <w:rPr>
          <w:rFonts w:ascii="Arial" w:cs="Arial" w:eastAsia="Arial" w:hAnsi="Arial"/>
          <w:sz w:val="17"/>
          <w:szCs w:val="17"/>
          <w:color w:val="auto"/>
        </w:rPr>
        <w:t>) day following Executive’s separation from service and the remaining payments will be made as provided in this Agreement.</w:t>
      </w:r>
    </w:p>
    <w:p>
      <w:pPr>
        <w:spacing w:after="0" w:line="106" w:lineRule="exact"/>
        <w:rPr>
          <w:rFonts w:ascii="Arial" w:cs="Arial" w:eastAsia="Arial" w:hAnsi="Arial"/>
          <w:sz w:val="17"/>
          <w:szCs w:val="17"/>
          <w:color w:val="auto"/>
        </w:rPr>
      </w:pPr>
    </w:p>
    <w:p>
      <w:pPr>
        <w:ind w:left="2440" w:hanging="638"/>
        <w:spacing w:after="0"/>
        <w:tabs>
          <w:tab w:leader="none" w:pos="2440" w:val="left"/>
        </w:tabs>
        <w:numPr>
          <w:ilvl w:val="2"/>
          <w:numId w:val="9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w:t>
      </w:r>
    </w:p>
    <w:p>
      <w:pPr>
        <w:ind w:right="20"/>
        <w:spacing w:after="0" w:line="205" w:lineRule="auto"/>
        <w:rPr>
          <w:sz w:val="20"/>
          <w:szCs w:val="20"/>
          <w:color w:val="auto"/>
        </w:rPr>
      </w:pPr>
      <w:r>
        <w:rPr>
          <w:rFonts w:ascii="Arial" w:cs="Arial" w:eastAsia="Arial" w:hAnsi="Arial"/>
          <w:sz w:val="17"/>
          <w:szCs w:val="17"/>
          <w:color w:val="auto"/>
        </w:rPr>
        <w:t>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14" w:lineRule="exact"/>
        <w:rPr>
          <w:sz w:val="20"/>
          <w:szCs w:val="20"/>
          <w:color w:val="auto"/>
        </w:rPr>
      </w:pPr>
    </w:p>
    <w:p>
      <w:pPr>
        <w:ind w:right="80" w:firstLine="1802"/>
        <w:spacing w:after="0" w:line="230" w:lineRule="auto"/>
        <w:tabs>
          <w:tab w:leader="none" w:pos="2418" w:val="left"/>
        </w:tabs>
        <w:numPr>
          <w:ilvl w:val="2"/>
          <w:numId w:val="94"/>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13" w:lineRule="exact"/>
        <w:rPr>
          <w:rFonts w:ascii="Arial" w:cs="Arial" w:eastAsia="Arial" w:hAnsi="Arial"/>
          <w:sz w:val="17"/>
          <w:szCs w:val="17"/>
          <w:color w:val="auto"/>
        </w:rPr>
      </w:pPr>
    </w:p>
    <w:p>
      <w:pPr>
        <w:ind w:right="460" w:firstLine="1802"/>
        <w:spacing w:after="0" w:line="220" w:lineRule="auto"/>
        <w:tabs>
          <w:tab w:leader="none" w:pos="2409" w:val="left"/>
        </w:tabs>
        <w:numPr>
          <w:ilvl w:val="2"/>
          <w:numId w:val="94"/>
        </w:numPr>
        <w:rPr>
          <w:rFonts w:ascii="Arial" w:cs="Arial" w:eastAsia="Arial" w:hAnsi="Arial"/>
          <w:sz w:val="17"/>
          <w:szCs w:val="17"/>
          <w:color w:val="auto"/>
        </w:rPr>
      </w:pPr>
      <w:r>
        <w:rPr>
          <w:rFonts w:ascii="Arial" w:cs="Arial" w:eastAsia="Arial" w:hAnsi="Arial"/>
          <w:sz w:val="17"/>
          <w:szCs w:val="17"/>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13" w:lineRule="exact"/>
        <w:rPr>
          <w:rFonts w:ascii="Arial" w:cs="Arial" w:eastAsia="Arial" w:hAnsi="Arial"/>
          <w:sz w:val="17"/>
          <w:szCs w:val="17"/>
          <w:color w:val="auto"/>
        </w:rPr>
      </w:pPr>
    </w:p>
    <w:p>
      <w:pPr>
        <w:ind w:firstLine="1802"/>
        <w:spacing w:after="0" w:line="244" w:lineRule="auto"/>
        <w:tabs>
          <w:tab w:leader="none" w:pos="2418" w:val="left"/>
        </w:tabs>
        <w:numPr>
          <w:ilvl w:val="2"/>
          <w:numId w:val="94"/>
        </w:numPr>
        <w:rPr>
          <w:rFonts w:ascii="Arial" w:cs="Arial" w:eastAsia="Arial" w:hAnsi="Arial"/>
          <w:sz w:val="15"/>
          <w:szCs w:val="15"/>
          <w:color w:val="auto"/>
        </w:rPr>
      </w:pPr>
      <w:r>
        <w:rPr>
          <w:rFonts w:ascii="Arial" w:cs="Arial" w:eastAsia="Arial" w:hAnsi="Arial"/>
          <w:sz w:val="15"/>
          <w:szCs w:val="15"/>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04" w:lineRule="exact"/>
        <w:rPr>
          <w:rFonts w:ascii="Arial" w:cs="Arial" w:eastAsia="Arial" w:hAnsi="Arial"/>
          <w:sz w:val="15"/>
          <w:szCs w:val="15"/>
          <w:color w:val="auto"/>
        </w:rPr>
      </w:pPr>
    </w:p>
    <w:p>
      <w:pPr>
        <w:ind w:left="1200" w:hanging="599"/>
        <w:spacing w:after="0"/>
        <w:tabs>
          <w:tab w:leader="none" w:pos="1200"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ind w:right="440"/>
        <w:spacing w:after="0" w:line="221" w:lineRule="auto"/>
        <w:tabs>
          <w:tab w:leader="none" w:pos="199"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40"/>
          </w:cols>
          <w:pgMar w:left="320" w:top="1316" w:right="339" w:bottom="1440" w:gutter="0" w:footer="0" w:header="0"/>
        </w:sectPr>
      </w:pPr>
    </w:p>
    <w:bookmarkStart w:id="108" w:name="page109"/>
    <w:bookmarkEnd w:id="108"/>
    <w:p>
      <w:pPr>
        <w:ind w:left="1800" w:hanging="599"/>
        <w:spacing w:after="0"/>
        <w:tabs>
          <w:tab w:leader="none" w:pos="1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delivered in full, or</w:t>
      </w:r>
    </w:p>
    <w:p>
      <w:pPr>
        <w:spacing w:after="0" w:line="129" w:lineRule="exact"/>
        <w:rPr>
          <w:rFonts w:ascii="Arial" w:cs="Arial" w:eastAsia="Arial" w:hAnsi="Arial"/>
          <w:sz w:val="17"/>
          <w:szCs w:val="17"/>
          <w:color w:val="auto"/>
        </w:rPr>
      </w:pPr>
    </w:p>
    <w:p>
      <w:pPr>
        <w:ind w:left="1800" w:hanging="599"/>
        <w:spacing w:after="0"/>
        <w:tabs>
          <w:tab w:leader="none" w:pos="18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delivered as to such lesser extent which would result in no portion of such benefits being subject to excise tax under Section 4999 of the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Code,</w:t>
      </w:r>
    </w:p>
    <w:p>
      <w:pPr>
        <w:spacing w:after="0" w:line="116"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w:t>
      </w:r>
    </w:p>
    <w:p>
      <w:pPr>
        <w:ind w:right="40"/>
        <w:spacing w:after="0" w:line="208" w:lineRule="auto"/>
        <w:rPr>
          <w:sz w:val="20"/>
          <w:szCs w:val="20"/>
          <w:color w:val="auto"/>
        </w:rPr>
      </w:pPr>
      <w:r>
        <w:rPr>
          <w:rFonts w:ascii="Arial" w:cs="Arial" w:eastAsia="Arial" w:hAnsi="Arial"/>
          <w:sz w:val="17"/>
          <w:szCs w:val="17"/>
          <w:color w:val="auto"/>
        </w:rPr>
        <w:t>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15" w:lineRule="exact"/>
        <w:rPr>
          <w:sz w:val="20"/>
          <w:szCs w:val="20"/>
          <w:color w:val="auto"/>
        </w:rPr>
      </w:pPr>
    </w:p>
    <w:p>
      <w:pPr>
        <w:ind w:firstLine="601"/>
        <w:spacing w:after="0" w:line="237" w:lineRule="auto"/>
        <w:rPr>
          <w:sz w:val="20"/>
          <w:szCs w:val="20"/>
          <w:color w:val="auto"/>
        </w:rPr>
      </w:pPr>
      <w:r>
        <w:rPr>
          <w:rFonts w:ascii="Arial" w:cs="Arial" w:eastAsia="Arial" w:hAnsi="Arial"/>
          <w:sz w:val="15"/>
          <w:szCs w:val="15"/>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5"/>
          <w:szCs w:val="15"/>
          <w:b w:val="1"/>
          <w:bCs w:val="1"/>
          <w:i w:val="1"/>
          <w:iCs w:val="1"/>
          <w:color w:val="auto"/>
        </w:rPr>
        <w:t>Firm</w:t>
      </w:r>
      <w:r>
        <w:rPr>
          <w:rFonts w:ascii="Arial" w:cs="Arial" w:eastAsia="Arial" w:hAnsi="Arial"/>
          <w:sz w:val="15"/>
          <w:szCs w:val="15"/>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17" w:lineRule="exact"/>
        <w:rPr>
          <w:sz w:val="20"/>
          <w:szCs w:val="20"/>
          <w:color w:val="auto"/>
        </w:rPr>
      </w:pPr>
    </w:p>
    <w:p>
      <w:pPr>
        <w:ind w:left="1200" w:hanging="599"/>
        <w:spacing w:after="0"/>
        <w:tabs>
          <w:tab w:leader="none" w:pos="120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Definition of Terms</w:t>
      </w:r>
      <w:r>
        <w:rPr>
          <w:rFonts w:ascii="Arial" w:cs="Arial" w:eastAsia="Arial" w:hAnsi="Arial"/>
          <w:sz w:val="17"/>
          <w:szCs w:val="17"/>
          <w:color w:val="auto"/>
        </w:rPr>
        <w:t>. The following terms referred to in this Agreement will have the following meanings:</w:t>
      </w:r>
    </w:p>
    <w:p>
      <w:pPr>
        <w:spacing w:after="0" w:line="129" w:lineRule="exact"/>
        <w:rPr>
          <w:rFonts w:ascii="Arial" w:cs="Arial" w:eastAsia="Arial" w:hAnsi="Arial"/>
          <w:sz w:val="17"/>
          <w:szCs w:val="17"/>
          <w:color w:val="auto"/>
        </w:rPr>
      </w:pPr>
    </w:p>
    <w:p>
      <w:pPr>
        <w:ind w:left="1800" w:hanging="599"/>
        <w:spacing w:after="0"/>
        <w:tabs>
          <w:tab w:leader="none" w:pos="1800"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mean:</w:t>
      </w:r>
    </w:p>
    <w:p>
      <w:pPr>
        <w:spacing w:after="0" w:line="129" w:lineRule="exact"/>
        <w:rPr>
          <w:rFonts w:ascii="Arial" w:cs="Arial" w:eastAsia="Arial" w:hAnsi="Arial"/>
          <w:sz w:val="17"/>
          <w:szCs w:val="17"/>
          <w:color w:val="auto"/>
        </w:rPr>
      </w:pPr>
    </w:p>
    <w:p>
      <w:pPr>
        <w:ind w:left="2420" w:hanging="498"/>
        <w:spacing w:after="0"/>
        <w:tabs>
          <w:tab w:leader="none" w:pos="2420" w:val="left"/>
        </w:tabs>
        <w:numPr>
          <w:ilvl w:val="2"/>
          <w:numId w:val="98"/>
        </w:numPr>
        <w:rPr>
          <w:rFonts w:ascii="Arial" w:cs="Arial" w:eastAsia="Arial" w:hAnsi="Arial"/>
          <w:sz w:val="15"/>
          <w:szCs w:val="15"/>
          <w:color w:val="auto"/>
        </w:rPr>
      </w:pPr>
      <w:r>
        <w:rPr>
          <w:rFonts w:ascii="Arial" w:cs="Arial" w:eastAsia="Arial" w:hAnsi="Arial"/>
          <w:sz w:val="15"/>
          <w:szCs w:val="15"/>
          <w:color w:val="auto"/>
        </w:rPr>
        <w:t>The willful or grossly negligent failure of the Executive to substantially perform his or her duties as an employee of the Company;</w:t>
      </w:r>
    </w:p>
    <w:p>
      <w:pPr>
        <w:spacing w:after="0" w:line="152" w:lineRule="exact"/>
        <w:rPr>
          <w:rFonts w:ascii="Arial" w:cs="Arial" w:eastAsia="Arial" w:hAnsi="Arial"/>
          <w:sz w:val="15"/>
          <w:szCs w:val="15"/>
          <w:color w:val="auto"/>
        </w:rPr>
      </w:pPr>
    </w:p>
    <w:p>
      <w:pPr>
        <w:ind w:left="2420" w:hanging="498"/>
        <w:spacing w:after="0"/>
        <w:tabs>
          <w:tab w:leader="none" w:pos="2420" w:val="left"/>
        </w:tabs>
        <w:numPr>
          <w:ilvl w:val="2"/>
          <w:numId w:val="98"/>
        </w:numPr>
        <w:rPr>
          <w:rFonts w:ascii="Arial" w:cs="Arial" w:eastAsia="Arial" w:hAnsi="Arial"/>
          <w:sz w:val="17"/>
          <w:szCs w:val="17"/>
          <w:color w:val="auto"/>
        </w:rPr>
      </w:pPr>
      <w:r>
        <w:rPr>
          <w:rFonts w:ascii="Arial" w:cs="Arial" w:eastAsia="Arial" w:hAnsi="Arial"/>
          <w:sz w:val="17"/>
          <w:szCs w:val="17"/>
          <w:color w:val="auto"/>
        </w:rPr>
        <w:t>Executive’s commission of a gross misconduct which is injurious to the Company;</w:t>
      </w:r>
    </w:p>
    <w:p>
      <w:pPr>
        <w:spacing w:after="0" w:line="129" w:lineRule="exact"/>
        <w:rPr>
          <w:rFonts w:ascii="Arial" w:cs="Arial" w:eastAsia="Arial" w:hAnsi="Arial"/>
          <w:sz w:val="17"/>
          <w:szCs w:val="17"/>
          <w:color w:val="auto"/>
        </w:rPr>
      </w:pPr>
    </w:p>
    <w:p>
      <w:pPr>
        <w:ind w:left="2440" w:hanging="518"/>
        <w:spacing w:after="0"/>
        <w:tabs>
          <w:tab w:leader="none" w:pos="2440" w:val="left"/>
        </w:tabs>
        <w:numPr>
          <w:ilvl w:val="2"/>
          <w:numId w:val="98"/>
        </w:numPr>
        <w:rPr>
          <w:rFonts w:ascii="Arial" w:cs="Arial" w:eastAsia="Arial" w:hAnsi="Arial"/>
          <w:sz w:val="17"/>
          <w:szCs w:val="17"/>
          <w:color w:val="auto"/>
        </w:rPr>
      </w:pPr>
      <w:r>
        <w:rPr>
          <w:rFonts w:ascii="Arial" w:cs="Arial" w:eastAsia="Arial" w:hAnsi="Arial"/>
          <w:sz w:val="17"/>
          <w:szCs w:val="17"/>
          <w:color w:val="auto"/>
        </w:rPr>
        <w:t>Executive’s breach of a material provision of any agreement between Executive and the Company;</w:t>
      </w:r>
    </w:p>
    <w:p>
      <w:pPr>
        <w:spacing w:after="0" w:line="129" w:lineRule="exact"/>
        <w:rPr>
          <w:rFonts w:ascii="Arial" w:cs="Arial" w:eastAsia="Arial" w:hAnsi="Arial"/>
          <w:sz w:val="17"/>
          <w:szCs w:val="17"/>
          <w:color w:val="auto"/>
        </w:rPr>
      </w:pPr>
    </w:p>
    <w:p>
      <w:pPr>
        <w:ind w:left="2420" w:hanging="498"/>
        <w:spacing w:after="0"/>
        <w:tabs>
          <w:tab w:leader="none" w:pos="2420" w:val="left"/>
        </w:tabs>
        <w:numPr>
          <w:ilvl w:val="2"/>
          <w:numId w:val="98"/>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141" w:lineRule="exact"/>
        <w:rPr>
          <w:rFonts w:ascii="Arial" w:cs="Arial" w:eastAsia="Arial" w:hAnsi="Arial"/>
          <w:sz w:val="16"/>
          <w:szCs w:val="16"/>
          <w:color w:val="auto"/>
        </w:rPr>
      </w:pPr>
    </w:p>
    <w:p>
      <w:pPr>
        <w:ind w:left="2400" w:hanging="478"/>
        <w:spacing w:after="0"/>
        <w:tabs>
          <w:tab w:leader="none" w:pos="2400" w:val="left"/>
        </w:tabs>
        <w:numPr>
          <w:ilvl w:val="2"/>
          <w:numId w:val="98"/>
        </w:numPr>
        <w:rPr>
          <w:rFonts w:ascii="Arial" w:cs="Arial" w:eastAsia="Arial" w:hAnsi="Arial"/>
          <w:sz w:val="15"/>
          <w:szCs w:val="15"/>
          <w:color w:val="auto"/>
        </w:rPr>
      </w:pPr>
      <w:r>
        <w:rPr>
          <w:rFonts w:ascii="Arial" w:cs="Arial" w:eastAsia="Arial" w:hAnsi="Arial"/>
          <w:sz w:val="15"/>
          <w:szCs w:val="15"/>
          <w:color w:val="auto"/>
        </w:rPr>
        <w:t>Executive’s misappropriation or embezzlement of Company funds or Executive’s act of fraud or dishonesty upon the Company; or</w:t>
      </w:r>
    </w:p>
    <w:p>
      <w:pPr>
        <w:spacing w:after="0" w:line="152" w:lineRule="exact"/>
        <w:rPr>
          <w:rFonts w:ascii="Arial" w:cs="Arial" w:eastAsia="Arial" w:hAnsi="Arial"/>
          <w:sz w:val="15"/>
          <w:szCs w:val="15"/>
          <w:color w:val="auto"/>
        </w:rPr>
      </w:pPr>
    </w:p>
    <w:p>
      <w:pPr>
        <w:ind w:right="420" w:firstLine="1922"/>
        <w:spacing w:after="0" w:line="230" w:lineRule="auto"/>
        <w:tabs>
          <w:tab w:leader="none" w:pos="2413" w:val="left"/>
        </w:tabs>
        <w:numPr>
          <w:ilvl w:val="2"/>
          <w:numId w:val="98"/>
        </w:numPr>
        <w:rPr>
          <w:rFonts w:ascii="Arial" w:cs="Arial" w:eastAsia="Arial" w:hAnsi="Arial"/>
          <w:sz w:val="17"/>
          <w:szCs w:val="17"/>
          <w:color w:val="auto"/>
        </w:rPr>
      </w:pPr>
      <w:r>
        <w:rPr>
          <w:rFonts w:ascii="Arial" w:cs="Arial" w:eastAsia="Arial" w:hAnsi="Arial"/>
          <w:sz w:val="17"/>
          <w:szCs w:val="17"/>
          <w:color w:val="auto"/>
        </w:rPr>
        <w:t>Executive’s conviction of, or plea of nolo contendere, to a felony (other than motor vehicle offenses the effect of which do not materially impair Executive’s performance of Executive’s duties for the Company).</w:t>
      </w:r>
    </w:p>
    <w:p>
      <w:pPr>
        <w:spacing w:after="0" w:line="113" w:lineRule="exact"/>
        <w:rPr>
          <w:sz w:val="20"/>
          <w:szCs w:val="20"/>
          <w:color w:val="auto"/>
        </w:rPr>
      </w:pPr>
    </w:p>
    <w:p>
      <w:pPr>
        <w:jc w:val="both"/>
        <w:ind w:right="60"/>
        <w:spacing w:after="0" w:line="220" w:lineRule="auto"/>
        <w:rPr>
          <w:sz w:val="20"/>
          <w:szCs w:val="20"/>
          <w:color w:val="auto"/>
        </w:rPr>
      </w:pPr>
      <w:r>
        <w:rPr>
          <w:rFonts w:ascii="Arial" w:cs="Arial" w:eastAsia="Arial" w:hAnsi="Arial"/>
          <w:sz w:val="17"/>
          <w:szCs w:val="17"/>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40"/>
          </w:cols>
          <w:pgMar w:left="320" w:top="1316" w:right="339" w:bottom="1440" w:gutter="0" w:footer="0" w:header="0"/>
        </w:sectPr>
      </w:pPr>
    </w:p>
    <w:bookmarkStart w:id="109" w:name="page110"/>
    <w:bookmarkEnd w:id="109"/>
    <w:p>
      <w:pPr>
        <w:ind w:right="80"/>
        <w:spacing w:after="0" w:line="220"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13" w:lineRule="exact"/>
        <w:rPr>
          <w:sz w:val="20"/>
          <w:szCs w:val="20"/>
          <w:color w:val="auto"/>
        </w:rPr>
      </w:pPr>
    </w:p>
    <w:p>
      <w:pPr>
        <w:ind w:left="1800" w:hanging="599"/>
        <w:spacing w:after="0"/>
        <w:tabs>
          <w:tab w:leader="none" w:pos="1800"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Change of Control</w:t>
      </w:r>
      <w:r>
        <w:rPr>
          <w:rFonts w:ascii="Arial" w:cs="Arial" w:eastAsia="Arial" w:hAnsi="Arial"/>
          <w:sz w:val="17"/>
          <w:szCs w:val="17"/>
          <w:color w:val="auto"/>
        </w:rPr>
        <w:t>” means the occurrence of any of the following events:</w:t>
      </w:r>
    </w:p>
    <w:p>
      <w:pPr>
        <w:spacing w:after="0" w:line="129" w:lineRule="exact"/>
        <w:rPr>
          <w:rFonts w:ascii="Arial" w:cs="Arial" w:eastAsia="Arial" w:hAnsi="Arial"/>
          <w:sz w:val="17"/>
          <w:szCs w:val="17"/>
          <w:color w:val="auto"/>
        </w:rPr>
      </w:pPr>
    </w:p>
    <w:p>
      <w:pPr>
        <w:ind w:firstLine="1922"/>
        <w:spacing w:after="0" w:line="244" w:lineRule="auto"/>
        <w:tabs>
          <w:tab w:leader="none" w:pos="2417" w:val="left"/>
        </w:tabs>
        <w:numPr>
          <w:ilvl w:val="1"/>
          <w:numId w:val="99"/>
        </w:numPr>
        <w:rPr>
          <w:rFonts w:ascii="Arial" w:cs="Arial" w:eastAsia="Arial" w:hAnsi="Arial"/>
          <w:sz w:val="15"/>
          <w:szCs w:val="15"/>
          <w:color w:val="auto"/>
        </w:rPr>
      </w:pPr>
      <w:r>
        <w:rPr>
          <w:rFonts w:ascii="Arial" w:cs="Arial" w:eastAsia="Arial" w:hAnsi="Arial"/>
          <w:sz w:val="15"/>
          <w:szCs w:val="15"/>
          <w:color w:val="auto"/>
        </w:rPr>
        <w:t>A change in the ownership of the Company which occurs on the date that any one person, or more than one person acting as a group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11" w:lineRule="exact"/>
        <w:rPr>
          <w:rFonts w:ascii="Arial" w:cs="Arial" w:eastAsia="Arial" w:hAnsi="Arial"/>
          <w:sz w:val="15"/>
          <w:szCs w:val="15"/>
          <w:color w:val="auto"/>
        </w:rPr>
      </w:pPr>
    </w:p>
    <w:p>
      <w:pPr>
        <w:jc w:val="both"/>
        <w:ind w:right="200" w:firstLine="1922"/>
        <w:spacing w:after="0" w:line="215" w:lineRule="auto"/>
        <w:tabs>
          <w:tab w:leader="none" w:pos="2426" w:val="left"/>
        </w:tabs>
        <w:numPr>
          <w:ilvl w:val="1"/>
          <w:numId w:val="99"/>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12" w:lineRule="exact"/>
        <w:rPr>
          <w:rFonts w:ascii="Arial" w:cs="Arial" w:eastAsia="Arial" w:hAnsi="Arial"/>
          <w:sz w:val="17"/>
          <w:szCs w:val="17"/>
          <w:color w:val="auto"/>
        </w:rPr>
      </w:pPr>
    </w:p>
    <w:p>
      <w:pPr>
        <w:ind w:right="40" w:firstLine="1922"/>
        <w:spacing w:after="0" w:line="233" w:lineRule="auto"/>
        <w:tabs>
          <w:tab w:leader="none" w:pos="2435" w:val="left"/>
        </w:tabs>
        <w:numPr>
          <w:ilvl w:val="1"/>
          <w:numId w:val="99"/>
        </w:numPr>
        <w:rPr>
          <w:rFonts w:ascii="Arial" w:cs="Arial" w:eastAsia="Arial" w:hAnsi="Arial"/>
          <w:sz w:val="15"/>
          <w:szCs w:val="15"/>
          <w:color w:val="auto"/>
        </w:rPr>
      </w:pPr>
      <w:r>
        <w:rPr>
          <w:rFonts w:ascii="Arial" w:cs="Arial" w:eastAsia="Arial" w:hAnsi="Arial"/>
          <w:sz w:val="15"/>
          <w:szCs w:val="15"/>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15" w:lineRule="exact"/>
        <w:rPr>
          <w:sz w:val="20"/>
          <w:szCs w:val="20"/>
          <w:color w:val="auto"/>
        </w:rPr>
      </w:pPr>
    </w:p>
    <w:p>
      <w:pPr>
        <w:ind w:right="400" w:firstLine="1922"/>
        <w:spacing w:after="0" w:line="230" w:lineRule="auto"/>
        <w:rPr>
          <w:sz w:val="20"/>
          <w:szCs w:val="20"/>
          <w:color w:val="auto"/>
        </w:rPr>
      </w:pPr>
      <w:r>
        <w:rPr>
          <w:rFonts w:ascii="Arial" w:cs="Arial" w:eastAsia="Arial" w:hAnsi="Arial"/>
          <w:sz w:val="17"/>
          <w:szCs w:val="17"/>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13" w:lineRule="exact"/>
        <w:rPr>
          <w:sz w:val="20"/>
          <w:szCs w:val="20"/>
          <w:color w:val="auto"/>
        </w:rPr>
      </w:pPr>
    </w:p>
    <w:p>
      <w:pPr>
        <w:ind w:right="40" w:firstLine="1922"/>
        <w:spacing w:after="0" w:line="220"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13" w:lineRule="exact"/>
        <w:rPr>
          <w:sz w:val="20"/>
          <w:szCs w:val="20"/>
          <w:color w:val="auto"/>
        </w:rPr>
      </w:pPr>
    </w:p>
    <w:p>
      <w:pPr>
        <w:jc w:val="both"/>
        <w:ind w:right="200" w:firstLine="1802"/>
        <w:spacing w:after="0" w:line="220"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06" w:lineRule="exact"/>
        <w:rPr>
          <w:sz w:val="20"/>
          <w:szCs w:val="20"/>
          <w:color w:val="auto"/>
        </w:rPr>
      </w:pPr>
    </w:p>
    <w:p>
      <w:pPr>
        <w:ind w:left="1820" w:hanging="619"/>
        <w:spacing w:after="0"/>
        <w:tabs>
          <w:tab w:leader="none" w:pos="1820"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w:t>
      </w:r>
      <w:r>
        <w:rPr>
          <w:rFonts w:ascii="Arial" w:cs="Arial" w:eastAsia="Arial" w:hAnsi="Arial"/>
          <w:sz w:val="16"/>
          <w:szCs w:val="16"/>
          <w:b w:val="1"/>
          <w:bCs w:val="1"/>
          <w:i w:val="1"/>
          <w:iCs w:val="1"/>
          <w:color w:val="auto"/>
        </w:rPr>
        <w:t>Change of Control Period</w:t>
      </w:r>
      <w:r>
        <w:rPr>
          <w:rFonts w:ascii="Arial" w:cs="Arial" w:eastAsia="Arial" w:hAnsi="Arial"/>
          <w:sz w:val="16"/>
          <w:szCs w:val="16"/>
          <w:color w:val="auto"/>
        </w:rPr>
        <w:t>” will mean the period beginning two (2) months prior to, and ending twelve</w:t>
      </w:r>
    </w:p>
    <w:p>
      <w:pPr>
        <w:ind w:left="320" w:hanging="320"/>
        <w:spacing w:after="0"/>
        <w:tabs>
          <w:tab w:leader="none" w:pos="3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months following, a Change of Control.</w:t>
      </w:r>
    </w:p>
    <w:p>
      <w:pPr>
        <w:spacing w:after="0" w:line="115" w:lineRule="exact"/>
        <w:rPr>
          <w:rFonts w:ascii="Arial" w:cs="Arial" w:eastAsia="Arial" w:hAnsi="Arial"/>
          <w:sz w:val="17"/>
          <w:szCs w:val="17"/>
          <w:color w:val="auto"/>
        </w:rPr>
      </w:pPr>
    </w:p>
    <w:p>
      <w:pPr>
        <w:ind w:left="1800" w:hanging="599"/>
        <w:spacing w:after="0"/>
        <w:tabs>
          <w:tab w:leader="none" w:pos="1800"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will mean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40"/>
          </w:cols>
          <w:pgMar w:left="320" w:top="1315" w:right="339" w:bottom="1440" w:gutter="0" w:footer="0" w:header="0"/>
        </w:sectPr>
      </w:pPr>
    </w:p>
    <w:bookmarkStart w:id="110" w:name="page111"/>
    <w:bookmarkEnd w:id="110"/>
    <w:p>
      <w:pPr>
        <w:ind w:right="220" w:firstLine="1201"/>
        <w:spacing w:after="0" w:line="236" w:lineRule="auto"/>
        <w:tabs>
          <w:tab w:leader="none" w:pos="1812" w:val="left"/>
        </w:tabs>
        <w:numPr>
          <w:ilvl w:val="1"/>
          <w:numId w:val="102"/>
        </w:numPr>
        <w:rPr>
          <w:rFonts w:ascii="Arial" w:cs="Arial" w:eastAsia="Arial" w:hAnsi="Arial"/>
          <w:sz w:val="15"/>
          <w:szCs w:val="15"/>
          <w:color w:val="auto"/>
        </w:rPr>
      </w:pPr>
      <w:r>
        <w:rPr>
          <w:rFonts w:ascii="Arial" w:cs="Arial" w:eastAsia="Arial" w:hAnsi="Arial"/>
          <w:sz w:val="15"/>
          <w:szCs w:val="15"/>
          <w:u w:val="single" w:color="auto"/>
          <w:color w:val="auto"/>
        </w:rPr>
        <w:t>Disability</w:t>
      </w:r>
      <w:r>
        <w:rPr>
          <w:rFonts w:ascii="Arial" w:cs="Arial" w:eastAsia="Arial" w:hAnsi="Arial"/>
          <w:sz w:val="15"/>
          <w:szCs w:val="15"/>
          <w:color w:val="auto"/>
        </w:rPr>
        <w:t>. “</w:t>
      </w:r>
      <w:r>
        <w:rPr>
          <w:rFonts w:ascii="Arial" w:cs="Arial" w:eastAsia="Arial" w:hAnsi="Arial"/>
          <w:sz w:val="15"/>
          <w:szCs w:val="15"/>
          <w:b w:val="1"/>
          <w:bCs w:val="1"/>
          <w:i w:val="1"/>
          <w:iCs w:val="1"/>
          <w:color w:val="auto"/>
        </w:rPr>
        <w:t>Disability</w:t>
      </w:r>
      <w:r>
        <w:rPr>
          <w:rFonts w:ascii="Arial" w:cs="Arial" w:eastAsia="Arial" w:hAnsi="Arial"/>
          <w:sz w:val="15"/>
          <w:szCs w:val="15"/>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w:t>
      </w:r>
    </w:p>
    <w:p>
      <w:pPr>
        <w:ind w:right="40"/>
        <w:spacing w:after="0" w:line="210" w:lineRule="auto"/>
        <w:tabs>
          <w:tab w:leader="none" w:pos="3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15" w:lineRule="exact"/>
        <w:rPr>
          <w:rFonts w:ascii="Arial" w:cs="Arial" w:eastAsia="Arial" w:hAnsi="Arial"/>
          <w:sz w:val="17"/>
          <w:szCs w:val="17"/>
          <w:color w:val="auto"/>
        </w:rPr>
      </w:pPr>
    </w:p>
    <w:p>
      <w:pPr>
        <w:ind w:right="660" w:firstLine="1201"/>
        <w:spacing w:after="0" w:line="230" w:lineRule="auto"/>
        <w:tabs>
          <w:tab w:leader="none" w:pos="1806"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mean Executive’s outstanding stock options, stock appreciation rights, restricted stock units, performance shares, performance stock units and any other Company equity compensation awards.</w:t>
      </w:r>
    </w:p>
    <w:p>
      <w:pPr>
        <w:spacing w:after="0" w:line="113" w:lineRule="exact"/>
        <w:rPr>
          <w:rFonts w:ascii="Arial" w:cs="Arial" w:eastAsia="Arial" w:hAnsi="Arial"/>
          <w:sz w:val="17"/>
          <w:szCs w:val="17"/>
          <w:color w:val="auto"/>
        </w:rPr>
      </w:pPr>
    </w:p>
    <w:p>
      <w:pPr>
        <w:ind w:firstLine="1201"/>
        <w:spacing w:after="0" w:line="230" w:lineRule="auto"/>
        <w:tabs>
          <w:tab w:leader="none" w:pos="1821"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13" w:lineRule="exact"/>
        <w:rPr>
          <w:rFonts w:ascii="Arial" w:cs="Arial" w:eastAsia="Arial" w:hAnsi="Arial"/>
          <w:sz w:val="17"/>
          <w:szCs w:val="17"/>
          <w:color w:val="auto"/>
        </w:rPr>
      </w:pPr>
    </w:p>
    <w:p>
      <w:pPr>
        <w:ind w:right="60" w:firstLine="1922"/>
        <w:spacing w:after="0" w:line="233" w:lineRule="auto"/>
        <w:tabs>
          <w:tab w:leader="none" w:pos="2417" w:val="left"/>
        </w:tabs>
        <w:numPr>
          <w:ilvl w:val="2"/>
          <w:numId w:val="103"/>
        </w:numPr>
        <w:rPr>
          <w:rFonts w:ascii="Arial" w:cs="Arial" w:eastAsia="Arial" w:hAnsi="Arial"/>
          <w:sz w:val="16"/>
          <w:szCs w:val="16"/>
          <w:color w:val="auto"/>
        </w:rPr>
      </w:pPr>
      <w:r>
        <w:rPr>
          <w:rFonts w:ascii="Arial" w:cs="Arial" w:eastAsia="Arial" w:hAnsi="Arial"/>
          <w:sz w:val="16"/>
          <w:szCs w:val="16"/>
          <w:color w:val="auto"/>
        </w:rPr>
        <w:t>a material reduction of Executive’s responsibilities relative to Executive’s responsibilities in effect immediately prior to 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14" w:lineRule="exact"/>
        <w:rPr>
          <w:rFonts w:ascii="Arial" w:cs="Arial" w:eastAsia="Arial" w:hAnsi="Arial"/>
          <w:sz w:val="16"/>
          <w:szCs w:val="16"/>
          <w:color w:val="auto"/>
        </w:rPr>
      </w:pPr>
    </w:p>
    <w:p>
      <w:pPr>
        <w:ind w:right="20" w:firstLine="1922"/>
        <w:spacing w:after="0" w:line="230" w:lineRule="auto"/>
        <w:tabs>
          <w:tab w:leader="none" w:pos="2426" w:val="left"/>
        </w:tabs>
        <w:numPr>
          <w:ilvl w:val="2"/>
          <w:numId w:val="103"/>
        </w:numPr>
        <w:rPr>
          <w:rFonts w:ascii="Arial" w:cs="Arial" w:eastAsia="Arial" w:hAnsi="Arial"/>
          <w:sz w:val="17"/>
          <w:szCs w:val="17"/>
          <w:color w:val="auto"/>
        </w:rPr>
      </w:pPr>
      <w:r>
        <w:rPr>
          <w:rFonts w:ascii="Arial" w:cs="Arial" w:eastAsia="Arial" w:hAnsi="Arial"/>
          <w:sz w:val="17"/>
          <w:szCs w:val="17"/>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13" w:lineRule="exact"/>
        <w:rPr>
          <w:rFonts w:ascii="Arial" w:cs="Arial" w:eastAsia="Arial" w:hAnsi="Arial"/>
          <w:sz w:val="17"/>
          <w:szCs w:val="17"/>
          <w:color w:val="auto"/>
        </w:rPr>
      </w:pPr>
    </w:p>
    <w:p>
      <w:pPr>
        <w:ind w:right="60" w:firstLine="1922"/>
        <w:spacing w:after="0" w:line="233" w:lineRule="auto"/>
        <w:tabs>
          <w:tab w:leader="none" w:pos="2435" w:val="left"/>
        </w:tabs>
        <w:numPr>
          <w:ilvl w:val="2"/>
          <w:numId w:val="103"/>
        </w:numPr>
        <w:rPr>
          <w:rFonts w:ascii="Arial" w:cs="Arial" w:eastAsia="Arial" w:hAnsi="Arial"/>
          <w:sz w:val="16"/>
          <w:szCs w:val="16"/>
          <w:color w:val="auto"/>
        </w:rPr>
      </w:pPr>
      <w:r>
        <w:rPr>
          <w:rFonts w:ascii="Arial" w:cs="Arial" w:eastAsia="Arial" w:hAnsi="Arial"/>
          <w:sz w:val="16"/>
          <w:szCs w:val="16"/>
          <w:color w:val="auto"/>
        </w:rPr>
        <w:t>following a Change of Control, Executive not be provided compensation in the aggregate that is substantially similar to 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14" w:lineRule="exact"/>
        <w:rPr>
          <w:rFonts w:ascii="Arial" w:cs="Arial" w:eastAsia="Arial" w:hAnsi="Arial"/>
          <w:sz w:val="16"/>
          <w:szCs w:val="16"/>
          <w:color w:val="auto"/>
        </w:rPr>
      </w:pPr>
    </w:p>
    <w:p>
      <w:pPr>
        <w:ind w:left="2420" w:hanging="498"/>
        <w:spacing w:after="0"/>
        <w:tabs>
          <w:tab w:leader="none" w:pos="2420" w:val="left"/>
        </w:tabs>
        <w:numPr>
          <w:ilvl w:val="2"/>
          <w:numId w:val="103"/>
        </w:numPr>
        <w:rPr>
          <w:rFonts w:ascii="Arial" w:cs="Arial" w:eastAsia="Arial" w:hAnsi="Arial"/>
          <w:sz w:val="15"/>
          <w:szCs w:val="15"/>
          <w:color w:val="auto"/>
        </w:rPr>
      </w:pPr>
      <w:r>
        <w:rPr>
          <w:rFonts w:ascii="Arial" w:cs="Arial" w:eastAsia="Arial" w:hAnsi="Arial"/>
          <w:sz w:val="15"/>
          <w:szCs w:val="15"/>
          <w:color w:val="auto"/>
        </w:rPr>
        <w:t>the relocation of Executive’s principal place of performing his or her duties as an employee of the Company by more than fifty (50)</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miles.</w:t>
      </w:r>
    </w:p>
    <w:p>
      <w:pPr>
        <w:spacing w:after="0" w:line="116" w:lineRule="exact"/>
        <w:rPr>
          <w:sz w:val="20"/>
          <w:szCs w:val="20"/>
          <w:color w:val="auto"/>
        </w:rPr>
      </w:pPr>
    </w:p>
    <w:p>
      <w:pPr>
        <w:jc w:val="both"/>
        <w:ind w:right="60"/>
        <w:spacing w:after="0" w:line="220" w:lineRule="auto"/>
        <w:rPr>
          <w:sz w:val="20"/>
          <w:szCs w:val="20"/>
          <w:color w:val="auto"/>
        </w:rPr>
      </w:pPr>
      <w:r>
        <w:rPr>
          <w:rFonts w:ascii="Arial" w:cs="Arial" w:eastAsia="Arial" w:hAnsi="Arial"/>
          <w:sz w:val="17"/>
          <w:szCs w:val="17"/>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the “Good Reason” definition, the term “Company” will be interpreted to include any subsidiary, parent, affiliate or successor thereto, if applicable.</w:t>
      </w:r>
    </w:p>
    <w:p>
      <w:pPr>
        <w:spacing w:after="0" w:line="153" w:lineRule="exact"/>
        <w:rPr>
          <w:sz w:val="20"/>
          <w:szCs w:val="20"/>
          <w:color w:val="auto"/>
        </w:rPr>
      </w:pPr>
    </w:p>
    <w:p>
      <w:pPr>
        <w:ind w:right="100" w:firstLine="1201"/>
        <w:spacing w:after="0" w:line="211" w:lineRule="auto"/>
        <w:tabs>
          <w:tab w:leader="none" w:pos="1808" w:val="left"/>
        </w:tabs>
        <w:numPr>
          <w:ilvl w:val="1"/>
          <w:numId w:val="104"/>
        </w:numPr>
        <w:rPr>
          <w:rFonts w:ascii="Arial" w:cs="Arial" w:eastAsia="Arial" w:hAnsi="Arial"/>
          <w:sz w:val="17"/>
          <w:szCs w:val="17"/>
          <w:color w:val="auto"/>
        </w:rPr>
      </w:pPr>
      <w:r>
        <w:rPr>
          <w:rFonts w:ascii="Arial" w:cs="Arial" w:eastAsia="Arial" w:hAnsi="Arial"/>
          <w:sz w:val="17"/>
          <w:szCs w:val="17"/>
          <w:u w:val="single" w:color="auto"/>
          <w:color w:val="auto"/>
        </w:rPr>
        <w:t>Section 409A Limit</w:t>
      </w:r>
      <w:r>
        <w:rPr>
          <w:rFonts w:ascii="Arial" w:cs="Arial" w:eastAsia="Arial" w:hAnsi="Arial"/>
          <w:sz w:val="17"/>
          <w:szCs w:val="17"/>
          <w:color w:val="auto"/>
        </w:rPr>
        <w:t>. “</w:t>
      </w:r>
      <w:r>
        <w:rPr>
          <w:rFonts w:ascii="Arial" w:cs="Arial" w:eastAsia="Arial" w:hAnsi="Arial"/>
          <w:sz w:val="17"/>
          <w:szCs w:val="17"/>
          <w:b w:val="1"/>
          <w:bCs w:val="1"/>
          <w:i w:val="1"/>
          <w:iCs w:val="1"/>
          <w:color w:val="auto"/>
        </w:rPr>
        <w:t>Section 409A Limit</w:t>
      </w:r>
      <w:r>
        <w:rPr>
          <w:rFonts w:ascii="Arial" w:cs="Arial" w:eastAsia="Arial" w:hAnsi="Arial"/>
          <w:sz w:val="17"/>
          <w:szCs w:val="17"/>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16" w:lineRule="exact"/>
        <w:rPr>
          <w:rFonts w:ascii="Arial" w:cs="Arial" w:eastAsia="Arial" w:hAnsi="Arial"/>
          <w:sz w:val="17"/>
          <w:szCs w:val="17"/>
          <w:color w:val="auto"/>
        </w:rPr>
      </w:pPr>
    </w:p>
    <w:p>
      <w:pPr>
        <w:ind w:left="1200" w:hanging="599"/>
        <w:spacing w:after="0"/>
        <w:tabs>
          <w:tab w:leader="none" w:pos="120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20"/>
          </w:cols>
          <w:pgMar w:left="320" w:top="1315" w:right="359" w:bottom="1440" w:gutter="0" w:footer="0" w:header="0"/>
        </w:sectPr>
      </w:pPr>
    </w:p>
    <w:bookmarkStart w:id="111" w:name="page112"/>
    <w:bookmarkEnd w:id="111"/>
    <w:p>
      <w:pPr>
        <w:ind w:right="60" w:firstLine="1201"/>
        <w:spacing w:after="0"/>
        <w:tabs>
          <w:tab w:leader="none" w:pos="1799" w:val="left"/>
        </w:tabs>
        <w:numPr>
          <w:ilvl w:val="1"/>
          <w:numId w:val="106"/>
        </w:numPr>
        <w:rPr>
          <w:rFonts w:ascii="Arial" w:cs="Arial" w:eastAsia="Arial" w:hAnsi="Arial"/>
          <w:sz w:val="15"/>
          <w:szCs w:val="15"/>
          <w:color w:val="auto"/>
        </w:rPr>
      </w:pPr>
      <w:r>
        <w:rPr>
          <w:rFonts w:ascii="Arial" w:cs="Arial" w:eastAsia="Arial" w:hAnsi="Arial"/>
          <w:sz w:val="15"/>
          <w:szCs w:val="15"/>
          <w:u w:val="single" w:color="auto"/>
          <w:color w:val="auto"/>
        </w:rPr>
        <w:t>The Company’s Successors</w:t>
      </w:r>
      <w:r>
        <w:rPr>
          <w:rFonts w:ascii="Arial" w:cs="Arial" w:eastAsia="Arial" w:hAnsi="Arial"/>
          <w:sz w:val="15"/>
          <w:szCs w:val="15"/>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13" w:lineRule="exact"/>
        <w:rPr>
          <w:rFonts w:ascii="Arial" w:cs="Arial" w:eastAsia="Arial" w:hAnsi="Arial"/>
          <w:sz w:val="15"/>
          <w:szCs w:val="15"/>
          <w:color w:val="auto"/>
        </w:rPr>
      </w:pPr>
    </w:p>
    <w:p>
      <w:pPr>
        <w:ind w:right="180" w:firstLine="1201"/>
        <w:spacing w:after="0" w:line="230" w:lineRule="auto"/>
        <w:tabs>
          <w:tab w:leader="none" w:pos="1808"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Executive’s Successors</w:t>
      </w:r>
      <w:r>
        <w:rPr>
          <w:rFonts w:ascii="Arial" w:cs="Arial" w:eastAsia="Arial" w:hAnsi="Arial"/>
          <w:sz w:val="17"/>
          <w:szCs w:val="17"/>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13" w:lineRule="exact"/>
        <w:rPr>
          <w:rFonts w:ascii="Arial" w:cs="Arial" w:eastAsia="Arial" w:hAnsi="Arial"/>
          <w:sz w:val="17"/>
          <w:szCs w:val="17"/>
          <w:color w:val="auto"/>
        </w:rPr>
      </w:pPr>
    </w:p>
    <w:p>
      <w:pPr>
        <w:ind w:left="1200" w:hanging="599"/>
        <w:spacing w:after="0"/>
        <w:tabs>
          <w:tab w:leader="none" w:pos="120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w:t>
      </w:r>
    </w:p>
    <w:p>
      <w:pPr>
        <w:spacing w:after="0" w:line="129" w:lineRule="exact"/>
        <w:rPr>
          <w:rFonts w:ascii="Arial" w:cs="Arial" w:eastAsia="Arial" w:hAnsi="Arial"/>
          <w:sz w:val="17"/>
          <w:szCs w:val="17"/>
          <w:color w:val="auto"/>
        </w:rPr>
      </w:pPr>
    </w:p>
    <w:p>
      <w:pPr>
        <w:ind w:right="60" w:firstLine="1201"/>
        <w:spacing w:after="0" w:line="223" w:lineRule="auto"/>
        <w:tabs>
          <w:tab w:leader="none" w:pos="1799"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12" w:lineRule="exact"/>
        <w:rPr>
          <w:rFonts w:ascii="Arial" w:cs="Arial" w:eastAsia="Arial" w:hAnsi="Arial"/>
          <w:sz w:val="16"/>
          <w:szCs w:val="16"/>
          <w:color w:val="auto"/>
        </w:rPr>
      </w:pPr>
    </w:p>
    <w:p>
      <w:pPr>
        <w:ind w:right="120" w:firstLine="1201"/>
        <w:spacing w:after="0" w:line="228" w:lineRule="auto"/>
        <w:tabs>
          <w:tab w:leader="none" w:pos="1808"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14" w:lineRule="exact"/>
        <w:rPr>
          <w:rFonts w:ascii="Arial" w:cs="Arial" w:eastAsia="Arial" w:hAnsi="Arial"/>
          <w:sz w:val="16"/>
          <w:szCs w:val="16"/>
          <w:color w:val="auto"/>
        </w:rPr>
      </w:pPr>
    </w:p>
    <w:p>
      <w:pPr>
        <w:jc w:val="both"/>
        <w:ind w:right="340" w:firstLine="601"/>
        <w:spacing w:after="0" w:line="233" w:lineRule="auto"/>
        <w:tabs>
          <w:tab w:leader="none" w:pos="120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14" w:lineRule="exact"/>
        <w:rPr>
          <w:rFonts w:ascii="Arial" w:cs="Arial" w:eastAsia="Arial" w:hAnsi="Arial"/>
          <w:sz w:val="16"/>
          <w:szCs w:val="16"/>
          <w:color w:val="auto"/>
        </w:rPr>
      </w:pPr>
    </w:p>
    <w:p>
      <w:pPr>
        <w:ind w:left="1200" w:hanging="599"/>
        <w:spacing w:after="0"/>
        <w:tabs>
          <w:tab w:leader="none" w:pos="120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125" w:lineRule="exact"/>
        <w:rPr>
          <w:rFonts w:ascii="Arial" w:cs="Arial" w:eastAsia="Arial" w:hAnsi="Arial"/>
          <w:sz w:val="17"/>
          <w:szCs w:val="17"/>
          <w:color w:val="auto"/>
        </w:rPr>
      </w:pPr>
    </w:p>
    <w:p>
      <w:pPr>
        <w:ind w:firstLine="1201"/>
        <w:spacing w:after="0" w:line="209" w:lineRule="auto"/>
        <w:tabs>
          <w:tab w:leader="none" w:pos="1799"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pacing w:after="0" w:line="109" w:lineRule="exact"/>
        <w:rPr>
          <w:rFonts w:ascii="Arial" w:cs="Arial" w:eastAsia="Arial" w:hAnsi="Arial"/>
          <w:sz w:val="17"/>
          <w:szCs w:val="17"/>
          <w:color w:val="auto"/>
        </w:rPr>
      </w:pPr>
    </w:p>
    <w:p>
      <w:pPr>
        <w:ind w:right="100" w:firstLine="1201"/>
        <w:spacing w:after="0" w:line="212" w:lineRule="auto"/>
        <w:tabs>
          <w:tab w:leader="none" w:pos="1808" w:val="left"/>
        </w:tabs>
        <w:numPr>
          <w:ilvl w:val="1"/>
          <w:numId w:val="107"/>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xml:space="preserve">. </w:t>
      </w:r>
      <w:r>
        <w:rPr>
          <w:rFonts w:ascii="Arial" w:cs="Arial" w:eastAsia="Arial" w:hAnsi="Arial"/>
          <w:sz w:val="17"/>
          <w:szCs w:val="17"/>
          <w:b w:val="1"/>
          <w:bCs w:val="1"/>
          <w:color w:val="auto"/>
        </w:rPr>
        <w:t>Disputes that Executive agrees to arbitrate, and thereby agrees to waive any right to a trial by jury, include any</w:t>
      </w:r>
      <w:r>
        <w:rPr>
          <w:rFonts w:ascii="Arial" w:cs="Arial" w:eastAsia="Arial" w:hAnsi="Arial"/>
          <w:sz w:val="17"/>
          <w:szCs w:val="17"/>
          <w:color w:val="auto"/>
        </w:rPr>
        <w:t xml:space="preserve"> </w:t>
      </w:r>
      <w:r>
        <w:rPr>
          <w:rFonts w:ascii="Arial" w:cs="Arial" w:eastAsia="Arial" w:hAnsi="Arial"/>
          <w:sz w:val="17"/>
          <w:szCs w:val="17"/>
          <w:b w:val="1"/>
          <w:bCs w:val="1"/>
          <w:color w:val="auto"/>
        </w:rPr>
        <w:t>statutory claims under local, state, or federal law</w:t>
      </w:r>
      <w:r>
        <w:rPr>
          <w:rFonts w:ascii="Arial" w:cs="Arial" w:eastAsia="Arial" w:hAnsi="Arial"/>
          <w:sz w:val="17"/>
          <w:szCs w:val="17"/>
          <w:color w:val="auto"/>
        </w:rPr>
        <w:t>, including, but not limited to, claims under Title VII of the Civil Rights Act of 1964, the Americans with</w:t>
      </w:r>
      <w:r>
        <w:rPr>
          <w:rFonts w:ascii="Arial" w:cs="Arial" w:eastAsia="Arial" w:hAnsi="Arial"/>
          <w:sz w:val="17"/>
          <w:szCs w:val="17"/>
          <w:b w:val="1"/>
          <w:bCs w:val="1"/>
          <w:color w:val="auto"/>
        </w:rPr>
        <w:t xml:space="preserve"> </w:t>
      </w:r>
      <w:r>
        <w:rPr>
          <w:rFonts w:ascii="Arial" w:cs="Arial" w:eastAsia="Arial" w:hAnsi="Arial"/>
          <w:sz w:val="17"/>
          <w:szCs w:val="17"/>
          <w:color w:val="auto"/>
        </w:rPr>
        <w:t>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20"/>
          </w:cols>
          <w:pgMar w:left="320" w:top="1315" w:right="359" w:bottom="1440" w:gutter="0" w:footer="0" w:header="0"/>
        </w:sectPr>
      </w:pPr>
    </w:p>
    <w:bookmarkStart w:id="112" w:name="page113"/>
    <w:bookmarkEnd w:id="112"/>
    <w:p>
      <w:pPr>
        <w:ind w:right="300"/>
        <w:spacing w:after="0" w:line="230" w:lineRule="auto"/>
        <w:rPr>
          <w:sz w:val="20"/>
          <w:szCs w:val="20"/>
          <w:color w:val="auto"/>
        </w:rPr>
      </w:pPr>
      <w:r>
        <w:rPr>
          <w:rFonts w:ascii="Arial" w:cs="Arial" w:eastAsia="Arial" w:hAnsi="Arial"/>
          <w:sz w:val="17"/>
          <w:szCs w:val="17"/>
          <w:color w:val="auto"/>
        </w:rPr>
        <w:t>harassment, discrimination, and wrongful termination, and any statutory or common law claims. Executive further understands that this Agreement to arbitrate also applies to any disputes that the Company may have with Executive.</w:t>
      </w:r>
    </w:p>
    <w:p>
      <w:pPr>
        <w:spacing w:after="0" w:line="113" w:lineRule="exact"/>
        <w:rPr>
          <w:sz w:val="20"/>
          <w:szCs w:val="20"/>
          <w:color w:val="auto"/>
        </w:rPr>
      </w:pPr>
    </w:p>
    <w:p>
      <w:pPr>
        <w:ind w:right="60" w:firstLine="1251"/>
        <w:spacing w:after="0" w:line="233" w:lineRule="auto"/>
        <w:tabs>
          <w:tab w:leader="none" w:pos="1812" w:val="left"/>
        </w:tabs>
        <w:numPr>
          <w:ilvl w:val="2"/>
          <w:numId w:val="108"/>
        </w:numPr>
        <w:rPr>
          <w:rFonts w:ascii="Arial" w:cs="Arial" w:eastAsia="Arial" w:hAnsi="Arial"/>
          <w:sz w:val="15"/>
          <w:szCs w:val="15"/>
          <w:color w:val="auto"/>
        </w:rPr>
      </w:pPr>
      <w:r>
        <w:rPr>
          <w:rFonts w:ascii="Arial" w:cs="Arial" w:eastAsia="Arial" w:hAnsi="Arial"/>
          <w:sz w:val="15"/>
          <w:szCs w:val="15"/>
          <w:u w:val="single" w:color="auto"/>
          <w:color w:val="auto"/>
        </w:rPr>
        <w:t>Procedure</w:t>
      </w:r>
      <w:r>
        <w:rPr>
          <w:rFonts w:ascii="Arial" w:cs="Arial" w:eastAsia="Arial" w:hAnsi="Arial"/>
          <w:sz w:val="15"/>
          <w:szCs w:val="15"/>
          <w:color w:val="auto"/>
        </w:rPr>
        <w:t>. Executive agrees that any arbitration will be administered by the Judicial Arbitration &amp; Mediation Services, Inc. (“</w:t>
      </w:r>
      <w:r>
        <w:rPr>
          <w:rFonts w:ascii="Arial" w:cs="Arial" w:eastAsia="Arial" w:hAnsi="Arial"/>
          <w:sz w:val="15"/>
          <w:szCs w:val="15"/>
          <w:b w:val="1"/>
          <w:bCs w:val="1"/>
          <w:i w:val="1"/>
          <w:iCs w:val="1"/>
          <w:color w:val="auto"/>
        </w:rPr>
        <w:t>JAMS</w:t>
      </w:r>
      <w:r>
        <w:rPr>
          <w:rFonts w:ascii="Arial" w:cs="Arial" w:eastAsia="Arial" w:hAnsi="Arial"/>
          <w:sz w:val="15"/>
          <w:szCs w:val="15"/>
          <w:color w:val="auto"/>
        </w:rPr>
        <w:t>”), pursuant to its Employment Arbitration Rules &amp; Procedures (the “</w:t>
      </w:r>
      <w:r>
        <w:rPr>
          <w:rFonts w:ascii="Arial" w:cs="Arial" w:eastAsia="Arial" w:hAnsi="Arial"/>
          <w:sz w:val="15"/>
          <w:szCs w:val="15"/>
          <w:b w:val="1"/>
          <w:bCs w:val="1"/>
          <w:i w:val="1"/>
          <w:iCs w:val="1"/>
          <w:color w:val="auto"/>
        </w:rPr>
        <w:t>JAMS Rules</w:t>
      </w:r>
      <w:r>
        <w:rPr>
          <w:rFonts w:ascii="Arial" w:cs="Arial" w:eastAsia="Arial" w:hAnsi="Arial"/>
          <w:sz w:val="15"/>
          <w:szCs w:val="15"/>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14" w:lineRule="exact"/>
        <w:rPr>
          <w:rFonts w:ascii="Arial" w:cs="Arial" w:eastAsia="Arial" w:hAnsi="Arial"/>
          <w:sz w:val="15"/>
          <w:szCs w:val="15"/>
          <w:color w:val="auto"/>
        </w:rPr>
      </w:pPr>
    </w:p>
    <w:p>
      <w:pPr>
        <w:ind w:right="100" w:firstLine="1201"/>
        <w:spacing w:after="0" w:line="244" w:lineRule="auto"/>
        <w:tabs>
          <w:tab w:leader="none" w:pos="1808" w:val="left"/>
        </w:tabs>
        <w:numPr>
          <w:ilvl w:val="1"/>
          <w:numId w:val="109"/>
        </w:numPr>
        <w:rPr>
          <w:rFonts w:ascii="Arial" w:cs="Arial" w:eastAsia="Arial" w:hAnsi="Arial"/>
          <w:sz w:val="15"/>
          <w:szCs w:val="15"/>
          <w:color w:val="auto"/>
        </w:rPr>
      </w:pPr>
      <w:r>
        <w:rPr>
          <w:rFonts w:ascii="Arial" w:cs="Arial" w:eastAsia="Arial" w:hAnsi="Arial"/>
          <w:sz w:val="15"/>
          <w:szCs w:val="15"/>
          <w:u w:val="single" w:color="auto"/>
          <w:color w:val="auto"/>
        </w:rPr>
        <w:t>Remedy</w:t>
      </w:r>
      <w:r>
        <w:rPr>
          <w:rFonts w:ascii="Arial" w:cs="Arial" w:eastAsia="Arial" w:hAnsi="Arial"/>
          <w:sz w:val="15"/>
          <w:szCs w:val="15"/>
          <w:color w:val="auto"/>
        </w:rPr>
        <w:t xml:space="preserve">. Except as provided by the Act, arbitration will be the sole, exclusive, and final remedy for any dispute between Executive and the Company. </w:t>
      </w:r>
      <w:r>
        <w:rPr>
          <w:rFonts w:ascii="Arial" w:cs="Arial" w:eastAsia="Arial" w:hAnsi="Arial"/>
          <w:sz w:val="15"/>
          <w:szCs w:val="15"/>
          <w:b w:val="1"/>
          <w:bCs w:val="1"/>
          <w:color w:val="auto"/>
        </w:rPr>
        <w:t>Accordingly, except as provided by the Act and this Agreement, neither Executive nor the Company will be permitted to pursue court action</w:t>
      </w:r>
      <w:r>
        <w:rPr>
          <w:rFonts w:ascii="Arial" w:cs="Arial" w:eastAsia="Arial" w:hAnsi="Arial"/>
          <w:sz w:val="15"/>
          <w:szCs w:val="15"/>
          <w:color w:val="auto"/>
        </w:rPr>
        <w:t xml:space="preserve"> </w:t>
      </w:r>
      <w:r>
        <w:rPr>
          <w:rFonts w:ascii="Arial" w:cs="Arial" w:eastAsia="Arial" w:hAnsi="Arial"/>
          <w:sz w:val="15"/>
          <w:szCs w:val="15"/>
          <w:b w:val="1"/>
          <w:bCs w:val="1"/>
          <w:color w:val="auto"/>
        </w:rPr>
        <w:t>regarding claims that are subject to arbitration</w:t>
      </w:r>
      <w:r>
        <w:rPr>
          <w:rFonts w:ascii="Arial" w:cs="Arial" w:eastAsia="Arial" w:hAnsi="Arial"/>
          <w:sz w:val="15"/>
          <w:szCs w:val="15"/>
          <w:color w:val="auto"/>
        </w:rPr>
        <w:t>. Notwithstanding, the arbitrator will not have the authority to disregard or refuse to enforce any lawful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policy, and the arbitrator will not order or require the Company to adopt a policy not otherwise required by law which the Company has not adopted.</w:t>
      </w:r>
    </w:p>
    <w:p>
      <w:pPr>
        <w:spacing w:after="0" w:line="111" w:lineRule="exact"/>
        <w:rPr>
          <w:rFonts w:ascii="Arial" w:cs="Arial" w:eastAsia="Arial" w:hAnsi="Arial"/>
          <w:sz w:val="15"/>
          <w:szCs w:val="15"/>
          <w:color w:val="auto"/>
        </w:rPr>
      </w:pPr>
    </w:p>
    <w:p>
      <w:pPr>
        <w:ind w:right="140" w:firstLine="1201"/>
        <w:spacing w:after="0" w:line="215" w:lineRule="auto"/>
        <w:tabs>
          <w:tab w:leader="none" w:pos="1812"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Administrative Relief</w:t>
      </w:r>
      <w:r>
        <w:rPr>
          <w:rFonts w:ascii="Arial" w:cs="Arial" w:eastAsia="Arial" w:hAnsi="Arial"/>
          <w:sz w:val="17"/>
          <w:szCs w:val="17"/>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12" w:lineRule="exact"/>
        <w:rPr>
          <w:rFonts w:ascii="Arial" w:cs="Arial" w:eastAsia="Arial" w:hAnsi="Arial"/>
          <w:sz w:val="17"/>
          <w:szCs w:val="17"/>
          <w:color w:val="auto"/>
        </w:rPr>
      </w:pPr>
    </w:p>
    <w:p>
      <w:pPr>
        <w:ind w:firstLine="1201"/>
        <w:spacing w:after="0" w:line="211" w:lineRule="auto"/>
        <w:tabs>
          <w:tab w:leader="none" w:pos="1806"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16" w:lineRule="exact"/>
        <w:rPr>
          <w:rFonts w:ascii="Arial" w:cs="Arial" w:eastAsia="Arial" w:hAnsi="Arial"/>
          <w:sz w:val="17"/>
          <w:szCs w:val="17"/>
          <w:color w:val="auto"/>
        </w:rPr>
      </w:pPr>
    </w:p>
    <w:p>
      <w:pPr>
        <w:ind w:left="1200" w:hanging="599"/>
        <w:spacing w:after="0"/>
        <w:tabs>
          <w:tab w:leader="none" w:pos="1200"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129" w:lineRule="exact"/>
        <w:rPr>
          <w:rFonts w:ascii="Arial" w:cs="Arial" w:eastAsia="Arial" w:hAnsi="Arial"/>
          <w:sz w:val="17"/>
          <w:szCs w:val="17"/>
          <w:color w:val="auto"/>
        </w:rPr>
      </w:pPr>
    </w:p>
    <w:p>
      <w:pPr>
        <w:ind w:right="220" w:firstLine="1201"/>
        <w:spacing w:after="0" w:line="230" w:lineRule="auto"/>
        <w:tabs>
          <w:tab w:leader="none" w:pos="1799"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such payment be reduced by any earnings that Executive may receive from any other source.</w:t>
      </w:r>
    </w:p>
    <w:p>
      <w:pPr>
        <w:spacing w:after="0" w:line="113" w:lineRule="exact"/>
        <w:rPr>
          <w:rFonts w:ascii="Arial" w:cs="Arial" w:eastAsia="Arial" w:hAnsi="Arial"/>
          <w:sz w:val="17"/>
          <w:szCs w:val="17"/>
          <w:color w:val="auto"/>
        </w:rPr>
      </w:pPr>
    </w:p>
    <w:p>
      <w:pPr>
        <w:ind w:right="80" w:firstLine="1201"/>
        <w:spacing w:after="0" w:line="215" w:lineRule="auto"/>
        <w:tabs>
          <w:tab w:leader="none" w:pos="1808"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05" w:lineRule="exact"/>
        <w:rPr>
          <w:rFonts w:ascii="Arial" w:cs="Arial" w:eastAsia="Arial" w:hAnsi="Arial"/>
          <w:sz w:val="17"/>
          <w:szCs w:val="17"/>
          <w:color w:val="auto"/>
        </w:rPr>
      </w:pPr>
    </w:p>
    <w:p>
      <w:pPr>
        <w:ind w:left="1820" w:hanging="619"/>
        <w:spacing w:after="0"/>
        <w:tabs>
          <w:tab w:leader="none" w:pos="1820" w:val="left"/>
        </w:tabs>
        <w:numPr>
          <w:ilvl w:val="1"/>
          <w:numId w:val="11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40"/>
          </w:cols>
          <w:pgMar w:left="320" w:top="1315" w:right="339" w:bottom="1440" w:gutter="0" w:footer="0" w:header="0"/>
        </w:sectPr>
      </w:pPr>
    </w:p>
    <w:bookmarkStart w:id="113" w:name="page114"/>
    <w:bookmarkEnd w:id="113"/>
    <w:p>
      <w:pPr>
        <w:ind w:firstLine="1201"/>
        <w:spacing w:after="0" w:line="215" w:lineRule="auto"/>
        <w:tabs>
          <w:tab w:leader="none" w:pos="1808"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112" w:lineRule="exact"/>
        <w:rPr>
          <w:rFonts w:ascii="Arial" w:cs="Arial" w:eastAsia="Arial" w:hAnsi="Arial"/>
          <w:sz w:val="17"/>
          <w:szCs w:val="17"/>
          <w:color w:val="auto"/>
        </w:rPr>
      </w:pPr>
    </w:p>
    <w:p>
      <w:pPr>
        <w:ind w:right="160" w:firstLine="1201"/>
        <w:spacing w:after="0" w:line="228" w:lineRule="auto"/>
        <w:tabs>
          <w:tab w:leader="none" w:pos="1812"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14" w:lineRule="exact"/>
        <w:rPr>
          <w:rFonts w:ascii="Arial" w:cs="Arial" w:eastAsia="Arial" w:hAnsi="Arial"/>
          <w:sz w:val="16"/>
          <w:szCs w:val="16"/>
          <w:color w:val="auto"/>
        </w:rPr>
      </w:pPr>
    </w:p>
    <w:p>
      <w:pPr>
        <w:ind w:right="40" w:firstLine="1201"/>
        <w:spacing w:after="0" w:line="230" w:lineRule="auto"/>
        <w:tabs>
          <w:tab w:leader="none" w:pos="1806"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or provisions of this Agreement will not affect the validity or enforceability of any other provision hereof, which will remain in full force and effect.</w:t>
      </w:r>
    </w:p>
    <w:p>
      <w:pPr>
        <w:spacing w:after="0" w:line="113" w:lineRule="exact"/>
        <w:rPr>
          <w:rFonts w:ascii="Arial" w:cs="Arial" w:eastAsia="Arial" w:hAnsi="Arial"/>
          <w:sz w:val="17"/>
          <w:szCs w:val="17"/>
          <w:color w:val="auto"/>
        </w:rPr>
      </w:pPr>
    </w:p>
    <w:p>
      <w:pPr>
        <w:ind w:left="1820" w:hanging="619"/>
        <w:spacing w:after="0"/>
        <w:tabs>
          <w:tab w:leader="none" w:pos="1820" w:val="left"/>
        </w:tabs>
        <w:numPr>
          <w:ilvl w:val="0"/>
          <w:numId w:val="111"/>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All payments made pursuant to this Agreement will be subject to withholding of applicable income, employment and other</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taxes.</w:t>
      </w:r>
    </w:p>
    <w:p>
      <w:pPr>
        <w:spacing w:after="0" w:line="115" w:lineRule="exact"/>
        <w:rPr>
          <w:rFonts w:ascii="Arial" w:cs="Arial" w:eastAsia="Arial" w:hAnsi="Arial"/>
          <w:sz w:val="15"/>
          <w:szCs w:val="15"/>
          <w:color w:val="auto"/>
        </w:rPr>
      </w:pPr>
    </w:p>
    <w:p>
      <w:pPr>
        <w:ind w:right="300" w:firstLine="1201"/>
        <w:spacing w:after="0" w:line="230" w:lineRule="auto"/>
        <w:tabs>
          <w:tab w:leader="none" w:pos="1808"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will be deemed an original, but all of which together will constitute one and the same instrument.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rPr>
          <w:sz w:val="20"/>
          <w:szCs w:val="20"/>
          <w:color w:val="auto"/>
        </w:rPr>
      </w:pPr>
      <w:r>
        <w:rPr>
          <w:rFonts w:ascii="Arial" w:cs="Arial" w:eastAsia="Arial" w:hAnsi="Arial"/>
          <w:sz w:val="13"/>
          <w:szCs w:val="13"/>
          <w:color w:val="auto"/>
        </w:rPr>
        <w:t>CIC rev 5.15</w:t>
      </w:r>
    </w:p>
    <w:p>
      <w:pPr>
        <w:sectPr>
          <w:pgSz w:w="11900" w:h="16838" w:orient="portrait"/>
          <w:cols w:equalWidth="0" w:num="1">
            <w:col w:w="11240"/>
          </w:cols>
          <w:pgMar w:left="320" w:top="1315" w:right="339" w:bottom="1440" w:gutter="0" w:footer="0" w:header="0"/>
        </w:sectPr>
      </w:pPr>
    </w:p>
    <w:bookmarkStart w:id="114" w:name="page115"/>
    <w:bookmarkEnd w:id="114"/>
    <w:p>
      <w:pPr>
        <w:spacing w:after="0" w:line="39" w:lineRule="exact"/>
        <w:rPr>
          <w:sz w:val="20"/>
          <w:szCs w:val="20"/>
          <w:color w:val="auto"/>
        </w:rPr>
      </w:pPr>
    </w:p>
    <w:p>
      <w:pPr>
        <w:ind w:right="180" w:firstLine="601"/>
        <w:spacing w:after="0" w:line="230" w:lineRule="auto"/>
        <w:rPr>
          <w:sz w:val="20"/>
          <w:szCs w:val="20"/>
          <w:color w:val="auto"/>
        </w:rPr>
      </w:pPr>
      <w:r>
        <w:rPr>
          <w:rFonts w:ascii="Arial" w:cs="Arial" w:eastAsia="Arial" w:hAnsi="Arial"/>
          <w:sz w:val="17"/>
          <w:szCs w:val="17"/>
          <w:color w:val="auto"/>
        </w:rPr>
        <w:t>IN WITNESS WHEREOF, each of the parties has executed this Agreement, in the case of the Company by its duly authorized officer, as of the day and year set forth below.</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280" w:type="dxa"/>
            <w:vAlign w:val="bottom"/>
          </w:tcPr>
          <w:p>
            <w:pPr>
              <w:spacing w:after="0"/>
              <w:rPr>
                <w:sz w:val="20"/>
                <w:szCs w:val="20"/>
                <w:color w:val="auto"/>
              </w:rPr>
            </w:pPr>
            <w:r>
              <w:rPr>
                <w:rFonts w:ascii="Arial" w:cs="Arial" w:eastAsia="Arial" w:hAnsi="Arial"/>
                <w:sz w:val="17"/>
                <w:szCs w:val="17"/>
                <w:color w:val="auto"/>
              </w:rPr>
              <w:t>COMPANY</w:t>
            </w:r>
          </w:p>
        </w:tc>
        <w:tc>
          <w:tcPr>
            <w:tcW w:w="7940" w:type="dxa"/>
            <w:vAlign w:val="bottom"/>
            <w:gridSpan w:val="2"/>
          </w:tcPr>
          <w:p>
            <w:pPr>
              <w:ind w:left="2340"/>
              <w:spacing w:after="0"/>
              <w:rPr>
                <w:sz w:val="20"/>
                <w:szCs w:val="20"/>
                <w:color w:val="auto"/>
              </w:rPr>
            </w:pPr>
            <w:r>
              <w:rPr>
                <w:rFonts w:ascii="Arial" w:cs="Arial" w:eastAsia="Arial" w:hAnsi="Arial"/>
                <w:sz w:val="17"/>
                <w:szCs w:val="17"/>
                <w:color w:val="auto"/>
              </w:rPr>
              <w:t>VERACYTE, INC.</w:t>
            </w:r>
          </w:p>
        </w:tc>
      </w:tr>
      <w:tr>
        <w:trPr>
          <w:trHeight w:val="425"/>
        </w:trPr>
        <w:tc>
          <w:tcPr>
            <w:tcW w:w="3280" w:type="dxa"/>
            <w:vAlign w:val="bottom"/>
          </w:tcPr>
          <w:p>
            <w:pPr>
              <w:spacing w:after="0"/>
              <w:rPr>
                <w:sz w:val="24"/>
                <w:szCs w:val="24"/>
                <w:color w:val="auto"/>
              </w:rPr>
            </w:pPr>
          </w:p>
        </w:tc>
        <w:tc>
          <w:tcPr>
            <w:tcW w:w="3160" w:type="dxa"/>
            <w:vAlign w:val="bottom"/>
          </w:tcPr>
          <w:p>
            <w:pPr>
              <w:ind w:left="2340"/>
              <w:spacing w:after="0"/>
              <w:rPr>
                <w:sz w:val="20"/>
                <w:szCs w:val="20"/>
                <w:color w:val="auto"/>
              </w:rPr>
            </w:pPr>
            <w:r>
              <w:rPr>
                <w:rFonts w:ascii="Arial" w:cs="Arial" w:eastAsia="Arial" w:hAnsi="Arial"/>
                <w:sz w:val="17"/>
                <w:szCs w:val="17"/>
                <w:color w:val="auto"/>
              </w:rPr>
              <w:t>By:</w:t>
            </w: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Marc Stapley</w:t>
            </w:r>
          </w:p>
        </w:tc>
      </w:tr>
      <w:tr>
        <w:trPr>
          <w:trHeight w:val="418"/>
        </w:trPr>
        <w:tc>
          <w:tcPr>
            <w:tcW w:w="3280" w:type="dxa"/>
            <w:vAlign w:val="bottom"/>
          </w:tcPr>
          <w:p>
            <w:pPr>
              <w:spacing w:after="0"/>
              <w:rPr>
                <w:sz w:val="24"/>
                <w:szCs w:val="24"/>
                <w:color w:val="auto"/>
              </w:rPr>
            </w:pPr>
          </w:p>
        </w:tc>
        <w:tc>
          <w:tcPr>
            <w:tcW w:w="3160" w:type="dxa"/>
            <w:vAlign w:val="bottom"/>
          </w:tcPr>
          <w:p>
            <w:pPr>
              <w:ind w:left="2340"/>
              <w:spacing w:after="0"/>
              <w:rPr>
                <w:sz w:val="20"/>
                <w:szCs w:val="20"/>
                <w:color w:val="auto"/>
              </w:rPr>
            </w:pPr>
            <w:r>
              <w:rPr>
                <w:rFonts w:ascii="Arial" w:cs="Arial" w:eastAsia="Arial" w:hAnsi="Arial"/>
                <w:sz w:val="17"/>
                <w:szCs w:val="17"/>
                <w:color w:val="auto"/>
              </w:rPr>
              <w:t>Title:</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CEO</w:t>
            </w:r>
          </w:p>
        </w:tc>
      </w:tr>
      <w:tr>
        <w:trPr>
          <w:trHeight w:val="418"/>
        </w:trPr>
        <w:tc>
          <w:tcPr>
            <w:tcW w:w="3280" w:type="dxa"/>
            <w:vAlign w:val="bottom"/>
          </w:tcPr>
          <w:p>
            <w:pPr>
              <w:spacing w:after="0"/>
              <w:rPr>
                <w:sz w:val="24"/>
                <w:szCs w:val="24"/>
                <w:color w:val="auto"/>
              </w:rPr>
            </w:pPr>
          </w:p>
        </w:tc>
        <w:tc>
          <w:tcPr>
            <w:tcW w:w="3160" w:type="dxa"/>
            <w:vAlign w:val="bottom"/>
          </w:tcPr>
          <w:p>
            <w:pPr>
              <w:ind w:left="2340"/>
              <w:spacing w:after="0"/>
              <w:rPr>
                <w:sz w:val="20"/>
                <w:szCs w:val="20"/>
                <w:color w:val="auto"/>
              </w:rPr>
            </w:pPr>
            <w:r>
              <w:rPr>
                <w:rFonts w:ascii="Arial" w:cs="Arial" w:eastAsia="Arial" w:hAnsi="Arial"/>
                <w:sz w:val="17"/>
                <w:szCs w:val="17"/>
                <w:color w:val="auto"/>
              </w:rPr>
              <w:t>Date:</w:t>
            </w: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2/9/2022</w:t>
            </w:r>
          </w:p>
        </w:tc>
      </w:tr>
      <w:tr>
        <w:trPr>
          <w:trHeight w:val="631"/>
        </w:trPr>
        <w:tc>
          <w:tcPr>
            <w:tcW w:w="3280" w:type="dxa"/>
            <w:vAlign w:val="bottom"/>
          </w:tcPr>
          <w:p>
            <w:pPr>
              <w:spacing w:after="0"/>
              <w:rPr>
                <w:sz w:val="20"/>
                <w:szCs w:val="20"/>
                <w:color w:val="auto"/>
              </w:rPr>
            </w:pPr>
            <w:r>
              <w:rPr>
                <w:rFonts w:ascii="Arial" w:cs="Arial" w:eastAsia="Arial" w:hAnsi="Arial"/>
                <w:sz w:val="17"/>
                <w:szCs w:val="17"/>
                <w:color w:val="auto"/>
              </w:rPr>
              <w:t>EXECUTIVE</w:t>
            </w:r>
          </w:p>
        </w:tc>
        <w:tc>
          <w:tcPr>
            <w:tcW w:w="3160" w:type="dxa"/>
            <w:vAlign w:val="bottom"/>
          </w:tcPr>
          <w:p>
            <w:pPr>
              <w:ind w:left="2340"/>
              <w:spacing w:after="0"/>
              <w:rPr>
                <w:sz w:val="20"/>
                <w:szCs w:val="20"/>
                <w:color w:val="auto"/>
              </w:rPr>
            </w:pPr>
            <w:r>
              <w:rPr>
                <w:rFonts w:ascii="Arial" w:cs="Arial" w:eastAsia="Arial" w:hAnsi="Arial"/>
                <w:sz w:val="17"/>
                <w:szCs w:val="17"/>
                <w:color w:val="auto"/>
              </w:rPr>
              <w:t>By:</w:t>
            </w: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Annie McGuire</w:t>
            </w:r>
          </w:p>
        </w:tc>
      </w:tr>
      <w:tr>
        <w:trPr>
          <w:trHeight w:val="418"/>
        </w:trPr>
        <w:tc>
          <w:tcPr>
            <w:tcW w:w="3280" w:type="dxa"/>
            <w:vAlign w:val="bottom"/>
          </w:tcPr>
          <w:p>
            <w:pPr>
              <w:spacing w:after="0"/>
              <w:rPr>
                <w:sz w:val="24"/>
                <w:szCs w:val="24"/>
                <w:color w:val="auto"/>
              </w:rPr>
            </w:pPr>
          </w:p>
        </w:tc>
        <w:tc>
          <w:tcPr>
            <w:tcW w:w="3160" w:type="dxa"/>
            <w:vAlign w:val="bottom"/>
          </w:tcPr>
          <w:p>
            <w:pPr>
              <w:ind w:left="2340"/>
              <w:spacing w:after="0"/>
              <w:rPr>
                <w:sz w:val="20"/>
                <w:szCs w:val="20"/>
                <w:color w:val="auto"/>
              </w:rPr>
            </w:pPr>
            <w:r>
              <w:rPr>
                <w:rFonts w:ascii="Arial" w:cs="Arial" w:eastAsia="Arial" w:hAnsi="Arial"/>
                <w:sz w:val="17"/>
                <w:szCs w:val="17"/>
                <w:color w:val="auto"/>
              </w:rPr>
              <w:t>Title:</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General Counsel</w:t>
            </w:r>
          </w:p>
        </w:tc>
      </w:tr>
      <w:tr>
        <w:trPr>
          <w:trHeight w:val="418"/>
        </w:trPr>
        <w:tc>
          <w:tcPr>
            <w:tcW w:w="3280" w:type="dxa"/>
            <w:vAlign w:val="bottom"/>
          </w:tcPr>
          <w:p>
            <w:pPr>
              <w:spacing w:after="0"/>
              <w:rPr>
                <w:sz w:val="24"/>
                <w:szCs w:val="24"/>
                <w:color w:val="auto"/>
              </w:rPr>
            </w:pPr>
          </w:p>
        </w:tc>
        <w:tc>
          <w:tcPr>
            <w:tcW w:w="3160" w:type="dxa"/>
            <w:vAlign w:val="bottom"/>
          </w:tcPr>
          <w:p>
            <w:pPr>
              <w:ind w:left="2340"/>
              <w:spacing w:after="0"/>
              <w:rPr>
                <w:sz w:val="20"/>
                <w:szCs w:val="20"/>
                <w:color w:val="auto"/>
              </w:rPr>
            </w:pPr>
            <w:r>
              <w:rPr>
                <w:rFonts w:ascii="Arial" w:cs="Arial" w:eastAsia="Arial" w:hAnsi="Arial"/>
                <w:sz w:val="17"/>
                <w:szCs w:val="17"/>
                <w:color w:val="auto"/>
              </w:rPr>
              <w:t>Date:</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2/8/2022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[signature page of the Change of Control and Severance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705932756v1</w:t>
      </w:r>
    </w:p>
    <w:p>
      <w:pPr>
        <w:sectPr>
          <w:pgSz w:w="11900" w:h="16838" w:orient="portrait"/>
          <w:cols w:equalWidth="0" w:num="1">
            <w:col w:w="11240"/>
          </w:cols>
          <w:pgMar w:left="320" w:top="1440"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7"/>
          <w:szCs w:val="17"/>
          <w:b w:val="1"/>
          <w:bCs w:val="1"/>
          <w:u w:val="single" w:color="auto"/>
          <w:color w:val="auto"/>
        </w:rPr>
        <w:t>EXHIBIT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FORM OF RELEASE OF CLAIMS</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This release of claims (this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by and between Veracyte,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_______________________ (“</w:t>
      </w:r>
      <w:r>
        <w:rPr>
          <w:rFonts w:ascii="Arial" w:cs="Arial" w:eastAsia="Arial" w:hAnsi="Arial"/>
          <w:sz w:val="15"/>
          <w:szCs w:val="15"/>
          <w:b w:val="1"/>
          <w:bCs w:val="1"/>
          <w:i w:val="1"/>
          <w:iCs w:val="1"/>
          <w:color w:val="auto"/>
        </w:rPr>
        <w:t>Executive</w:t>
      </w:r>
      <w:r>
        <w:rPr>
          <w:rFonts w:ascii="Arial" w:cs="Arial" w:eastAsia="Arial" w:hAnsi="Arial"/>
          <w:sz w:val="15"/>
          <w:szCs w:val="15"/>
          <w:color w:val="auto"/>
        </w:rPr>
        <w:t>”). The</w:t>
      </w:r>
    </w:p>
    <w:p>
      <w:pPr>
        <w:spacing w:after="0" w:line="4" w:lineRule="exact"/>
        <w:rPr>
          <w:sz w:val="20"/>
          <w:szCs w:val="20"/>
          <w:color w:val="auto"/>
        </w:rPr>
      </w:pPr>
    </w:p>
    <w:p>
      <w:pPr>
        <w:ind w:right="2720"/>
        <w:spacing w:after="0" w:line="388" w:lineRule="auto"/>
        <w:rPr>
          <w:sz w:val="20"/>
          <w:szCs w:val="20"/>
          <w:color w:val="auto"/>
        </w:rPr>
      </w:pPr>
      <w:r>
        <w:rPr>
          <w:rFonts w:ascii="Arial" w:cs="Arial" w:eastAsia="Arial" w:hAnsi="Arial"/>
          <w:sz w:val="17"/>
          <w:szCs w:val="17"/>
          <w:color w:val="auto"/>
        </w:rPr>
        <w:t>Company and Executive are sometimes collectively referred to herein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and individually referred to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xml:space="preserve">.” </w:t>
      </w:r>
      <w:r>
        <w:rPr>
          <w:rFonts w:ascii="Arial" w:cs="Arial" w:eastAsia="Arial" w:hAnsi="Arial"/>
          <w:sz w:val="17"/>
          <w:szCs w:val="17"/>
          <w:b w:val="1"/>
          <w:bCs w:val="1"/>
          <w:color w:val="auto"/>
        </w:rPr>
        <w:t>RECITALS</w:t>
      </w:r>
    </w:p>
    <w:p>
      <w:pPr>
        <w:ind w:left="600"/>
        <w:spacing w:after="0"/>
        <w:tabs>
          <w:tab w:leader="none" w:pos="8880" w:val="left"/>
        </w:tabs>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Executive signed a [Confidential Information and Invention Assignment Agreement] with the Company on</w:t>
      </w:r>
      <w:r>
        <w:rPr>
          <w:sz w:val="20"/>
          <w:szCs w:val="20"/>
          <w:color w:val="auto"/>
        </w:rPr>
        <w:tab/>
      </w:r>
      <w:r>
        <w:rPr>
          <w:rFonts w:ascii="Arial" w:cs="Arial" w:eastAsia="Arial" w:hAnsi="Arial"/>
          <w:sz w:val="15"/>
          <w:szCs w:val="15"/>
          <w:color w:val="auto"/>
        </w:rPr>
        <w:t>__________________  (the</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p>
    <w:p>
      <w:pPr>
        <w:spacing w:after="0" w:line="97" w:lineRule="exact"/>
        <w:rPr>
          <w:sz w:val="20"/>
          <w:szCs w:val="20"/>
          <w:color w:val="auto"/>
        </w:rPr>
      </w:pPr>
    </w:p>
    <w:p>
      <w:pPr>
        <w:ind w:left="600"/>
        <w:spacing w:after="0"/>
        <w:tabs>
          <w:tab w:leader="none" w:pos="8460" w:val="left"/>
        </w:tabs>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signed a Change of Control and Severance Agreement with the company on</w:t>
      </w:r>
      <w:r>
        <w:rPr>
          <w:sz w:val="20"/>
          <w:szCs w:val="20"/>
          <w:color w:val="auto"/>
        </w:rPr>
        <w:tab/>
      </w:r>
      <w:r>
        <w:rPr>
          <w:rFonts w:ascii="Arial" w:cs="Arial" w:eastAsia="Arial" w:hAnsi="Arial"/>
          <w:sz w:val="14"/>
          <w:szCs w:val="14"/>
          <w:color w:val="auto"/>
        </w:rPr>
        <w:t>(the “</w:t>
      </w:r>
      <w:r>
        <w:rPr>
          <w:rFonts w:ascii="Arial" w:cs="Arial" w:eastAsia="Arial" w:hAnsi="Arial"/>
          <w:sz w:val="14"/>
          <w:szCs w:val="14"/>
          <w:b w:val="1"/>
          <w:bCs w:val="1"/>
          <w:i w:val="1"/>
          <w:iCs w:val="1"/>
          <w:color w:val="auto"/>
        </w:rPr>
        <w:t>Change of Control Agreement</w:t>
      </w:r>
      <w:r>
        <w:rPr>
          <w:rFonts w:ascii="Arial" w:cs="Arial" w:eastAsia="Arial" w:hAnsi="Arial"/>
          <w:sz w:val="14"/>
          <w:szCs w:val="14"/>
          <w:color w:val="auto"/>
        </w:rPr>
        <w:t>”),</w:t>
      </w:r>
    </w:p>
    <w:p>
      <w:pPr>
        <w:ind w:right="80"/>
        <w:spacing w:after="0" w:line="221" w:lineRule="auto"/>
        <w:rPr>
          <w:sz w:val="20"/>
          <w:szCs w:val="20"/>
          <w:color w:val="auto"/>
        </w:rPr>
      </w:pPr>
      <w:r>
        <w:rPr>
          <w:rFonts w:ascii="Arial" w:cs="Arial" w:eastAsia="Arial" w:hAnsi="Arial"/>
          <w:sz w:val="17"/>
          <w:szCs w:val="17"/>
          <w:color w:val="auto"/>
        </w:rPr>
        <w:t>which, among other things, provides for certain severance benefits to be paid to Executive by the Company upon the termination of Executive’s employment following a Change of Control (as defined in the Change of Control Agreement) of the Company;</w:t>
      </w:r>
    </w:p>
    <w:p>
      <w:pPr>
        <w:sectPr>
          <w:pgSz w:w="11900" w:h="16838" w:orient="portrait"/>
          <w:cols w:equalWidth="0" w:num="1">
            <w:col w:w="11240"/>
          </w:cols>
          <w:pgMar w:left="320" w:top="1312" w:right="339" w:bottom="1440" w:gutter="0" w:footer="0" w:header="0"/>
        </w:sectPr>
      </w:pPr>
    </w:p>
    <w:p>
      <w:pPr>
        <w:spacing w:after="0" w:line="110" w:lineRule="exact"/>
        <w:rPr>
          <w:sz w:val="20"/>
          <w:szCs w:val="20"/>
          <w:color w:val="auto"/>
        </w:rPr>
      </w:pPr>
    </w:p>
    <w:p>
      <w:pPr>
        <w:ind w:right="660" w:firstLine="601"/>
        <w:spacing w:after="0" w:line="23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was employed by the Company until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 when Executive’s employment was terminated following a Change of</w:t>
      </w:r>
    </w:p>
    <w:p>
      <w:pPr>
        <w:spacing w:after="0" w:line="311" w:lineRule="exact"/>
        <w:rPr>
          <w:sz w:val="20"/>
          <w:szCs w:val="20"/>
          <w:color w:val="auto"/>
        </w:rPr>
      </w:pPr>
    </w:p>
    <w:p>
      <w:pPr>
        <w:sectPr>
          <w:pgSz w:w="11900" w:h="16838" w:orient="portrait"/>
          <w:cols w:equalWidth="0" w:num="2">
            <w:col w:w="5360" w:space="720"/>
            <w:col w:w="5160"/>
          </w:cols>
          <w:pgMar w:left="320" w:top="1312" w:right="339" w:bottom="1440" w:gutter="0" w:footer="0" w:header="0"/>
          <w:type w:val="continuous"/>
        </w:sectPr>
      </w:pPr>
    </w:p>
    <w:p>
      <w:pPr>
        <w:ind w:right="80" w:firstLine="601"/>
        <w:spacing w:after="0" w:line="22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accordance with Section 4 of the Change of Control and Severance Agreement between the Company and Executive, Executive has agreed to</w:t>
      </w:r>
      <w:r>
        <w:rPr>
          <w:rFonts w:ascii="Arial" w:cs="Arial" w:eastAsia="Arial" w:hAnsi="Arial"/>
          <w:sz w:val="17"/>
          <w:szCs w:val="17"/>
          <w:b w:val="1"/>
          <w:bCs w:val="1"/>
          <w:color w:val="auto"/>
        </w:rPr>
        <w:t xml:space="preserve"> </w:t>
      </w:r>
      <w:r>
        <w:rPr>
          <w:rFonts w:ascii="Arial" w:cs="Arial" w:eastAsia="Arial" w:hAnsi="Arial"/>
          <w:sz w:val="17"/>
          <w:szCs w:val="17"/>
          <w:color w:val="auto"/>
        </w:rPr>
        <w:t>enter into and not revoke a standard release of claims in favor of the Company as a condition to receiving the severance benefits described in the Change of Control Agreement; and</w:t>
      </w:r>
    </w:p>
    <w:p>
      <w:pPr>
        <w:spacing w:after="0" w:line="111" w:lineRule="exact"/>
        <w:rPr>
          <w:sz w:val="20"/>
          <w:szCs w:val="20"/>
          <w:color w:val="auto"/>
        </w:rPr>
      </w:pPr>
    </w:p>
    <w:p>
      <w:pPr>
        <w:ind w:right="60" w:firstLine="601"/>
        <w:spacing w:after="0" w:line="221"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wish to resolve any and all disputes, claims, complaints, grievances, charges, actions, petitions and demands that Executive may have</w:t>
      </w:r>
      <w:r>
        <w:rPr>
          <w:rFonts w:ascii="Arial" w:cs="Arial" w:eastAsia="Arial" w:hAnsi="Arial"/>
          <w:sz w:val="17"/>
          <w:szCs w:val="17"/>
          <w:b w:val="1"/>
          <w:bCs w:val="1"/>
          <w:color w:val="auto"/>
        </w:rPr>
        <w:t xml:space="preserve"> </w:t>
      </w:r>
      <w:r>
        <w:rPr>
          <w:rFonts w:ascii="Arial" w:cs="Arial" w:eastAsia="Arial" w:hAnsi="Arial"/>
          <w:sz w:val="17"/>
          <w:szCs w:val="17"/>
          <w:color w:val="auto"/>
        </w:rPr>
        <w:t>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11" w:lineRule="exact"/>
        <w:rPr>
          <w:sz w:val="20"/>
          <w:szCs w:val="20"/>
          <w:color w:val="auto"/>
        </w:rPr>
      </w:pPr>
    </w:p>
    <w:p>
      <w:pPr>
        <w:ind w:right="220" w:firstLine="601"/>
        <w:spacing w:after="0" w:line="232"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including the mutual promises and covenants made herein, the Company and Executive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agree as follows: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134" w:lineRule="exact"/>
        <w:rPr>
          <w:sz w:val="20"/>
          <w:szCs w:val="20"/>
          <w:color w:val="auto"/>
        </w:rPr>
      </w:pPr>
    </w:p>
    <w:p>
      <w:pPr>
        <w:ind w:left="1260" w:hanging="659"/>
        <w:spacing w:after="0"/>
        <w:tabs>
          <w:tab w:leader="none" w:pos="1260"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Executive’s employment with the Company terminated on the Termination Date.</w:t>
      </w:r>
    </w:p>
    <w:p>
      <w:pPr>
        <w:spacing w:after="0" w:line="129" w:lineRule="exact"/>
        <w:rPr>
          <w:rFonts w:ascii="Arial" w:cs="Arial" w:eastAsia="Arial" w:hAnsi="Arial"/>
          <w:sz w:val="17"/>
          <w:szCs w:val="17"/>
          <w:color w:val="auto"/>
        </w:rPr>
      </w:pPr>
    </w:p>
    <w:p>
      <w:pPr>
        <w:ind w:right="100" w:firstLine="601"/>
        <w:spacing w:after="0" w:line="211" w:lineRule="auto"/>
        <w:tabs>
          <w:tab w:leader="none" w:pos="126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Payment of Salary and Receipt of All Benefits</w:t>
      </w:r>
      <w:r>
        <w:rPr>
          <w:rFonts w:ascii="Arial" w:cs="Arial" w:eastAsia="Arial" w:hAnsi="Arial"/>
          <w:sz w:val="17"/>
          <w:szCs w:val="17"/>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16" w:lineRule="exact"/>
        <w:rPr>
          <w:rFonts w:ascii="Arial" w:cs="Arial" w:eastAsia="Arial" w:hAnsi="Arial"/>
          <w:sz w:val="17"/>
          <w:szCs w:val="17"/>
          <w:color w:val="auto"/>
        </w:rPr>
      </w:pPr>
    </w:p>
    <w:p>
      <w:pPr>
        <w:ind w:firstLine="601"/>
        <w:spacing w:after="0" w:line="208" w:lineRule="auto"/>
        <w:tabs>
          <w:tab w:leader="none" w:pos="126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7"/>
          <w:szCs w:val="17"/>
          <w:b w:val="1"/>
          <w:bCs w:val="1"/>
          <w:i w:val="1"/>
          <w:iCs w:val="1"/>
          <w:color w:val="auto"/>
        </w:rPr>
        <w:t>Releasees</w:t>
      </w:r>
      <w:r>
        <w:rPr>
          <w:rFonts w:ascii="Arial" w:cs="Arial" w:eastAsia="Arial" w:hAnsi="Arial"/>
          <w:sz w:val="17"/>
          <w:szCs w:val="17"/>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240"/>
          </w:cols>
          <w:pgMar w:left="320" w:top="1312" w:right="339" w:bottom="1440" w:gutter="0" w:footer="0" w:header="0"/>
          <w:type w:val="continuous"/>
        </w:sectPr>
      </w:pPr>
    </w:p>
    <w:bookmarkStart w:id="116" w:name="page117"/>
    <w:bookmarkEnd w:id="116"/>
    <w:p>
      <w:pPr>
        <w:ind w:right="40"/>
        <w:spacing w:after="0" w:line="230" w:lineRule="auto"/>
        <w:rPr>
          <w:sz w:val="20"/>
          <w:szCs w:val="20"/>
          <w:color w:val="auto"/>
        </w:rPr>
      </w:pPr>
      <w:r>
        <w:rPr>
          <w:rFonts w:ascii="Arial" w:cs="Arial" w:eastAsia="Arial" w:hAnsi="Arial"/>
          <w:sz w:val="17"/>
          <w:szCs w:val="17"/>
          <w:color w:val="auto"/>
        </w:rPr>
        <w:t>possess against any of the Releasees arising from any omissions, acts, facts, or damages that have occurred up until and including the Effective Date of this Agreement, including, without limitation the following:</w:t>
      </w:r>
    </w:p>
    <w:p>
      <w:pPr>
        <w:spacing w:after="0" w:line="106" w:lineRule="exact"/>
        <w:rPr>
          <w:sz w:val="20"/>
          <w:szCs w:val="20"/>
          <w:color w:val="auto"/>
        </w:rPr>
      </w:pPr>
    </w:p>
    <w:p>
      <w:pPr>
        <w:ind w:left="1840" w:hanging="639"/>
        <w:spacing w:after="0"/>
        <w:tabs>
          <w:tab w:leader="none" w:pos="18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w:t>
      </w:r>
    </w:p>
    <w:p>
      <w:pPr>
        <w:spacing w:after="0"/>
        <w:rPr>
          <w:sz w:val="20"/>
          <w:szCs w:val="20"/>
          <w:color w:val="auto"/>
        </w:rPr>
      </w:pPr>
      <w:r>
        <w:rPr>
          <w:rFonts w:ascii="Arial" w:cs="Arial" w:eastAsia="Arial" w:hAnsi="Arial"/>
          <w:sz w:val="17"/>
          <w:szCs w:val="17"/>
          <w:color w:val="auto"/>
        </w:rPr>
        <w:t>relationship;</w:t>
      </w:r>
    </w:p>
    <w:p>
      <w:pPr>
        <w:spacing w:after="0" w:line="116" w:lineRule="exact"/>
        <w:rPr>
          <w:sz w:val="20"/>
          <w:szCs w:val="20"/>
          <w:color w:val="auto"/>
        </w:rPr>
      </w:pPr>
    </w:p>
    <w:p>
      <w:pPr>
        <w:ind w:right="60" w:firstLine="1201"/>
        <w:spacing w:after="0" w:line="220" w:lineRule="auto"/>
        <w:tabs>
          <w:tab w:leader="none" w:pos="18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13" w:lineRule="exact"/>
        <w:rPr>
          <w:rFonts w:ascii="Arial" w:cs="Arial" w:eastAsia="Arial" w:hAnsi="Arial"/>
          <w:sz w:val="17"/>
          <w:szCs w:val="17"/>
          <w:color w:val="auto"/>
        </w:rPr>
      </w:pPr>
    </w:p>
    <w:p>
      <w:pPr>
        <w:ind w:right="20" w:firstLine="1201"/>
        <w:spacing w:after="0" w:line="211" w:lineRule="auto"/>
        <w:tabs>
          <w:tab w:leader="none" w:pos="184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16" w:lineRule="exact"/>
        <w:rPr>
          <w:rFonts w:ascii="Arial" w:cs="Arial" w:eastAsia="Arial" w:hAnsi="Arial"/>
          <w:sz w:val="17"/>
          <w:szCs w:val="17"/>
          <w:color w:val="auto"/>
        </w:rPr>
      </w:pPr>
    </w:p>
    <w:p>
      <w:pPr>
        <w:ind w:right="140" w:firstLine="1201"/>
        <w:spacing w:after="0" w:line="246" w:lineRule="auto"/>
        <w:tabs>
          <w:tab w:leader="none" w:pos="1854"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w:t>
      </w:r>
      <w:r>
        <w:rPr>
          <w:rFonts w:ascii="Arial" w:cs="Arial" w:eastAsia="Arial" w:hAnsi="Arial"/>
          <w:sz w:val="19"/>
          <w:szCs w:val="19"/>
          <w:color w:val="auto"/>
          <w:vertAlign w:val="superscript"/>
        </w:rPr>
        <w:t>1</w:t>
      </w:r>
    </w:p>
    <w:p>
      <w:pPr>
        <w:spacing w:after="0" w:line="44" w:lineRule="exact"/>
        <w:rPr>
          <w:rFonts w:ascii="Arial" w:cs="Arial" w:eastAsia="Arial" w:hAnsi="Arial"/>
          <w:sz w:val="15"/>
          <w:szCs w:val="15"/>
          <w:color w:val="auto"/>
        </w:rPr>
      </w:pPr>
    </w:p>
    <w:p>
      <w:pPr>
        <w:ind w:left="1840" w:hanging="639"/>
        <w:spacing w:after="0"/>
        <w:tabs>
          <w:tab w:leader="none" w:pos="18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and all claims for violation of the federal, or any state, constitution;</w:t>
      </w:r>
    </w:p>
    <w:p>
      <w:pPr>
        <w:spacing w:after="0" w:line="129" w:lineRule="exact"/>
        <w:rPr>
          <w:rFonts w:ascii="Arial" w:cs="Arial" w:eastAsia="Arial" w:hAnsi="Arial"/>
          <w:sz w:val="17"/>
          <w:szCs w:val="17"/>
          <w:color w:val="auto"/>
        </w:rPr>
      </w:pPr>
    </w:p>
    <w:p>
      <w:pPr>
        <w:ind w:left="1860" w:hanging="659"/>
        <w:spacing w:after="0"/>
        <w:tabs>
          <w:tab w:leader="none" w:pos="18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and all claims arising out of any other laws and regulations relating to employment or employment discrimination;</w:t>
      </w:r>
    </w:p>
    <w:p>
      <w:pPr>
        <w:spacing w:after="0" w:line="129" w:lineRule="exact"/>
        <w:rPr>
          <w:rFonts w:ascii="Arial" w:cs="Arial" w:eastAsia="Arial" w:hAnsi="Arial"/>
          <w:sz w:val="17"/>
          <w:szCs w:val="17"/>
          <w:color w:val="auto"/>
        </w:rPr>
      </w:pPr>
    </w:p>
    <w:p>
      <w:pPr>
        <w:ind w:right="300" w:firstLine="1201"/>
        <w:spacing w:after="0" w:line="230" w:lineRule="auto"/>
        <w:tabs>
          <w:tab w:leader="none" w:pos="18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claim for any loss, cost, damage, or expense arising out of any dispute over the non-withholding or other tax treatment of any of the proceeds received by Executive as a result of this Agreement; and</w:t>
      </w:r>
    </w:p>
    <w:p>
      <w:pPr>
        <w:spacing w:after="0" w:line="113" w:lineRule="exact"/>
        <w:rPr>
          <w:rFonts w:ascii="Arial" w:cs="Arial" w:eastAsia="Arial" w:hAnsi="Arial"/>
          <w:sz w:val="17"/>
          <w:szCs w:val="17"/>
          <w:color w:val="auto"/>
        </w:rPr>
      </w:pPr>
    </w:p>
    <w:p>
      <w:pPr>
        <w:ind w:left="1860" w:hanging="659"/>
        <w:spacing w:after="0"/>
        <w:tabs>
          <w:tab w:leader="none" w:pos="18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any and all claims for attorneys’ fees and costs.</w:t>
      </w:r>
    </w:p>
    <w:p>
      <w:pPr>
        <w:spacing w:after="0" w:line="130"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 xml:space="preserve">Executive agrees that the release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Arial" w:cs="Arial" w:eastAsia="Arial" w:hAnsi="Arial"/>
          <w:sz w:val="16"/>
          <w:szCs w:val="16"/>
          <w:u w:val="single" w:color="auto"/>
          <w:color w:val="auto"/>
        </w:rPr>
        <w:t>Section 3</w:t>
      </w:r>
      <w:r>
        <w:rPr>
          <w:rFonts w:ascii="Arial" w:cs="Arial" w:eastAsia="Arial" w:hAnsi="Arial"/>
          <w:sz w:val="16"/>
          <w:szCs w:val="16"/>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15887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600"/>
        <w:spacing w:after="0" w:line="211" w:lineRule="auto"/>
        <w:tabs>
          <w:tab w:leader="none" w:pos="96" w:val="left"/>
        </w:tabs>
        <w:numPr>
          <w:ilvl w:val="0"/>
          <w:numId w:val="115"/>
        </w:numPr>
        <w:rPr>
          <w:rFonts w:ascii="Arial" w:cs="Arial" w:eastAsia="Arial" w:hAnsi="Arial"/>
          <w:sz w:val="21"/>
          <w:szCs w:val="21"/>
          <w:color w:val="auto"/>
          <w:vertAlign w:val="superscript"/>
        </w:rPr>
      </w:pP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220"/>
          </w:cols>
          <w:pgMar w:left="320" w:top="1316" w:right="359" w:bottom="1440" w:gutter="0" w:footer="0" w:header="0"/>
        </w:sectPr>
      </w:pPr>
    </w:p>
    <w:bookmarkStart w:id="117" w:name="page118"/>
    <w:bookmarkEnd w:id="117"/>
    <w:p>
      <w:pPr>
        <w:ind w:right="60" w:firstLine="601"/>
        <w:spacing w:after="0" w:line="219" w:lineRule="auto"/>
        <w:tabs>
          <w:tab w:leader="none" w:pos="12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Acknowledgment of Waiver of Claims under ADEA</w:t>
      </w:r>
      <w:r>
        <w:rPr>
          <w:rFonts w:ascii="Arial" w:cs="Arial" w:eastAsia="Arial" w:hAnsi="Arial"/>
          <w:sz w:val="16"/>
          <w:szCs w:val="16"/>
          <w:color w:val="auto"/>
        </w:rPr>
        <w:t>. Executive acknowledges that Executive is waiving and releasing any rights Executive may have under the Age Discrimination in Employment Act of 1967 (“</w:t>
      </w:r>
      <w:r>
        <w:rPr>
          <w:rFonts w:ascii="Arial" w:cs="Arial" w:eastAsia="Arial" w:hAnsi="Arial"/>
          <w:sz w:val="16"/>
          <w:szCs w:val="16"/>
          <w:b w:val="1"/>
          <w:bCs w:val="1"/>
          <w:i w:val="1"/>
          <w:iCs w:val="1"/>
          <w:color w:val="auto"/>
        </w:rPr>
        <w:t>ADEA</w:t>
      </w:r>
      <w:r>
        <w:rPr>
          <w:rFonts w:ascii="Arial" w:cs="Arial" w:eastAsia="Arial" w:hAnsi="Arial"/>
          <w:sz w:val="16"/>
          <w:szCs w:val="16"/>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6"/>
          <w:szCs w:val="16"/>
          <w:b w:val="1"/>
          <w:bCs w:val="1"/>
          <w:i w:val="1"/>
          <w:iCs w:val="1"/>
          <w:color w:val="auto"/>
        </w:rPr>
        <w:t>prior</w:t>
      </w:r>
      <w:r>
        <w:rPr>
          <w:rFonts w:ascii="Arial" w:cs="Arial" w:eastAsia="Arial" w:hAnsi="Arial"/>
          <w:sz w:val="16"/>
          <w:szCs w:val="16"/>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w:t>
      </w:r>
      <w:r>
        <w:rPr>
          <w:rFonts w:ascii="Arial" w:cs="Arial" w:eastAsia="Arial" w:hAnsi="Arial"/>
          <w:sz w:val="20"/>
          <w:szCs w:val="20"/>
          <w:color w:val="auto"/>
          <w:vertAlign w:val="superscript"/>
        </w:rPr>
        <w:t>2</w:t>
      </w:r>
    </w:p>
    <w:p>
      <w:pPr>
        <w:spacing w:after="0" w:line="57" w:lineRule="exact"/>
        <w:rPr>
          <w:rFonts w:ascii="Arial" w:cs="Arial" w:eastAsia="Arial" w:hAnsi="Arial"/>
          <w:sz w:val="16"/>
          <w:szCs w:val="16"/>
          <w:color w:val="auto"/>
        </w:rPr>
      </w:pPr>
    </w:p>
    <w:p>
      <w:pPr>
        <w:ind w:right="80" w:firstLine="601"/>
        <w:spacing w:after="0" w:line="249" w:lineRule="auto"/>
        <w:tabs>
          <w:tab w:leader="none" w:pos="12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California Civil Code Section 1542</w:t>
      </w:r>
      <w:r>
        <w:rPr>
          <w:rFonts w:ascii="Arial" w:cs="Arial" w:eastAsia="Arial" w:hAnsi="Arial"/>
          <w:sz w:val="16"/>
          <w:szCs w:val="16"/>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06" w:lineRule="exact"/>
        <w:rPr>
          <w:sz w:val="20"/>
          <w:szCs w:val="20"/>
          <w:color w:val="auto"/>
        </w:rPr>
      </w:pPr>
    </w:p>
    <w:p>
      <w:pPr>
        <w:ind w:left="1200" w:right="200"/>
        <w:spacing w:after="0" w:line="220"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13"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Executive, being aware of California Civil Code Section 1542, agrees to expressly waive any rights Executive may have thereunder, as well as under any other statute or common law principles of similar effect.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w:t>
      </w:r>
    </w:p>
    <w:p>
      <w:pPr>
        <w:spacing w:after="0" w:line="130"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Arial" w:cs="Arial" w:eastAsia="Arial" w:hAnsi="Arial"/>
          <w:sz w:val="20"/>
          <w:szCs w:val="20"/>
          <w:color w:val="auto"/>
          <w:vertAlign w:val="superscript"/>
        </w:rPr>
        <w:t>3</w:t>
      </w:r>
    </w:p>
    <w:p>
      <w:pPr>
        <w:spacing w:after="0" w:line="51" w:lineRule="exact"/>
        <w:rPr>
          <w:sz w:val="20"/>
          <w:szCs w:val="20"/>
          <w:color w:val="auto"/>
        </w:rPr>
      </w:pPr>
    </w:p>
    <w:p>
      <w:pPr>
        <w:ind w:right="40" w:firstLine="601"/>
        <w:spacing w:after="0"/>
        <w:tabs>
          <w:tab w:leader="none" w:pos="1268" w:val="left"/>
        </w:tabs>
        <w:numPr>
          <w:ilvl w:val="0"/>
          <w:numId w:val="117"/>
        </w:numPr>
        <w:rPr>
          <w:rFonts w:ascii="Arial" w:cs="Arial" w:eastAsia="Arial" w:hAnsi="Arial"/>
          <w:sz w:val="15"/>
          <w:szCs w:val="15"/>
          <w:color w:val="auto"/>
        </w:rPr>
      </w:pPr>
      <w:r>
        <w:rPr>
          <w:rFonts w:ascii="Arial" w:cs="Arial" w:eastAsia="Arial" w:hAnsi="Arial"/>
          <w:sz w:val="15"/>
          <w:szCs w:val="15"/>
          <w:u w:val="single" w:color="auto"/>
          <w:color w:val="auto"/>
        </w:rPr>
        <w:t>No Pending or Future Lawsuits</w:t>
      </w:r>
      <w:r>
        <w:rPr>
          <w:rFonts w:ascii="Arial" w:cs="Arial" w:eastAsia="Arial" w:hAnsi="Arial"/>
          <w:sz w:val="15"/>
          <w:szCs w:val="15"/>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13" w:lineRule="exact"/>
        <w:rPr>
          <w:rFonts w:ascii="Arial" w:cs="Arial" w:eastAsia="Arial" w:hAnsi="Arial"/>
          <w:sz w:val="15"/>
          <w:szCs w:val="15"/>
          <w:color w:val="auto"/>
        </w:rPr>
      </w:pPr>
    </w:p>
    <w:p>
      <w:pPr>
        <w:ind w:right="260" w:firstLine="601"/>
        <w:spacing w:after="0" w:line="230" w:lineRule="auto"/>
        <w:tabs>
          <w:tab w:leader="none" w:pos="1268"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Sufficiency of Consideration</w:t>
      </w:r>
      <w:r>
        <w:rPr>
          <w:rFonts w:ascii="Arial" w:cs="Arial" w:eastAsia="Arial" w:hAnsi="Arial"/>
          <w:sz w:val="17"/>
          <w:szCs w:val="17"/>
          <w:color w:val="auto"/>
        </w:rPr>
        <w:t>. Executive hereby acknowledges and agrees that Executive has received good and sufficient consideration for every promise, duty, release, obligation, agreement and right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342265</wp:posOffset>
            </wp:positionV>
            <wp:extent cx="15887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00" w:hanging="100"/>
        <w:spacing w:after="0"/>
        <w:tabs>
          <w:tab w:leader="none" w:pos="100" w:val="left"/>
        </w:tabs>
        <w:numPr>
          <w:ilvl w:val="0"/>
          <w:numId w:val="118"/>
        </w:numPr>
        <w:rPr>
          <w:rFonts w:ascii="Arial" w:cs="Arial" w:eastAsia="Arial" w:hAnsi="Arial"/>
          <w:sz w:val="22"/>
          <w:szCs w:val="22"/>
          <w:color w:val="auto"/>
          <w:vertAlign w:val="superscript"/>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193" w:lineRule="auto"/>
        <w:tabs>
          <w:tab w:leader="none" w:pos="96" w:val="left"/>
        </w:tabs>
        <w:numPr>
          <w:ilvl w:val="0"/>
          <w:numId w:val="119"/>
        </w:numPr>
        <w:rPr>
          <w:rFonts w:ascii="Arial" w:cs="Arial" w:eastAsia="Arial" w:hAnsi="Arial"/>
          <w:sz w:val="22"/>
          <w:szCs w:val="22"/>
          <w:color w:val="auto"/>
          <w:vertAlign w:val="superscript"/>
        </w:rPr>
      </w:pPr>
      <w:r>
        <w:rPr>
          <w:rFonts w:ascii="Arial" w:cs="Arial" w:eastAsia="Arial" w:hAnsi="Arial"/>
          <w:sz w:val="17"/>
          <w:szCs w:val="17"/>
          <w:color w:val="auto"/>
        </w:rPr>
        <w:t>If Executive resides in California at the time Executive’s employment relationship is terminated, the first provision — “</w:t>
      </w:r>
      <w:r>
        <w:rPr>
          <w:rFonts w:ascii="Arial" w:cs="Arial" w:eastAsia="Arial" w:hAnsi="Arial"/>
          <w:sz w:val="17"/>
          <w:szCs w:val="17"/>
          <w:i w:val="1"/>
          <w:iCs w:val="1"/>
          <w:color w:val="auto"/>
        </w:rPr>
        <w:t>California Civil Code Section 1542</w:t>
      </w:r>
      <w:r>
        <w:rPr>
          <w:rFonts w:ascii="Arial" w:cs="Arial" w:eastAsia="Arial" w:hAnsi="Arial"/>
          <w:sz w:val="17"/>
          <w:szCs w:val="17"/>
          <w:color w:val="auto"/>
        </w:rPr>
        <w:t>” — will be included in this Agreement, otherwise the second provision — “</w:t>
      </w:r>
      <w:r>
        <w:rPr>
          <w:rFonts w:ascii="Arial" w:cs="Arial" w:eastAsia="Arial" w:hAnsi="Arial"/>
          <w:sz w:val="17"/>
          <w:szCs w:val="17"/>
          <w:i w:val="1"/>
          <w:iCs w:val="1"/>
          <w:color w:val="auto"/>
        </w:rPr>
        <w:t>Unknown Claims</w:t>
      </w:r>
      <w:r>
        <w:rPr>
          <w:rFonts w:ascii="Arial" w:cs="Arial" w:eastAsia="Arial" w:hAnsi="Arial"/>
          <w:sz w:val="17"/>
          <w:szCs w:val="17"/>
          <w:color w:val="auto"/>
        </w:rPr>
        <w:t>” — will be used.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220"/>
          </w:cols>
          <w:pgMar w:left="320" w:top="1315" w:right="359" w:bottom="1440" w:gutter="0" w:footer="0" w:header="0"/>
        </w:sectPr>
      </w:pPr>
    </w:p>
    <w:bookmarkStart w:id="118" w:name="page119"/>
    <w:bookmarkEnd w:id="118"/>
    <w:p>
      <w:pPr>
        <w:ind w:firstLine="601"/>
        <w:spacing w:after="0" w:line="209" w:lineRule="auto"/>
        <w:tabs>
          <w:tab w:leader="none" w:pos="1268"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7"/>
          <w:szCs w:val="17"/>
          <w:i w:val="1"/>
          <w:iCs w:val="1"/>
          <w:color w:val="auto"/>
        </w:rPr>
        <w:t>provided, however</w:t>
      </w:r>
      <w:r>
        <w:rPr>
          <w:rFonts w:ascii="Arial" w:cs="Arial" w:eastAsia="Arial" w:hAnsi="Arial"/>
          <w:sz w:val="17"/>
          <w:szCs w:val="17"/>
          <w:color w:val="auto"/>
        </w:rPr>
        <w:t>, that: (a) as to any provisions regarding competition contained in the Confidentiality Agreement that conflict with the provisions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17" w:lineRule="exact"/>
        <w:rPr>
          <w:rFonts w:ascii="Arial" w:cs="Arial" w:eastAsia="Arial" w:hAnsi="Arial"/>
          <w:sz w:val="17"/>
          <w:szCs w:val="17"/>
          <w:color w:val="auto"/>
        </w:rPr>
      </w:pPr>
    </w:p>
    <w:p>
      <w:pPr>
        <w:ind w:right="140" w:firstLine="601"/>
        <w:spacing w:after="0" w:line="236" w:lineRule="auto"/>
        <w:tabs>
          <w:tab w:leader="none" w:pos="1268"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Return of Company Property; Passwords and Password-protected Documents</w:t>
      </w:r>
      <w:r>
        <w:rPr>
          <w:rFonts w:ascii="Arial" w:cs="Arial" w:eastAsia="Arial" w:hAnsi="Arial"/>
          <w:sz w:val="15"/>
          <w:szCs w:val="15"/>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13" w:lineRule="exact"/>
        <w:rPr>
          <w:rFonts w:ascii="Arial" w:cs="Arial" w:eastAsia="Arial" w:hAnsi="Arial"/>
          <w:sz w:val="15"/>
          <w:szCs w:val="15"/>
          <w:color w:val="auto"/>
        </w:rPr>
      </w:pPr>
    </w:p>
    <w:p>
      <w:pPr>
        <w:ind w:right="20" w:firstLine="601"/>
        <w:spacing w:after="0" w:line="223" w:lineRule="auto"/>
        <w:tabs>
          <w:tab w:leader="none" w:pos="1226"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No Cooperation</w:t>
      </w:r>
      <w:r>
        <w:rPr>
          <w:rFonts w:ascii="Arial" w:cs="Arial" w:eastAsia="Arial" w:hAnsi="Arial"/>
          <w:sz w:val="16"/>
          <w:szCs w:val="16"/>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12" w:lineRule="exact"/>
        <w:rPr>
          <w:rFonts w:ascii="Arial" w:cs="Arial" w:eastAsia="Arial" w:hAnsi="Arial"/>
          <w:sz w:val="16"/>
          <w:szCs w:val="16"/>
          <w:color w:val="auto"/>
        </w:rPr>
      </w:pPr>
    </w:p>
    <w:p>
      <w:pPr>
        <w:ind w:right="260" w:firstLine="601"/>
        <w:spacing w:after="0" w:line="230" w:lineRule="auto"/>
        <w:tabs>
          <w:tab w:leader="none" w:pos="1191"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13" w:lineRule="exact"/>
        <w:rPr>
          <w:rFonts w:ascii="Arial" w:cs="Arial" w:eastAsia="Arial" w:hAnsi="Arial"/>
          <w:sz w:val="17"/>
          <w:szCs w:val="17"/>
          <w:color w:val="auto"/>
        </w:rPr>
      </w:pPr>
    </w:p>
    <w:p>
      <w:pPr>
        <w:ind w:right="80" w:firstLine="601"/>
        <w:spacing w:after="0" w:line="215" w:lineRule="auto"/>
        <w:tabs>
          <w:tab w:leader="none" w:pos="1197"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No Admission of Liability</w:t>
      </w:r>
      <w:r>
        <w:rPr>
          <w:rFonts w:ascii="Arial" w:cs="Arial" w:eastAsia="Arial" w:hAnsi="Arial"/>
          <w:sz w:val="17"/>
          <w:szCs w:val="17"/>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12" w:lineRule="exact"/>
        <w:rPr>
          <w:rFonts w:ascii="Arial" w:cs="Arial" w:eastAsia="Arial" w:hAnsi="Arial"/>
          <w:sz w:val="17"/>
          <w:szCs w:val="17"/>
          <w:color w:val="auto"/>
        </w:rPr>
      </w:pPr>
    </w:p>
    <w:p>
      <w:pPr>
        <w:ind w:right="240" w:firstLine="601"/>
        <w:spacing w:after="0" w:line="254" w:lineRule="auto"/>
        <w:tabs>
          <w:tab w:leader="none" w:pos="1197"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Solicitation of Employees</w:t>
      </w:r>
      <w:r>
        <w:rPr>
          <w:rFonts w:ascii="Arial" w:cs="Arial" w:eastAsia="Arial" w:hAnsi="Arial"/>
          <w:sz w:val="15"/>
          <w:szCs w:val="15"/>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02" w:lineRule="exact"/>
        <w:rPr>
          <w:rFonts w:ascii="Arial" w:cs="Arial" w:eastAsia="Arial" w:hAnsi="Arial"/>
          <w:sz w:val="15"/>
          <w:szCs w:val="15"/>
          <w:color w:val="auto"/>
        </w:rPr>
      </w:pPr>
    </w:p>
    <w:p>
      <w:pPr>
        <w:ind w:left="1200" w:hanging="599"/>
        <w:spacing w:after="0"/>
        <w:tabs>
          <w:tab w:leader="none" w:pos="1200"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Costs</w:t>
      </w:r>
      <w:r>
        <w:rPr>
          <w:rFonts w:ascii="Arial" w:cs="Arial" w:eastAsia="Arial" w:hAnsi="Arial"/>
          <w:sz w:val="15"/>
          <w:szCs w:val="15"/>
          <w:color w:val="auto"/>
        </w:rPr>
        <w:t>. The Parties will each bear their own costs, attorneys’ fees and other fees incurred in connection with the preparation of this Agreement.</w:t>
      </w:r>
    </w:p>
    <w:p>
      <w:pPr>
        <w:spacing w:after="0" w:line="152" w:lineRule="exact"/>
        <w:rPr>
          <w:rFonts w:ascii="Arial" w:cs="Arial" w:eastAsia="Arial" w:hAnsi="Arial"/>
          <w:sz w:val="15"/>
          <w:szCs w:val="15"/>
          <w:color w:val="auto"/>
        </w:rPr>
      </w:pPr>
    </w:p>
    <w:p>
      <w:pPr>
        <w:ind w:right="300" w:firstLine="601"/>
        <w:spacing w:after="0" w:line="225" w:lineRule="auto"/>
        <w:tabs>
          <w:tab w:leader="none" w:pos="1197"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PURSUANT TO ITS EMPLOYMENT ARBITRATION RULES &amp; PROCEDURES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RULES</w:t>
      </w:r>
      <w:r>
        <w:rPr>
          <w:rFonts w:ascii="Arial" w:cs="Arial" w:eastAsia="Arial" w:hAnsi="Arial"/>
          <w:sz w:val="16"/>
          <w:szCs w:val="16"/>
          <w:color w:val="auto"/>
        </w:rPr>
        <w:t>”). THE ARBITRATOR MAY GRANT INJUNCTIONS AND OTHER RELIEF IN SUCH DISPUTES. THE ARBITRATOR WILL ADMINISTER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 ANY ARBITRATION IN ACCORDANCE WITH CALIFORNIA LAW, INCLUDING THE CALIFORNIA CODE OF</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240"/>
          </w:cols>
          <w:pgMar w:left="320" w:top="1316" w:right="339" w:bottom="1440" w:gutter="0" w:footer="0" w:header="0"/>
        </w:sectPr>
      </w:pPr>
    </w:p>
    <w:bookmarkStart w:id="119" w:name="page120"/>
    <w:bookmarkEnd w:id="119"/>
    <w:p>
      <w:pPr>
        <w:ind w:right="40"/>
        <w:spacing w:after="0" w:line="218" w:lineRule="auto"/>
        <w:rPr>
          <w:sz w:val="20"/>
          <w:szCs w:val="20"/>
          <w:color w:val="auto"/>
        </w:rPr>
      </w:pPr>
      <w:r>
        <w:rPr>
          <w:rFonts w:ascii="Arial" w:cs="Arial" w:eastAsia="Arial" w:hAnsi="Arial"/>
          <w:sz w:val="16"/>
          <w:szCs w:val="16"/>
          <w:color w:val="auto"/>
        </w:rPr>
        <w:t>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r>
        <w:rPr>
          <w:rFonts w:ascii="Arial" w:cs="Arial" w:eastAsia="Arial" w:hAnsi="Arial"/>
          <w:sz w:val="20"/>
          <w:szCs w:val="20"/>
          <w:color w:val="auto"/>
          <w:vertAlign w:val="superscript"/>
        </w:rPr>
        <w:t>4</w:t>
      </w:r>
    </w:p>
    <w:p>
      <w:pPr>
        <w:spacing w:after="0" w:line="58" w:lineRule="exact"/>
        <w:rPr>
          <w:sz w:val="20"/>
          <w:szCs w:val="20"/>
          <w:color w:val="auto"/>
        </w:rPr>
      </w:pPr>
    </w:p>
    <w:p>
      <w:pPr>
        <w:ind w:firstLine="601"/>
        <w:spacing w:after="0" w:line="244" w:lineRule="auto"/>
        <w:tabs>
          <w:tab w:leader="none" w:pos="1197"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Authority</w:t>
      </w:r>
      <w:r>
        <w:rPr>
          <w:rFonts w:ascii="Arial" w:cs="Arial" w:eastAsia="Arial" w:hAnsi="Arial"/>
          <w:sz w:val="15"/>
          <w:szCs w:val="15"/>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11" w:lineRule="exact"/>
        <w:rPr>
          <w:rFonts w:ascii="Arial" w:cs="Arial" w:eastAsia="Arial" w:hAnsi="Arial"/>
          <w:sz w:val="15"/>
          <w:szCs w:val="15"/>
          <w:color w:val="auto"/>
        </w:rPr>
      </w:pPr>
    </w:p>
    <w:p>
      <w:pPr>
        <w:ind w:right="60" w:firstLine="601"/>
        <w:spacing w:after="0" w:line="220" w:lineRule="auto"/>
        <w:tabs>
          <w:tab w:leader="none" w:pos="1197"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No Representations</w:t>
      </w:r>
      <w:r>
        <w:rPr>
          <w:rFonts w:ascii="Arial" w:cs="Arial" w:eastAsia="Arial" w:hAnsi="Arial"/>
          <w:sz w:val="17"/>
          <w:szCs w:val="17"/>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13" w:lineRule="exact"/>
        <w:rPr>
          <w:rFonts w:ascii="Arial" w:cs="Arial" w:eastAsia="Arial" w:hAnsi="Arial"/>
          <w:sz w:val="17"/>
          <w:szCs w:val="17"/>
          <w:color w:val="auto"/>
        </w:rPr>
      </w:pPr>
    </w:p>
    <w:p>
      <w:pPr>
        <w:ind w:right="420" w:firstLine="601"/>
        <w:spacing w:after="0" w:line="220" w:lineRule="auto"/>
        <w:tabs>
          <w:tab w:leader="none" w:pos="1197"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13" w:lineRule="exact"/>
        <w:rPr>
          <w:rFonts w:ascii="Arial" w:cs="Arial" w:eastAsia="Arial" w:hAnsi="Arial"/>
          <w:sz w:val="17"/>
          <w:szCs w:val="17"/>
          <w:color w:val="auto"/>
        </w:rPr>
      </w:pPr>
    </w:p>
    <w:p>
      <w:pPr>
        <w:ind w:right="60" w:firstLine="601"/>
        <w:spacing w:after="0" w:line="244" w:lineRule="auto"/>
        <w:tabs>
          <w:tab w:leader="none" w:pos="1197"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04" w:lineRule="exact"/>
        <w:rPr>
          <w:rFonts w:ascii="Arial" w:cs="Arial" w:eastAsia="Arial" w:hAnsi="Arial"/>
          <w:sz w:val="15"/>
          <w:szCs w:val="15"/>
          <w:color w:val="auto"/>
        </w:rPr>
      </w:pPr>
    </w:p>
    <w:p>
      <w:pPr>
        <w:ind w:left="1200" w:hanging="599"/>
        <w:spacing w:after="0"/>
        <w:tabs>
          <w:tab w:leader="none" w:pos="120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115" w:lineRule="exact"/>
        <w:rPr>
          <w:rFonts w:ascii="Arial" w:cs="Arial" w:eastAsia="Arial" w:hAnsi="Arial"/>
          <w:sz w:val="16"/>
          <w:szCs w:val="16"/>
          <w:color w:val="auto"/>
        </w:rPr>
      </w:pPr>
    </w:p>
    <w:p>
      <w:pPr>
        <w:ind w:right="420" w:firstLine="601"/>
        <w:spacing w:after="0" w:line="242" w:lineRule="auto"/>
        <w:tabs>
          <w:tab w:leader="none" w:pos="1197"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will be governed by the laws of the State of California, without regard for choice-of-law provisions. Executive consents to personal and exclusive jurisdiction and venue in the State of California.</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339725</wp:posOffset>
            </wp:positionV>
            <wp:extent cx="15887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00" w:hanging="100"/>
        <w:spacing w:after="0"/>
        <w:tabs>
          <w:tab w:leader="none" w:pos="100" w:val="left"/>
        </w:tabs>
        <w:numPr>
          <w:ilvl w:val="0"/>
          <w:numId w:val="122"/>
        </w:numPr>
        <w:rPr>
          <w:rFonts w:ascii="Arial" w:cs="Arial" w:eastAsia="Arial" w:hAnsi="Arial"/>
          <w:sz w:val="19"/>
          <w:szCs w:val="19"/>
          <w:color w:val="auto"/>
          <w:vertAlign w:val="superscript"/>
        </w:rPr>
      </w:pPr>
      <w:r>
        <w:rPr>
          <w:rFonts w:ascii="Arial" w:cs="Arial" w:eastAsia="Arial" w:hAnsi="Arial"/>
          <w:sz w:val="15"/>
          <w:szCs w:val="15"/>
          <w:color w:val="auto"/>
        </w:rPr>
        <w:t>References to California will only be included in this Agreement if Executive resides in California at the time Executive’s employment relationship is terminated.</w:t>
      </w:r>
    </w:p>
    <w:p>
      <w:pPr>
        <w:spacing w:after="0"/>
        <w:rPr>
          <w:rFonts w:ascii="Arial" w:cs="Arial" w:eastAsia="Arial" w:hAnsi="Arial"/>
          <w:sz w:val="19"/>
          <w:szCs w:val="19"/>
          <w:color w:val="auto"/>
          <w:vertAlign w:val="superscript"/>
        </w:rPr>
      </w:pPr>
      <w:r>
        <w:rPr>
          <w:rFonts w:ascii="Arial" w:cs="Arial" w:eastAsia="Arial" w:hAnsi="Arial"/>
          <w:sz w:val="19"/>
          <w:szCs w:val="19"/>
          <w:color w:val="auto"/>
          <w:vertAlign w:val="superscript"/>
        </w:rPr>
        <w:t>5</w:t>
      </w:r>
      <w:r>
        <w:rPr>
          <w:rFonts w:ascii="Arial" w:cs="Arial" w:eastAsia="Arial" w:hAnsi="Arial"/>
          <w:sz w:val="15"/>
          <w:szCs w:val="15"/>
          <w:color w:val="auto"/>
        </w:rPr>
        <w:t xml:space="preserve"> References to California will only be included in this Agreement if Executive resides in California at the time Executive’s employment relationship is terminated.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240"/>
          </w:cols>
          <w:pgMar w:left="320" w:top="1316" w:right="339" w:bottom="1440" w:gutter="0" w:footer="0" w:header="0"/>
        </w:sectPr>
      </w:pPr>
    </w:p>
    <w:bookmarkStart w:id="120" w:name="page121"/>
    <w:bookmarkEnd w:id="120"/>
    <w:p>
      <w:pPr>
        <w:ind w:firstLine="601"/>
        <w:spacing w:after="0" w:line="221" w:lineRule="auto"/>
        <w:tabs>
          <w:tab w:leader="none" w:pos="119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10"/>
          <w:szCs w:val="10"/>
          <w:color w:val="auto"/>
        </w:rPr>
        <w:t>th</w:t>
      </w:r>
      <w:r>
        <w:rPr>
          <w:rFonts w:ascii="Arial" w:cs="Arial" w:eastAsia="Arial" w:hAnsi="Arial"/>
          <w:sz w:val="17"/>
          <w:szCs w:val="17"/>
          <w:color w:val="auto"/>
        </w:rPr>
        <w:t xml:space="preserve">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1"/>
          <w:szCs w:val="21"/>
          <w:color w:val="auto"/>
          <w:vertAlign w:val="superscript"/>
        </w:rPr>
        <w:t>6</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1"/>
          <w:szCs w:val="21"/>
          <w:color w:val="auto"/>
          <w:vertAlign w:val="superscript"/>
        </w:rPr>
        <w:t>7</w:t>
      </w:r>
      <w:r>
        <w:rPr>
          <w:rFonts w:ascii="Arial" w:cs="Arial" w:eastAsia="Arial" w:hAnsi="Arial"/>
          <w:sz w:val="17"/>
          <w:szCs w:val="17"/>
          <w:color w:val="auto"/>
        </w:rPr>
        <w:t>.</w:t>
      </w:r>
    </w:p>
    <w:p>
      <w:pPr>
        <w:spacing w:after="0" w:line="50" w:lineRule="exact"/>
        <w:rPr>
          <w:rFonts w:ascii="Arial" w:cs="Arial" w:eastAsia="Arial" w:hAnsi="Arial"/>
          <w:sz w:val="17"/>
          <w:szCs w:val="17"/>
          <w:color w:val="auto"/>
        </w:rPr>
      </w:pPr>
    </w:p>
    <w:p>
      <w:pPr>
        <w:ind w:right="320" w:firstLine="601"/>
        <w:spacing w:after="0" w:line="230" w:lineRule="auto"/>
        <w:tabs>
          <w:tab w:leader="none" w:pos="119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13" w:lineRule="exact"/>
        <w:rPr>
          <w:rFonts w:ascii="Arial" w:cs="Arial" w:eastAsia="Arial" w:hAnsi="Arial"/>
          <w:sz w:val="17"/>
          <w:szCs w:val="17"/>
          <w:color w:val="auto"/>
        </w:rPr>
      </w:pPr>
    </w:p>
    <w:p>
      <w:pPr>
        <w:ind w:right="200" w:firstLine="601"/>
        <w:spacing w:after="0" w:line="220" w:lineRule="auto"/>
        <w:tabs>
          <w:tab w:leader="none" w:pos="1197"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13" w:lineRule="exact"/>
        <w:rPr>
          <w:rFonts w:ascii="Arial" w:cs="Arial" w:eastAsia="Arial" w:hAnsi="Arial"/>
          <w:sz w:val="17"/>
          <w:szCs w:val="17"/>
          <w:color w:val="auto"/>
        </w:rPr>
      </w:pPr>
    </w:p>
    <w:p>
      <w:pPr>
        <w:ind w:left="1800" w:hanging="599"/>
        <w:spacing w:after="0"/>
        <w:tabs>
          <w:tab w:leader="none" w:pos="18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Executive has read this Agreement;</w:t>
      </w:r>
    </w:p>
    <w:p>
      <w:pPr>
        <w:spacing w:after="0" w:line="129" w:lineRule="exact"/>
        <w:rPr>
          <w:rFonts w:ascii="Arial" w:cs="Arial" w:eastAsia="Arial" w:hAnsi="Arial"/>
          <w:sz w:val="17"/>
          <w:szCs w:val="17"/>
          <w:color w:val="auto"/>
        </w:rPr>
      </w:pPr>
    </w:p>
    <w:p>
      <w:pPr>
        <w:ind w:left="1800" w:right="100" w:hanging="599"/>
        <w:spacing w:after="0" w:line="230" w:lineRule="auto"/>
        <w:tabs>
          <w:tab w:leader="none" w:pos="180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Executive has been represented in the preparation, negotiation, and execution of this Agreement by legal counsel of Executive’s own choice or has elected not to retain legal counsel;</w:t>
      </w:r>
    </w:p>
    <w:p>
      <w:pPr>
        <w:spacing w:after="0" w:line="113" w:lineRule="exact"/>
        <w:rPr>
          <w:rFonts w:ascii="Arial" w:cs="Arial" w:eastAsia="Arial" w:hAnsi="Arial"/>
          <w:sz w:val="17"/>
          <w:szCs w:val="17"/>
          <w:color w:val="auto"/>
        </w:rPr>
      </w:pPr>
    </w:p>
    <w:p>
      <w:pPr>
        <w:ind w:left="1820" w:hanging="619"/>
        <w:spacing w:after="0"/>
        <w:tabs>
          <w:tab w:leader="none" w:pos="18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Executive understands the terms and consequences of this Agreement and of the releases it contains; and</w:t>
      </w:r>
    </w:p>
    <w:p>
      <w:pPr>
        <w:spacing w:after="0" w:line="129" w:lineRule="exact"/>
        <w:rPr>
          <w:rFonts w:ascii="Arial" w:cs="Arial" w:eastAsia="Arial" w:hAnsi="Arial"/>
          <w:sz w:val="17"/>
          <w:szCs w:val="17"/>
          <w:color w:val="auto"/>
        </w:rPr>
      </w:pPr>
    </w:p>
    <w:p>
      <w:pPr>
        <w:ind w:left="1800" w:hanging="599"/>
        <w:spacing w:after="0"/>
        <w:tabs>
          <w:tab w:leader="none" w:pos="18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Executive is fully aware of the legal and binding effect of this Agreement.</w:t>
      </w:r>
    </w:p>
    <w:p>
      <w:pPr>
        <w:spacing w:after="0" w:line="129" w:lineRule="exact"/>
        <w:rPr>
          <w:rFonts w:ascii="Arial" w:cs="Arial" w:eastAsia="Arial" w:hAnsi="Arial"/>
          <w:sz w:val="17"/>
          <w:szCs w:val="17"/>
          <w:color w:val="auto"/>
        </w:rPr>
      </w:pPr>
    </w:p>
    <w:p>
      <w:pPr>
        <w:ind w:left="5340"/>
        <w:spacing w:after="0"/>
        <w:rPr>
          <w:rFonts w:ascii="Arial" w:cs="Arial" w:eastAsia="Arial" w:hAnsi="Arial"/>
          <w:sz w:val="17"/>
          <w:szCs w:val="17"/>
          <w:color w:val="auto"/>
        </w:rPr>
      </w:pPr>
      <w:r>
        <w:rPr>
          <w:rFonts w:ascii="Arial" w:cs="Arial" w:eastAsia="Arial" w:hAnsi="Arial"/>
          <w:sz w:val="17"/>
          <w:szCs w:val="17"/>
          <w:color w:val="auto"/>
        </w:rPr>
        <w:t>* * * * *</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follow</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15887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line="359" w:lineRule="exact"/>
        <w:rPr>
          <w:sz w:val="20"/>
          <w:szCs w:val="20"/>
          <w:color w:val="auto"/>
        </w:rPr>
      </w:pPr>
    </w:p>
    <w:p>
      <w:pPr>
        <w:ind w:left="100" w:hanging="100"/>
        <w:spacing w:after="0"/>
        <w:tabs>
          <w:tab w:leader="none" w:pos="100" w:val="left"/>
        </w:tabs>
        <w:numPr>
          <w:ilvl w:val="0"/>
          <w:numId w:val="124"/>
        </w:numPr>
        <w:rPr>
          <w:rFonts w:ascii="Arial" w:cs="Arial" w:eastAsia="Arial" w:hAnsi="Arial"/>
          <w:sz w:val="22"/>
          <w:szCs w:val="22"/>
          <w:color w:val="auto"/>
          <w:vertAlign w:val="superscript"/>
        </w:rPr>
      </w:pPr>
      <w:r>
        <w:rPr>
          <w:rFonts w:ascii="Arial" w:cs="Arial" w:eastAsia="Arial" w:hAnsi="Arial"/>
          <w:sz w:val="17"/>
          <w:szCs w:val="17"/>
          <w:color w:val="auto"/>
        </w:rPr>
        <w:t>This provision will only be included in this Agreement if Executive is age 40 or older at the time Executive’s employment relationship is terminated.</w:t>
      </w:r>
    </w:p>
    <w:p>
      <w:pPr>
        <w:ind w:left="100" w:hanging="100"/>
        <w:spacing w:after="0" w:line="197" w:lineRule="auto"/>
        <w:tabs>
          <w:tab w:leader="none" w:pos="100" w:val="left"/>
        </w:tabs>
        <w:numPr>
          <w:ilvl w:val="0"/>
          <w:numId w:val="125"/>
        </w:numPr>
        <w:rPr>
          <w:rFonts w:ascii="Arial" w:cs="Arial" w:eastAsia="Arial" w:hAnsi="Arial"/>
          <w:sz w:val="21"/>
          <w:szCs w:val="21"/>
          <w:color w:val="auto"/>
          <w:vertAlign w:val="superscript"/>
        </w:rPr>
      </w:pPr>
      <w:r>
        <w:rPr>
          <w:rFonts w:ascii="Arial" w:cs="Arial" w:eastAsia="Arial" w:hAnsi="Arial"/>
          <w:sz w:val="16"/>
          <w:szCs w:val="16"/>
          <w:color w:val="auto"/>
        </w:rPr>
        <w:t>This provision will only be included in this Agreement if Executive is under the age of 40 at the time Executive’s employment relationship is terminated.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240"/>
          </w:cols>
          <w:pgMar w:left="320" w:top="1315" w:right="339" w:bottom="1440" w:gutter="0" w:footer="0" w:header="0"/>
        </w:sectPr>
      </w:pPr>
    </w:p>
    <w:bookmarkStart w:id="121" w:name="page122"/>
    <w:bookmarkEnd w:id="121"/>
    <w:p>
      <w:pPr>
        <w:spacing w:after="0" w:line="3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this Agreement on the respective dates set forth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20" w:type="dxa"/>
            <w:vAlign w:val="bottom"/>
          </w:tcPr>
          <w:p>
            <w:pPr>
              <w:spacing w:after="0"/>
              <w:rPr>
                <w:sz w:val="20"/>
                <w:szCs w:val="20"/>
                <w:color w:val="auto"/>
              </w:rPr>
            </w:pPr>
            <w:r>
              <w:rPr>
                <w:rFonts w:ascii="Arial" w:cs="Arial" w:eastAsia="Arial" w:hAnsi="Arial"/>
                <w:sz w:val="17"/>
                <w:szCs w:val="17"/>
                <w:b w:val="1"/>
                <w:bCs w:val="1"/>
                <w:color w:val="auto"/>
              </w:rPr>
              <w:t>COMPANY</w:t>
            </w:r>
          </w:p>
        </w:tc>
        <w:tc>
          <w:tcPr>
            <w:tcW w:w="8000" w:type="dxa"/>
            <w:vAlign w:val="bottom"/>
            <w:gridSpan w:val="2"/>
          </w:tcPr>
          <w:p>
            <w:pPr>
              <w:ind w:left="2360"/>
              <w:spacing w:after="0"/>
              <w:rPr>
                <w:sz w:val="20"/>
                <w:szCs w:val="20"/>
                <w:color w:val="auto"/>
              </w:rPr>
            </w:pPr>
            <w:r>
              <w:rPr>
                <w:rFonts w:ascii="Arial" w:cs="Arial" w:eastAsia="Arial" w:hAnsi="Arial"/>
                <w:sz w:val="17"/>
                <w:szCs w:val="17"/>
                <w:color w:val="auto"/>
              </w:rPr>
              <w:t>VERACYTE, INC.</w:t>
            </w:r>
          </w:p>
        </w:tc>
      </w:tr>
      <w:tr>
        <w:trPr>
          <w:trHeight w:val="638"/>
        </w:trPr>
        <w:tc>
          <w:tcPr>
            <w:tcW w:w="3220" w:type="dxa"/>
            <w:vAlign w:val="bottom"/>
          </w:tcPr>
          <w:p>
            <w:pPr>
              <w:spacing w:after="0"/>
              <w:rPr>
                <w:sz w:val="24"/>
                <w:szCs w:val="24"/>
                <w:color w:val="auto"/>
              </w:rPr>
            </w:pPr>
          </w:p>
        </w:tc>
        <w:tc>
          <w:tcPr>
            <w:tcW w:w="3020" w:type="dxa"/>
            <w:vAlign w:val="bottom"/>
          </w:tcPr>
          <w:p>
            <w:pPr>
              <w:ind w:left="236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10795</wp:posOffset>
            </wp:positionV>
            <wp:extent cx="31623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62300" cy="8255"/>
                    </a:xfrm>
                    <a:prstGeom prst="rect">
                      <a:avLst/>
                    </a:prstGeom>
                    <a:noFill/>
                  </pic:spPr>
                </pic:pic>
              </a:graphicData>
            </a:graphic>
          </wp:anchor>
        </w:drawing>
      </w:r>
    </w:p>
    <w:p>
      <w:pPr>
        <w:spacing w:after="0" w:line="222"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CEO</w:t>
      </w:r>
    </w:p>
    <w:p>
      <w:pPr>
        <w:spacing w:after="0" w:line="1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10795</wp:posOffset>
            </wp:positionV>
            <wp:extent cx="31623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6230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10795</wp:posOffset>
            </wp:positionV>
            <wp:extent cx="31623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6230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418465</wp:posOffset>
            </wp:positionV>
            <wp:extent cx="3599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99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2700"/>
        <w:spacing w:after="0"/>
        <w:rPr>
          <w:sz w:val="20"/>
          <w:szCs w:val="20"/>
          <w:color w:val="auto"/>
        </w:rPr>
      </w:pPr>
      <w:r>
        <w:rPr>
          <w:rFonts w:ascii="Arial" w:cs="Arial" w:eastAsia="Arial" w:hAnsi="Arial"/>
          <w:sz w:val="17"/>
          <w:szCs w:val="17"/>
          <w:color w:val="auto"/>
        </w:rPr>
        <w:t>(Signature)</w:t>
      </w:r>
    </w:p>
    <w:p>
      <w:pPr>
        <w:spacing w:after="0" w:line="200" w:lineRule="exact"/>
        <w:rPr>
          <w:sz w:val="20"/>
          <w:szCs w:val="20"/>
          <w:color w:val="auto"/>
        </w:rPr>
      </w:pPr>
    </w:p>
    <w:p>
      <w:pPr>
        <w:spacing w:after="0" w:line="243"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10795</wp:posOffset>
            </wp:positionV>
            <wp:extent cx="31623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62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220"/>
          </w:cols>
          <w:pgMar w:left="340" w:top="144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21, 2022</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Via Email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0"/>
        <w:spacing w:after="0"/>
        <w:tabs>
          <w:tab w:leader="none" w:pos="10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17"/>
          <w:szCs w:val="17"/>
          <w:u w:val="single" w:color="auto"/>
          <w:color w:val="auto"/>
        </w:rPr>
        <w:t>Terms of Transition and Separation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Dear Jane:</w:t>
      </w:r>
    </w:p>
    <w:p>
      <w:pPr>
        <w:spacing w:after="0" w:line="195" w:lineRule="exact"/>
        <w:rPr>
          <w:sz w:val="20"/>
          <w:szCs w:val="20"/>
          <w:color w:val="auto"/>
        </w:rPr>
      </w:pPr>
    </w:p>
    <w:p>
      <w:pPr>
        <w:ind w:right="20" w:firstLine="601"/>
        <w:spacing w:after="0" w:line="251" w:lineRule="auto"/>
        <w:rPr>
          <w:sz w:val="20"/>
          <w:szCs w:val="20"/>
          <w:color w:val="auto"/>
        </w:rPr>
      </w:pPr>
      <w:r>
        <w:rPr>
          <w:rFonts w:ascii="Arial" w:cs="Arial" w:eastAsia="Arial" w:hAnsi="Arial"/>
          <w:sz w:val="18"/>
          <w:szCs w:val="18"/>
          <w:color w:val="auto"/>
        </w:rPr>
        <w:t>This letter confirms the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between you and Veracyte,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concerning the terms of your transition and separation from employment and offers you certain benefits to which you would not otherwise be entitled, conditioned upon your provision of a general release of claims and covenant not to sue now and upon the Separation Date (defined below) as provided herein. If you agree to the terms outlined herein, please sign and return this Agreement to me in the timeframe outlined below.</w:t>
      </w:r>
    </w:p>
    <w:p>
      <w:pPr>
        <w:spacing w:after="0" w:line="135" w:lineRule="exact"/>
        <w:rPr>
          <w:sz w:val="20"/>
          <w:szCs w:val="20"/>
          <w:color w:val="auto"/>
        </w:rPr>
      </w:pPr>
    </w:p>
    <w:p>
      <w:pPr>
        <w:ind w:firstLine="601"/>
        <w:spacing w:after="0" w:line="228" w:lineRule="auto"/>
        <w:tabs>
          <w:tab w:leader="none" w:pos="951" w:val="left"/>
        </w:tabs>
        <w:numPr>
          <w:ilvl w:val="0"/>
          <w:numId w:val="126"/>
        </w:numPr>
        <w:rPr>
          <w:rFonts w:ascii="Arial" w:cs="Arial" w:eastAsia="Arial" w:hAnsi="Arial"/>
          <w:sz w:val="20"/>
          <w:szCs w:val="20"/>
          <w:color w:val="010000"/>
        </w:rPr>
      </w:pPr>
      <w:r>
        <w:rPr>
          <w:rFonts w:ascii="Arial" w:cs="Arial" w:eastAsia="Arial" w:hAnsi="Arial"/>
          <w:sz w:val="20"/>
          <w:szCs w:val="20"/>
          <w:u w:val="single" w:color="auto"/>
          <w:color w:val="auto"/>
        </w:rPr>
        <w:t>Separation from Employment</w:t>
      </w:r>
      <w:r>
        <w:rPr>
          <w:rFonts w:ascii="Arial" w:cs="Arial" w:eastAsia="Arial" w:hAnsi="Arial"/>
          <w:sz w:val="20"/>
          <w:szCs w:val="20"/>
          <w:color w:val="auto"/>
        </w:rPr>
        <w:t>: As you know, the Company has determined that it is in the Company’s best interest for you and the Company to part ways and for your employment with the Company to end. The Company has discussed with you the terms under which it is willing to continue your employment through the Transition Period, as described further below.</w:t>
      </w:r>
    </w:p>
    <w:p>
      <w:pPr>
        <w:spacing w:after="0" w:line="145" w:lineRule="exact"/>
        <w:rPr>
          <w:rFonts w:ascii="Arial" w:cs="Arial" w:eastAsia="Arial" w:hAnsi="Arial"/>
          <w:sz w:val="20"/>
          <w:szCs w:val="20"/>
          <w:color w:val="010000"/>
        </w:rPr>
      </w:pPr>
    </w:p>
    <w:p>
      <w:pPr>
        <w:ind w:right="300" w:firstLine="601"/>
        <w:spacing w:after="0" w:line="228" w:lineRule="auto"/>
        <w:tabs>
          <w:tab w:leader="none" w:pos="951" w:val="left"/>
        </w:tabs>
        <w:numPr>
          <w:ilvl w:val="0"/>
          <w:numId w:val="126"/>
        </w:numPr>
        <w:rPr>
          <w:rFonts w:ascii="Arial" w:cs="Arial" w:eastAsia="Arial" w:hAnsi="Arial"/>
          <w:sz w:val="20"/>
          <w:szCs w:val="20"/>
          <w:color w:val="010000"/>
        </w:rPr>
      </w:pPr>
      <w:r>
        <w:rPr>
          <w:rFonts w:ascii="Arial" w:cs="Arial" w:eastAsia="Arial" w:hAnsi="Arial"/>
          <w:sz w:val="20"/>
          <w:szCs w:val="20"/>
          <w:u w:val="single" w:color="auto"/>
          <w:color w:val="auto"/>
        </w:rPr>
        <w:t>Continued Employment; Other Release Consideration</w:t>
      </w:r>
      <w:r>
        <w:rPr>
          <w:rFonts w:ascii="Arial" w:cs="Arial" w:eastAsia="Arial" w:hAnsi="Arial"/>
          <w:sz w:val="20"/>
          <w:szCs w:val="20"/>
          <w:color w:val="auto"/>
        </w:rPr>
        <w:t>: In exchange for your agreement to the general release and waiver of claims and covenant not to sue set forth below and your other promises herein, the Company agrees to continue your employment on the following terms:</w:t>
      </w:r>
    </w:p>
    <w:p>
      <w:pPr>
        <w:spacing w:after="0" w:line="145" w:lineRule="exact"/>
        <w:rPr>
          <w:rFonts w:ascii="Arial" w:cs="Arial" w:eastAsia="Arial" w:hAnsi="Arial"/>
          <w:sz w:val="20"/>
          <w:szCs w:val="20"/>
          <w:color w:val="010000"/>
        </w:rPr>
      </w:pPr>
    </w:p>
    <w:p>
      <w:pPr>
        <w:ind w:right="100" w:firstLine="1201"/>
        <w:spacing w:after="0" w:line="216" w:lineRule="auto"/>
        <w:tabs>
          <w:tab w:leader="none" w:pos="1540" w:val="left"/>
        </w:tabs>
        <w:numPr>
          <w:ilvl w:val="1"/>
          <w:numId w:val="126"/>
        </w:numPr>
        <w:rPr>
          <w:rFonts w:ascii="Arial" w:cs="Arial" w:eastAsia="Arial" w:hAnsi="Arial"/>
          <w:sz w:val="20"/>
          <w:szCs w:val="20"/>
          <w:color w:val="010000"/>
        </w:rPr>
      </w:pPr>
      <w:r>
        <w:rPr>
          <w:rFonts w:ascii="Arial" w:cs="Arial" w:eastAsia="Arial" w:hAnsi="Arial"/>
          <w:sz w:val="20"/>
          <w:szCs w:val="20"/>
          <w:u w:val="single" w:color="auto"/>
          <w:color w:val="auto"/>
        </w:rPr>
        <w:t>Separation Date; Transition Period and Services</w:t>
      </w:r>
      <w:r>
        <w:rPr>
          <w:rFonts w:ascii="Arial" w:cs="Arial" w:eastAsia="Arial" w:hAnsi="Arial"/>
          <w:sz w:val="20"/>
          <w:szCs w:val="20"/>
          <w:color w:val="auto"/>
        </w:rPr>
        <w:t>: Your last day of employment with the Company will be June 30, 2022 (the “</w:t>
      </w:r>
      <w:r>
        <w:rPr>
          <w:rFonts w:ascii="Arial" w:cs="Arial" w:eastAsia="Arial" w:hAnsi="Arial"/>
          <w:sz w:val="20"/>
          <w:szCs w:val="20"/>
          <w:b w:val="1"/>
          <w:bCs w:val="1"/>
          <w:i w:val="1"/>
          <w:iCs w:val="1"/>
          <w:color w:val="auto"/>
        </w:rPr>
        <w:t>Separation Date</w:t>
      </w:r>
      <w:r>
        <w:rPr>
          <w:rFonts w:ascii="Arial" w:cs="Arial" w:eastAsia="Arial" w:hAnsi="Arial"/>
          <w:sz w:val="20"/>
          <w:szCs w:val="20"/>
          <w:color w:val="auto"/>
        </w:rPr>
        <w:t>”). Effective as of February 22, 2022, and until the Separation Date (the “</w:t>
      </w:r>
      <w:r>
        <w:rPr>
          <w:rFonts w:ascii="Arial" w:cs="Arial" w:eastAsia="Arial" w:hAnsi="Arial"/>
          <w:sz w:val="20"/>
          <w:szCs w:val="20"/>
          <w:b w:val="1"/>
          <w:bCs w:val="1"/>
          <w:i w:val="1"/>
          <w:iCs w:val="1"/>
          <w:color w:val="auto"/>
        </w:rPr>
        <w:t>Transition Period</w:t>
      </w:r>
      <w:r>
        <w:rPr>
          <w:rFonts w:ascii="Arial" w:cs="Arial" w:eastAsia="Arial" w:hAnsi="Arial"/>
          <w:sz w:val="20"/>
          <w:szCs w:val="20"/>
          <w:color w:val="auto"/>
        </w:rPr>
        <w:t>”), you agree to temporarily carry out the duties and responsibilities of your new position of Vice President, Accounting as directed principally by Jonathan Wygant, to whom you will report, and to provide other transition services as may reasonably be requested by the Company, including transition of the responsibilities, duties, and knowledge relative to your position (the “</w:t>
      </w:r>
      <w:r>
        <w:rPr>
          <w:rFonts w:ascii="Arial" w:cs="Arial" w:eastAsia="Arial" w:hAnsi="Arial"/>
          <w:sz w:val="20"/>
          <w:szCs w:val="20"/>
          <w:b w:val="1"/>
          <w:bCs w:val="1"/>
          <w:i w:val="1"/>
          <w:iCs w:val="1"/>
          <w:color w:val="auto"/>
        </w:rPr>
        <w:t>Transition Services</w:t>
      </w:r>
      <w:r>
        <w:rPr>
          <w:rFonts w:ascii="Arial" w:cs="Arial" w:eastAsia="Arial" w:hAnsi="Arial"/>
          <w:sz w:val="20"/>
          <w:szCs w:val="20"/>
          <w:color w:val="auto"/>
        </w:rPr>
        <w:t>”). During the Transition Period, you will maintain a full-time schedule. Notwithstanding the forgoing, you will remain “Principal Accounting Officer” as defined under the Securities Exchange Act of 1934, as amended, until March 1, 2022, and then cease to serve in such capacity or as an officer of the Company.</w:t>
      </w:r>
    </w:p>
    <w:p>
      <w:pPr>
        <w:spacing w:after="0" w:line="145" w:lineRule="exact"/>
        <w:rPr>
          <w:rFonts w:ascii="Arial" w:cs="Arial" w:eastAsia="Arial" w:hAnsi="Arial"/>
          <w:sz w:val="20"/>
          <w:szCs w:val="20"/>
          <w:color w:val="010000"/>
        </w:rPr>
      </w:pPr>
    </w:p>
    <w:p>
      <w:pPr>
        <w:ind w:right="180" w:firstLine="1201"/>
        <w:spacing w:after="0" w:line="289" w:lineRule="auto"/>
        <w:tabs>
          <w:tab w:leader="none" w:pos="1552" w:val="left"/>
        </w:tabs>
        <w:numPr>
          <w:ilvl w:val="1"/>
          <w:numId w:val="126"/>
        </w:numPr>
        <w:rPr>
          <w:rFonts w:ascii="Arial" w:cs="Arial" w:eastAsia="Arial" w:hAnsi="Arial"/>
          <w:sz w:val="18"/>
          <w:szCs w:val="18"/>
          <w:color w:val="010000"/>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 During the Transition Period, the Company will continue to pay you your current base salary and you will continue to be eligible to participate in benefits customarily afforded to other employees, including participation in the</w:t>
      </w:r>
    </w:p>
    <w:p>
      <w:pPr>
        <w:sectPr>
          <w:pgSz w:w="11900" w:h="16838" w:orient="portrait"/>
          <w:cols w:equalWidth="0" w:num="1">
            <w:col w:w="11240"/>
          </w:cols>
          <w:pgMar w:left="320" w:top="101" w:right="3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Jane Alley</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38" w:lineRule="auto"/>
        <w:rPr>
          <w:sz w:val="20"/>
          <w:szCs w:val="20"/>
          <w:color w:val="auto"/>
        </w:rPr>
      </w:pPr>
      <w:r>
        <w:rPr>
          <w:rFonts w:ascii="Arial" w:cs="Arial" w:eastAsia="Arial" w:hAnsi="Arial"/>
          <w:sz w:val="20"/>
          <w:szCs w:val="20"/>
          <w:color w:val="auto"/>
        </w:rPr>
        <w:t>Company-sponsored health benefits plan and continued equity vesting, to the fullest extent allowed by the governing plans, agreements, or policies.</w:t>
      </w:r>
    </w:p>
    <w:p>
      <w:pPr>
        <w:spacing w:after="0" w:line="144" w:lineRule="exact"/>
        <w:rPr>
          <w:sz w:val="20"/>
          <w:szCs w:val="20"/>
          <w:color w:val="auto"/>
        </w:rPr>
      </w:pPr>
    </w:p>
    <w:p>
      <w:pPr>
        <w:ind w:firstLine="1201"/>
        <w:spacing w:after="0" w:line="220" w:lineRule="auto"/>
        <w:tabs>
          <w:tab w:leader="none" w:pos="1540" w:val="left"/>
        </w:tabs>
        <w:numPr>
          <w:ilvl w:val="0"/>
          <w:numId w:val="127"/>
        </w:numPr>
        <w:rPr>
          <w:rFonts w:ascii="Arial" w:cs="Arial" w:eastAsia="Arial" w:hAnsi="Arial"/>
          <w:sz w:val="20"/>
          <w:szCs w:val="20"/>
          <w:color w:val="010000"/>
        </w:rPr>
      </w:pPr>
      <w:r>
        <w:rPr>
          <w:rFonts w:ascii="Arial" w:cs="Arial" w:eastAsia="Arial" w:hAnsi="Arial"/>
          <w:sz w:val="20"/>
          <w:szCs w:val="20"/>
          <w:u w:val="single" w:color="auto"/>
          <w:color w:val="auto"/>
        </w:rPr>
        <w:t>Separation Compensation</w:t>
      </w:r>
      <w:r>
        <w:rPr>
          <w:rFonts w:ascii="Arial" w:cs="Arial" w:eastAsia="Arial" w:hAnsi="Arial"/>
          <w:sz w:val="20"/>
          <w:szCs w:val="20"/>
          <w:color w:val="auto"/>
        </w:rPr>
        <w:t xml:space="preserve">: Provided that you cooperatively and diligently provide the Transition Services as determined by the Company in good faith and in its sole discretion, and conditioned upon the approval of the Compensation Committee of the Company’s Board of Directors, in exchange for your agreement to the general release and waiver of claims and covenant not to sue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Second Release</w:t>
      </w:r>
      <w:r>
        <w:rPr>
          <w:rFonts w:ascii="Arial" w:cs="Arial" w:eastAsia="Arial" w:hAnsi="Arial"/>
          <w:sz w:val="20"/>
          <w:szCs w:val="20"/>
          <w:color w:val="auto"/>
        </w:rPr>
        <w:t xml:space="preserve">”), </w:t>
      </w:r>
      <w:r>
        <w:rPr>
          <w:rFonts w:ascii="Arial" w:cs="Arial" w:eastAsia="Arial" w:hAnsi="Arial"/>
          <w:sz w:val="20"/>
          <w:szCs w:val="20"/>
          <w:u w:val="single" w:color="auto"/>
          <w:color w:val="auto"/>
        </w:rPr>
        <w:t>to be signed no earlier than the Separation Date</w:t>
      </w:r>
      <w:r>
        <w:rPr>
          <w:rFonts w:ascii="Arial" w:cs="Arial" w:eastAsia="Arial" w:hAnsi="Arial"/>
          <w:sz w:val="20"/>
          <w:szCs w:val="20"/>
          <w:color w:val="auto"/>
        </w:rPr>
        <w:t>, and your other promises herein, the Company agrees as follows:</w:t>
      </w:r>
    </w:p>
    <w:p>
      <w:pPr>
        <w:spacing w:after="0" w:line="147" w:lineRule="exact"/>
        <w:rPr>
          <w:rFonts w:ascii="Arial" w:cs="Arial" w:eastAsia="Arial" w:hAnsi="Arial"/>
          <w:sz w:val="20"/>
          <w:szCs w:val="20"/>
          <w:color w:val="010000"/>
        </w:rPr>
      </w:pPr>
    </w:p>
    <w:p>
      <w:pPr>
        <w:ind w:right="420" w:firstLine="1802"/>
        <w:spacing w:after="0" w:line="228" w:lineRule="auto"/>
        <w:tabs>
          <w:tab w:leader="none" w:pos="2107" w:val="left"/>
        </w:tabs>
        <w:numPr>
          <w:ilvl w:val="1"/>
          <w:numId w:val="127"/>
        </w:numPr>
        <w:rPr>
          <w:rFonts w:ascii="Arial" w:cs="Arial" w:eastAsia="Arial" w:hAnsi="Arial"/>
          <w:sz w:val="20"/>
          <w:szCs w:val="20"/>
          <w:color w:val="010000"/>
        </w:rPr>
      </w:pPr>
      <w:r>
        <w:rPr>
          <w:rFonts w:ascii="Arial" w:cs="Arial" w:eastAsia="Arial" w:hAnsi="Arial"/>
          <w:sz w:val="20"/>
          <w:szCs w:val="20"/>
          <w:u w:val="single" w:color="auto"/>
          <w:color w:val="auto"/>
        </w:rPr>
        <w:t>Severance</w:t>
      </w:r>
      <w:r>
        <w:rPr>
          <w:rFonts w:ascii="Arial" w:cs="Arial" w:eastAsia="Arial" w:hAnsi="Arial"/>
          <w:sz w:val="20"/>
          <w:szCs w:val="20"/>
          <w:color w:val="auto"/>
        </w:rPr>
        <w:t>: The Company agrees to pay you, within ten (10) business days following the effectiveness of the Second Release (as provided therein), a lump sum payment in the gross amount of $75,000, less applicable state and federal payroll deductions, which equals three (3) months of your current base salary; and</w:t>
      </w:r>
    </w:p>
    <w:p>
      <w:pPr>
        <w:spacing w:after="0" w:line="145" w:lineRule="exact"/>
        <w:rPr>
          <w:rFonts w:ascii="Arial" w:cs="Arial" w:eastAsia="Arial" w:hAnsi="Arial"/>
          <w:sz w:val="20"/>
          <w:szCs w:val="20"/>
          <w:color w:val="010000"/>
        </w:rPr>
      </w:pPr>
    </w:p>
    <w:p>
      <w:pPr>
        <w:ind w:firstLine="1802"/>
        <w:spacing w:after="0" w:line="235" w:lineRule="auto"/>
        <w:tabs>
          <w:tab w:leader="none" w:pos="2163" w:val="left"/>
        </w:tabs>
        <w:numPr>
          <w:ilvl w:val="1"/>
          <w:numId w:val="127"/>
        </w:numPr>
        <w:rPr>
          <w:rFonts w:ascii="Arial" w:cs="Arial" w:eastAsia="Arial" w:hAnsi="Arial"/>
          <w:sz w:val="19"/>
          <w:szCs w:val="19"/>
          <w:color w:val="010000"/>
        </w:rPr>
      </w:pPr>
      <w:r>
        <w:rPr>
          <w:rFonts w:ascii="Arial" w:cs="Arial" w:eastAsia="Arial" w:hAnsi="Arial"/>
          <w:sz w:val="19"/>
          <w:szCs w:val="19"/>
          <w:u w:val="single" w:color="auto"/>
          <w:color w:val="auto"/>
        </w:rPr>
        <w:t>COBRA</w:t>
      </w:r>
      <w:r>
        <w:rPr>
          <w:rFonts w:ascii="Arial" w:cs="Arial" w:eastAsia="Arial" w:hAnsi="Arial"/>
          <w:sz w:val="19"/>
          <w:szCs w:val="19"/>
          <w:color w:val="auto"/>
        </w:rPr>
        <w:t>: Upon your timely election to continue your existing health benefits under COBRA, and consistent with the terms of COBRA and the Company’s health insurance plan, the Company will pay the insurance premiums to continue your existing health benefits for three (3) months following the Separation Date. You will remain responsible for, and must continue to pay, the portion of premiums, co-payments, etc. that you would have paid had your employment continued.</w:t>
      </w:r>
    </w:p>
    <w:p>
      <w:pPr>
        <w:spacing w:after="0" w:line="145" w:lineRule="exact"/>
        <w:rPr>
          <w:sz w:val="20"/>
          <w:szCs w:val="20"/>
          <w:color w:val="auto"/>
        </w:rPr>
      </w:pPr>
    </w:p>
    <w:p>
      <w:pPr>
        <w:ind w:right="180" w:firstLine="601"/>
        <w:spacing w:after="0" w:line="228" w:lineRule="auto"/>
        <w:rPr>
          <w:sz w:val="20"/>
          <w:szCs w:val="20"/>
          <w:color w:val="auto"/>
        </w:rPr>
      </w:pPr>
      <w:r>
        <w:rPr>
          <w:rFonts w:ascii="Arial" w:cs="Arial" w:eastAsia="Arial" w:hAnsi="Arial"/>
          <w:sz w:val="20"/>
          <w:szCs w:val="20"/>
          <w:color w:val="auto"/>
        </w:rPr>
        <w:t>By signing below, you acknowledge that you are receiving the release consideration outlined in this paragraph in consideration for waiving your rights to claims referred to in this Agreement (and the Second Release, if applicable) and that you would not otherwise be entitled to the release consideration.</w:t>
      </w:r>
    </w:p>
    <w:p>
      <w:pPr>
        <w:spacing w:after="0" w:line="145" w:lineRule="exact"/>
        <w:rPr>
          <w:sz w:val="20"/>
          <w:szCs w:val="20"/>
          <w:color w:val="auto"/>
        </w:rPr>
      </w:pPr>
    </w:p>
    <w:p>
      <w:pPr>
        <w:ind w:right="80" w:firstLine="601"/>
        <w:spacing w:after="0" w:line="223" w:lineRule="auto"/>
        <w:tabs>
          <w:tab w:leader="none" w:pos="951" w:val="left"/>
        </w:tabs>
        <w:numPr>
          <w:ilvl w:val="0"/>
          <w:numId w:val="128"/>
        </w:numPr>
        <w:rPr>
          <w:rFonts w:ascii="Arial" w:cs="Arial" w:eastAsia="Arial" w:hAnsi="Arial"/>
          <w:sz w:val="20"/>
          <w:szCs w:val="20"/>
          <w:color w:val="010000"/>
        </w:rPr>
      </w:pPr>
      <w:r>
        <w:rPr>
          <w:rFonts w:ascii="Arial" w:cs="Arial" w:eastAsia="Arial" w:hAnsi="Arial"/>
          <w:sz w:val="20"/>
          <w:szCs w:val="20"/>
          <w:u w:val="single" w:color="auto"/>
          <w:color w:val="auto"/>
        </w:rPr>
        <w:t>Final Pay</w:t>
      </w:r>
      <w:r>
        <w:rPr>
          <w:rFonts w:ascii="Arial" w:cs="Arial" w:eastAsia="Arial" w:hAnsi="Arial"/>
          <w:sz w:val="20"/>
          <w:szCs w:val="20"/>
          <w:color w:val="auto"/>
        </w:rPr>
        <w:t>: On your final day of employment, the Company will pay you for all wages, salary, bonuses, commissions, reimbursable expenses previously submitted by you, accrued vacation (if applicable) and any similar payments due you from the Company as of your separation from employment. By signing below, you acknowledge that the Company does not owe you any other amounts, except as otherwise may become payable under this Agreement.</w:t>
      </w:r>
    </w:p>
    <w:p>
      <w:pPr>
        <w:spacing w:after="0" w:line="146" w:lineRule="exact"/>
        <w:rPr>
          <w:rFonts w:ascii="Arial" w:cs="Arial" w:eastAsia="Arial" w:hAnsi="Arial"/>
          <w:sz w:val="20"/>
          <w:szCs w:val="20"/>
          <w:color w:val="010000"/>
        </w:rPr>
      </w:pPr>
    </w:p>
    <w:p>
      <w:pPr>
        <w:ind w:right="280" w:firstLine="601"/>
        <w:spacing w:after="0" w:line="289" w:lineRule="auto"/>
        <w:tabs>
          <w:tab w:leader="none" w:pos="951" w:val="left"/>
        </w:tabs>
        <w:numPr>
          <w:ilvl w:val="0"/>
          <w:numId w:val="128"/>
        </w:numPr>
        <w:rPr>
          <w:rFonts w:ascii="Arial" w:cs="Arial" w:eastAsia="Arial" w:hAnsi="Arial"/>
          <w:sz w:val="18"/>
          <w:szCs w:val="18"/>
          <w:color w:val="010000"/>
        </w:rPr>
      </w:pP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You hereby warrant to the Company that, no later than your final day of employment, you will return to the Company all property or data of the Company of any type whatsoever that has been in your possession or control.</w:t>
      </w:r>
    </w:p>
    <w:p>
      <w:pPr>
        <w:spacing w:after="0" w:line="102" w:lineRule="exact"/>
        <w:rPr>
          <w:rFonts w:ascii="Arial" w:cs="Arial" w:eastAsia="Arial" w:hAnsi="Arial"/>
          <w:sz w:val="18"/>
          <w:szCs w:val="18"/>
          <w:color w:val="010000"/>
        </w:rPr>
      </w:pPr>
    </w:p>
    <w:p>
      <w:pPr>
        <w:ind w:right="160" w:firstLine="601"/>
        <w:spacing w:after="0" w:line="246" w:lineRule="auto"/>
        <w:tabs>
          <w:tab w:leader="none" w:pos="951" w:val="left"/>
        </w:tabs>
        <w:numPr>
          <w:ilvl w:val="0"/>
          <w:numId w:val="128"/>
        </w:numPr>
        <w:rPr>
          <w:rFonts w:ascii="Arial" w:cs="Arial" w:eastAsia="Arial" w:hAnsi="Arial"/>
          <w:sz w:val="18"/>
          <w:szCs w:val="18"/>
          <w:color w:val="010000"/>
        </w:rPr>
      </w:pPr>
      <w:r>
        <w:rPr>
          <w:rFonts w:ascii="Arial" w:cs="Arial" w:eastAsia="Arial" w:hAnsi="Arial"/>
          <w:sz w:val="18"/>
          <w:szCs w:val="18"/>
          <w:u w:val="single" w:color="auto"/>
          <w:color w:val="auto"/>
        </w:rPr>
        <w:t>Post-Employment Obligations</w:t>
      </w:r>
      <w:r>
        <w:rPr>
          <w:rFonts w:ascii="Arial" w:cs="Arial" w:eastAsia="Arial" w:hAnsi="Arial"/>
          <w:sz w:val="18"/>
          <w:szCs w:val="18"/>
          <w:color w:val="auto"/>
        </w:rPr>
        <w:t>: You hereby acknowledge that: (a) you continue to be bound by the attached At-Will Employment, Confidential Information, Invention Assignment, and Arbitration Agreement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(b) as a result of your employment with the Company, you have had access to the Company’s proprietary and/or confidential information, and you will continue to hold all such information in strictest confidence and not make use of it on behalf of anyone; and (c) you must, and by your signature below confirm that you shall, deliver to the Company, no later than the Separation Date, all documents and data of any nature</w:t>
      </w:r>
    </w:p>
    <w:p>
      <w:pPr>
        <w:sectPr>
          <w:pgSz w:w="11900" w:h="16838" w:orient="portrait"/>
          <w:cols w:equalWidth="0" w:num="1">
            <w:col w:w="11220"/>
          </w:cols>
          <w:pgMar w:left="320" w:top="94" w:right="35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color w:val="auto"/>
        </w:rPr>
        <w:t>Jane Alley</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color w:val="auto"/>
        </w:rPr>
        <w:t>containing or pertaining to such information, and not take with you, or otherwise retain in any respect, any such documents or data or any reproduction thereof.</w:t>
      </w:r>
    </w:p>
    <w:p>
      <w:pPr>
        <w:spacing w:after="0" w:line="144" w:lineRule="exact"/>
        <w:rPr>
          <w:sz w:val="20"/>
          <w:szCs w:val="20"/>
          <w:color w:val="auto"/>
        </w:rPr>
      </w:pPr>
    </w:p>
    <w:p>
      <w:pPr>
        <w:ind w:left="960" w:hanging="359"/>
        <w:spacing w:after="0"/>
        <w:tabs>
          <w:tab w:leader="none" w:pos="960" w:val="left"/>
        </w:tabs>
        <w:numPr>
          <w:ilvl w:val="0"/>
          <w:numId w:val="129"/>
        </w:numPr>
        <w:rPr>
          <w:rFonts w:ascii="Arial" w:cs="Arial" w:eastAsia="Arial" w:hAnsi="Arial"/>
          <w:sz w:val="19"/>
          <w:szCs w:val="19"/>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You hold the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and stock options (the “</w:t>
      </w:r>
      <w:r>
        <w:rPr>
          <w:rFonts w:ascii="Arial" w:cs="Arial" w:eastAsia="Arial" w:hAnsi="Arial"/>
          <w:sz w:val="19"/>
          <w:szCs w:val="19"/>
          <w:b w:val="1"/>
          <w:bCs w:val="1"/>
          <w:i w:val="1"/>
          <w:iCs w:val="1"/>
          <w:color w:val="auto"/>
        </w:rPr>
        <w:t>Options</w:t>
      </w:r>
      <w:r>
        <w:rPr>
          <w:rFonts w:ascii="Arial" w:cs="Arial" w:eastAsia="Arial" w:hAnsi="Arial"/>
          <w:sz w:val="19"/>
          <w:szCs w:val="19"/>
          <w:color w:val="auto"/>
        </w:rPr>
        <w:t>” and together with the RSUs, the</w:t>
      </w:r>
    </w:p>
    <w:p>
      <w:pPr>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Equity Awards</w:t>
      </w:r>
      <w:r>
        <w:rPr>
          <w:rFonts w:ascii="Arial" w:cs="Arial" w:eastAsia="Arial" w:hAnsi="Arial"/>
          <w:sz w:val="20"/>
          <w:szCs w:val="20"/>
          <w:color w:val="auto"/>
        </w:rPr>
        <w:t>”) granted pursuant to the Company’s 2013 Stock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applicable stock option agreement or restricted stock unit agreement (each, an “</w:t>
      </w:r>
      <w:r>
        <w:rPr>
          <w:rFonts w:ascii="Arial" w:cs="Arial" w:eastAsia="Arial" w:hAnsi="Arial"/>
          <w:sz w:val="20"/>
          <w:szCs w:val="20"/>
          <w:b w:val="1"/>
          <w:bCs w:val="1"/>
          <w:i w:val="1"/>
          <w:iCs w:val="1"/>
          <w:color w:val="auto"/>
        </w:rPr>
        <w:t>Equity Award Agreement</w:t>
      </w:r>
      <w:r>
        <w:rPr>
          <w:rFonts w:ascii="Arial" w:cs="Arial" w:eastAsia="Arial" w:hAnsi="Arial"/>
          <w:sz w:val="20"/>
          <w:szCs w:val="20"/>
          <w:color w:val="auto"/>
        </w:rPr>
        <w:t>”) as set forth in the following table, and as of the date of this letter, such Equity Awards are vested as to such number of shares and remain unvested as to such number of shares as indicated in the following table:</w:t>
      </w:r>
    </w:p>
    <w:p>
      <w:pPr>
        <w:spacing w:after="0" w:line="186" w:lineRule="exact"/>
        <w:rPr>
          <w:sz w:val="20"/>
          <w:szCs w:val="20"/>
          <w:color w:val="auto"/>
        </w:rPr>
      </w:pPr>
    </w:p>
    <w:tbl>
      <w:tblPr>
        <w:tblLayout w:type="fixed"/>
        <w:tblInd w:w="110" w:type="dxa"/>
        <w:tblCellMar>
          <w:top w:w="0" w:type="dxa"/>
          <w:left w:w="0" w:type="dxa"/>
          <w:bottom w:w="0" w:type="dxa"/>
          <w:right w:w="0" w:type="dxa"/>
        </w:tblCellMar>
      </w:tblPr>
      <w:tr>
        <w:trPr>
          <w:trHeight w:val="200"/>
        </w:trPr>
        <w:tc>
          <w:tcPr>
            <w:tcW w:w="2380" w:type="dxa"/>
            <w:vAlign w:val="bottom"/>
            <w:tcBorders>
              <w:top w:val="single" w:sz="8" w:color="auto"/>
              <w:left w:val="single" w:sz="8" w:color="auto"/>
              <w:right w:val="single" w:sz="8" w:color="auto"/>
            </w:tcBorders>
          </w:tcPr>
          <w:p>
            <w:pPr>
              <w:ind w:left="80"/>
              <w:spacing w:after="0" w:line="200" w:lineRule="exact"/>
              <w:rPr>
                <w:sz w:val="20"/>
                <w:szCs w:val="20"/>
                <w:color w:val="auto"/>
              </w:rPr>
            </w:pPr>
            <w:r>
              <w:rPr>
                <w:rFonts w:ascii="Arial" w:cs="Arial" w:eastAsia="Arial" w:hAnsi="Arial"/>
                <w:sz w:val="20"/>
                <w:szCs w:val="20"/>
                <w:b w:val="1"/>
                <w:bCs w:val="1"/>
                <w:color w:val="auto"/>
              </w:rPr>
              <w:t>Date of Grant</w:t>
            </w:r>
          </w:p>
        </w:tc>
        <w:tc>
          <w:tcPr>
            <w:tcW w:w="2040" w:type="dxa"/>
            <w:vAlign w:val="bottom"/>
            <w:tcBorders>
              <w:top w:val="single" w:sz="8" w:color="auto"/>
              <w:right w:val="single" w:sz="8" w:color="auto"/>
            </w:tcBorders>
          </w:tcPr>
          <w:p>
            <w:pPr>
              <w:ind w:left="60"/>
              <w:spacing w:after="0" w:line="200" w:lineRule="exact"/>
              <w:rPr>
                <w:sz w:val="20"/>
                <w:szCs w:val="20"/>
                <w:color w:val="auto"/>
              </w:rPr>
            </w:pPr>
            <w:r>
              <w:rPr>
                <w:rFonts w:ascii="Arial" w:cs="Arial" w:eastAsia="Arial" w:hAnsi="Arial"/>
                <w:sz w:val="20"/>
                <w:szCs w:val="20"/>
                <w:b w:val="1"/>
                <w:bCs w:val="1"/>
                <w:color w:val="auto"/>
              </w:rPr>
              <w:t>Award Type</w:t>
            </w:r>
          </w:p>
        </w:tc>
        <w:tc>
          <w:tcPr>
            <w:tcW w:w="2100" w:type="dxa"/>
            <w:vAlign w:val="bottom"/>
            <w:tcBorders>
              <w:top w:val="single" w:sz="8" w:color="auto"/>
              <w:right w:val="single" w:sz="8" w:color="auto"/>
            </w:tcBorders>
          </w:tcPr>
          <w:p>
            <w:pPr>
              <w:ind w:left="60"/>
              <w:spacing w:after="0" w:line="200" w:lineRule="exact"/>
              <w:rPr>
                <w:sz w:val="20"/>
                <w:szCs w:val="20"/>
                <w:color w:val="auto"/>
              </w:rPr>
            </w:pPr>
            <w:r>
              <w:rPr>
                <w:rFonts w:ascii="Arial" w:cs="Arial" w:eastAsia="Arial" w:hAnsi="Arial"/>
                <w:sz w:val="20"/>
                <w:szCs w:val="20"/>
                <w:b w:val="1"/>
                <w:bCs w:val="1"/>
                <w:color w:val="auto"/>
              </w:rPr>
              <w:t>Original Number of</w:t>
            </w:r>
          </w:p>
        </w:tc>
        <w:tc>
          <w:tcPr>
            <w:tcW w:w="2180" w:type="dxa"/>
            <w:vAlign w:val="bottom"/>
            <w:tcBorders>
              <w:top w:val="single" w:sz="8" w:color="auto"/>
              <w:right w:val="single" w:sz="8" w:color="auto"/>
            </w:tcBorders>
          </w:tcPr>
          <w:p>
            <w:pPr>
              <w:ind w:left="60"/>
              <w:spacing w:after="0" w:line="200" w:lineRule="exact"/>
              <w:rPr>
                <w:sz w:val="20"/>
                <w:szCs w:val="20"/>
                <w:color w:val="auto"/>
              </w:rPr>
            </w:pPr>
            <w:r>
              <w:rPr>
                <w:rFonts w:ascii="Arial" w:cs="Arial" w:eastAsia="Arial" w:hAnsi="Arial"/>
                <w:sz w:val="20"/>
                <w:szCs w:val="20"/>
                <w:b w:val="1"/>
                <w:bCs w:val="1"/>
                <w:color w:val="auto"/>
              </w:rPr>
              <w:t>Outstanding Vested</w:t>
            </w:r>
          </w:p>
        </w:tc>
        <w:tc>
          <w:tcPr>
            <w:tcW w:w="2160" w:type="dxa"/>
            <w:vAlign w:val="bottom"/>
            <w:tcBorders>
              <w:top w:val="single" w:sz="8" w:color="auto"/>
              <w:right w:val="single" w:sz="8" w:color="auto"/>
            </w:tcBorders>
          </w:tcPr>
          <w:p>
            <w:pPr>
              <w:ind w:left="60"/>
              <w:spacing w:after="0" w:line="200" w:lineRule="exact"/>
              <w:rPr>
                <w:sz w:val="20"/>
                <w:szCs w:val="20"/>
                <w:color w:val="auto"/>
              </w:rPr>
            </w:pPr>
            <w:r>
              <w:rPr>
                <w:rFonts w:ascii="Arial" w:cs="Arial" w:eastAsia="Arial" w:hAnsi="Arial"/>
                <w:sz w:val="20"/>
                <w:szCs w:val="20"/>
                <w:b w:val="1"/>
                <w:bCs w:val="1"/>
                <w:color w:val="auto"/>
                <w:w w:val="96"/>
              </w:rPr>
              <w:t>Outstanding Unvested</w:t>
            </w:r>
          </w:p>
        </w:tc>
      </w:tr>
      <w:tr>
        <w:trPr>
          <w:trHeight w:val="262"/>
        </w:trPr>
        <w:tc>
          <w:tcPr>
            <w:tcW w:w="2380" w:type="dxa"/>
            <w:vAlign w:val="bottom"/>
            <w:tcBorders>
              <w:left w:val="single" w:sz="8" w:color="auto"/>
              <w:bottom w:val="single" w:sz="8" w:color="auto"/>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spacing w:after="0"/>
              <w:rPr>
                <w:sz w:val="22"/>
                <w:szCs w:val="22"/>
                <w:color w:val="auto"/>
              </w:rPr>
            </w:pPr>
          </w:p>
        </w:tc>
        <w:tc>
          <w:tcPr>
            <w:tcW w:w="2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Shares</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Shares</w:t>
            </w: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Shares</w:t>
            </w:r>
          </w:p>
        </w:tc>
      </w:tr>
      <w:tr>
        <w:trPr>
          <w:trHeight w:val="244"/>
        </w:trPr>
        <w:tc>
          <w:tcPr>
            <w:tcW w:w="2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May 15, 2021</w:t>
            </w: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RSU</w:t>
            </w:r>
          </w:p>
        </w:tc>
        <w:tc>
          <w:tcPr>
            <w:tcW w:w="2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5,500</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0</w:t>
            </w: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5,500</w:t>
            </w:r>
          </w:p>
        </w:tc>
      </w:tr>
      <w:tr>
        <w:trPr>
          <w:trHeight w:val="243"/>
        </w:trPr>
        <w:tc>
          <w:tcPr>
            <w:tcW w:w="2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April 1, 2021</w:t>
            </w: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ISO</w:t>
            </w:r>
          </w:p>
        </w:tc>
        <w:tc>
          <w:tcPr>
            <w:tcW w:w="2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5,396</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0</w:t>
            </w: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5,396</w:t>
            </w:r>
          </w:p>
        </w:tc>
      </w:tr>
      <w:tr>
        <w:trPr>
          <w:trHeight w:val="243"/>
        </w:trPr>
        <w:tc>
          <w:tcPr>
            <w:tcW w:w="2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April 1, 2021</w:t>
            </w: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NQ</w:t>
            </w:r>
          </w:p>
        </w:tc>
        <w:tc>
          <w:tcPr>
            <w:tcW w:w="2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604</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0</w:t>
            </w: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604</w:t>
            </w:r>
          </w:p>
        </w:tc>
      </w:tr>
      <w:tr>
        <w:trPr>
          <w:trHeight w:val="243"/>
        </w:trPr>
        <w:tc>
          <w:tcPr>
            <w:tcW w:w="23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February 10, 2021</w:t>
            </w:r>
          </w:p>
        </w:tc>
        <w:tc>
          <w:tcPr>
            <w:tcW w:w="2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RSU</w:t>
            </w:r>
          </w:p>
        </w:tc>
        <w:tc>
          <w:tcPr>
            <w:tcW w:w="21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7,000</w:t>
            </w:r>
          </w:p>
        </w:tc>
        <w:tc>
          <w:tcPr>
            <w:tcW w:w="2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0</w:t>
            </w:r>
          </w:p>
        </w:tc>
        <w:tc>
          <w:tcPr>
            <w:tcW w:w="21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7,000</w:t>
            </w:r>
          </w:p>
        </w:tc>
      </w:tr>
    </w:tbl>
    <w:p>
      <w:pPr>
        <w:spacing w:after="0" w:line="200" w:lineRule="exact"/>
        <w:rPr>
          <w:sz w:val="20"/>
          <w:szCs w:val="20"/>
          <w:color w:val="auto"/>
        </w:rPr>
      </w:pPr>
    </w:p>
    <w:p>
      <w:pPr>
        <w:spacing w:after="0" w:line="279" w:lineRule="exact"/>
        <w:rPr>
          <w:sz w:val="20"/>
          <w:szCs w:val="20"/>
          <w:color w:val="auto"/>
        </w:rPr>
      </w:pPr>
    </w:p>
    <w:p>
      <w:pPr>
        <w:ind w:right="80" w:firstLine="601"/>
        <w:spacing w:after="0" w:line="228" w:lineRule="auto"/>
        <w:rPr>
          <w:sz w:val="20"/>
          <w:szCs w:val="20"/>
          <w:color w:val="auto"/>
        </w:rPr>
      </w:pPr>
      <w:r>
        <w:rPr>
          <w:rFonts w:ascii="Arial" w:cs="Arial" w:eastAsia="Arial" w:hAnsi="Arial"/>
          <w:sz w:val="19"/>
          <w:szCs w:val="19"/>
          <w:color w:val="auto"/>
        </w:rPr>
        <w:t>During the Transition Period, each Equity Award will continue to vest according to the terms of the applicable Equity Award Agreement; however, all vesting will cease as of the Separation Date (assuming your continuous employment through that date). In addition, the RSU award granted to you on May 15, 2021 to acquire 5,500 shares of the Company’s common stock shall vest in full on March 1, 2022 (assuming your continuous employment through that date). At all times, your rights concerning your Equity Awards will continue to be governed by the applicable Equity Award Agreements. Per the Equity Award Agreements, you will have three (3) months following the termination of your employment to exercise any then-vested shares subject to the applicable Option; after that date, you will no longer have a right to exercise the applicable Option as to any shares.</w:t>
      </w:r>
    </w:p>
    <w:p>
      <w:pPr>
        <w:spacing w:after="0" w:line="149" w:lineRule="exact"/>
        <w:rPr>
          <w:sz w:val="20"/>
          <w:szCs w:val="20"/>
          <w:color w:val="auto"/>
        </w:rPr>
      </w:pPr>
    </w:p>
    <w:p>
      <w:pPr>
        <w:ind w:left="960" w:hanging="359"/>
        <w:spacing w:after="0"/>
        <w:tabs>
          <w:tab w:leader="none" w:pos="960" w:val="left"/>
        </w:tabs>
        <w:numPr>
          <w:ilvl w:val="0"/>
          <w:numId w:val="130"/>
        </w:numPr>
        <w:rPr>
          <w:rFonts w:ascii="Arial" w:cs="Arial" w:eastAsia="Arial" w:hAnsi="Arial"/>
          <w:sz w:val="20"/>
          <w:szCs w:val="20"/>
          <w:color w:val="010000"/>
        </w:rPr>
      </w:pPr>
      <w:r>
        <w:rPr>
          <w:rFonts w:ascii="Arial" w:cs="Arial" w:eastAsia="Arial" w:hAnsi="Arial"/>
          <w:sz w:val="20"/>
          <w:szCs w:val="20"/>
          <w:u w:val="single" w:color="auto"/>
          <w:color w:val="auto"/>
        </w:rPr>
        <w:t>General Release and Waiver of Claims</w:t>
      </w:r>
      <w:r>
        <w:rPr>
          <w:rFonts w:ascii="Arial" w:cs="Arial" w:eastAsia="Arial" w:hAnsi="Arial"/>
          <w:sz w:val="20"/>
          <w:szCs w:val="20"/>
          <w:color w:val="auto"/>
        </w:rPr>
        <w:t>:</w:t>
      </w:r>
    </w:p>
    <w:p>
      <w:pPr>
        <w:spacing w:after="0" w:line="170" w:lineRule="exact"/>
        <w:rPr>
          <w:rFonts w:ascii="Arial" w:cs="Arial" w:eastAsia="Arial" w:hAnsi="Arial"/>
          <w:sz w:val="20"/>
          <w:szCs w:val="20"/>
          <w:color w:val="010000"/>
        </w:rPr>
      </w:pPr>
    </w:p>
    <w:p>
      <w:pPr>
        <w:ind w:firstLine="1201"/>
        <w:spacing w:after="0" w:line="230" w:lineRule="auto"/>
        <w:rPr>
          <w:rFonts w:ascii="Arial" w:cs="Arial" w:eastAsia="Arial" w:hAnsi="Arial"/>
          <w:sz w:val="20"/>
          <w:szCs w:val="20"/>
          <w:color w:val="010000"/>
        </w:rPr>
      </w:pPr>
      <w:r>
        <w:rPr>
          <w:rFonts w:ascii="Arial" w:cs="Arial" w:eastAsia="Arial" w:hAnsi="Arial"/>
          <w:sz w:val="19"/>
          <w:szCs w:val="19"/>
          <w:color w:val="auto"/>
        </w:rPr>
        <w:t>a. The payments and promises set forth in this Agreement are in full satisfaction of all accrued salary, vacation pay, bonus and commission pay, profit-sharing,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whether known or not known, including, without limitation,</w:t>
      </w:r>
    </w:p>
    <w:p>
      <w:pPr>
        <w:sectPr>
          <w:pgSz w:w="11900" w:h="16838" w:orient="portrait"/>
          <w:cols w:equalWidth="0" w:num="1">
            <w:col w:w="11140"/>
          </w:cols>
          <w:pgMar w:left="320" w:top="94" w:right="43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color w:val="auto"/>
        </w:rPr>
        <w:t>Jane Alley</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right="160"/>
        <w:spacing w:after="0" w:line="230" w:lineRule="auto"/>
        <w:rPr>
          <w:sz w:val="20"/>
          <w:szCs w:val="20"/>
          <w:color w:val="auto"/>
        </w:rPr>
      </w:pPr>
      <w:r>
        <w:rPr>
          <w:rFonts w:ascii="Arial" w:cs="Arial" w:eastAsia="Arial" w:hAnsi="Arial"/>
          <w:sz w:val="19"/>
          <w:szCs w:val="19"/>
          <w:color w:val="auto"/>
        </w:rPr>
        <w:t>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Virginia Human Rights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145" w:lineRule="exact"/>
        <w:rPr>
          <w:sz w:val="20"/>
          <w:szCs w:val="20"/>
          <w:color w:val="auto"/>
        </w:rPr>
      </w:pPr>
    </w:p>
    <w:p>
      <w:pPr>
        <w:ind w:right="60" w:firstLine="1201"/>
        <w:spacing w:after="0" w:line="223" w:lineRule="auto"/>
        <w:tabs>
          <w:tab w:leader="none" w:pos="1544" w:val="left"/>
        </w:tabs>
        <w:numPr>
          <w:ilvl w:val="1"/>
          <w:numId w:val="131"/>
        </w:numPr>
        <w:rPr>
          <w:rFonts w:ascii="Arial" w:cs="Arial" w:eastAsia="Arial" w:hAnsi="Arial"/>
          <w:sz w:val="20"/>
          <w:szCs w:val="20"/>
          <w:color w:val="auto"/>
        </w:rPr>
      </w:pPr>
      <w:r>
        <w:rPr>
          <w:rFonts w:ascii="Arial" w:cs="Arial" w:eastAsia="Arial" w:hAnsi="Arial"/>
          <w:sz w:val="20"/>
          <w:szCs w:val="20"/>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spacing w:after="0" w:line="146" w:lineRule="exact"/>
        <w:rPr>
          <w:rFonts w:ascii="Arial" w:cs="Arial" w:eastAsia="Arial" w:hAnsi="Arial"/>
          <w:sz w:val="20"/>
          <w:szCs w:val="20"/>
          <w:color w:val="auto"/>
        </w:rPr>
      </w:pPr>
    </w:p>
    <w:p>
      <w:pPr>
        <w:ind w:right="20" w:firstLine="1201"/>
        <w:spacing w:after="0" w:line="260" w:lineRule="auto"/>
        <w:tabs>
          <w:tab w:leader="none" w:pos="1533" w:val="left"/>
        </w:tabs>
        <w:numPr>
          <w:ilvl w:val="1"/>
          <w:numId w:val="131"/>
        </w:numPr>
        <w:rPr>
          <w:rFonts w:ascii="Arial" w:cs="Arial" w:eastAsia="Arial" w:hAnsi="Arial"/>
          <w:sz w:val="18"/>
          <w:szCs w:val="18"/>
          <w:color w:val="auto"/>
        </w:rPr>
      </w:pPr>
      <w:r>
        <w:rPr>
          <w:rFonts w:ascii="Arial" w:cs="Arial" w:eastAsia="Arial" w:hAnsi="Arial"/>
          <w:sz w:val="18"/>
          <w:szCs w:val="18"/>
          <w:color w:val="auto"/>
        </w:rPr>
        <w:t>You and the Company do not intend to release claims that you may not release as a matter of law, including but not limited to claims for indemnity, or any claims for enforcement of this Agreement. To the fullest extent permitted by law, any dispute regarding the scope of this general release shall be determined by an arbitrator under the procedures set forth in the arbitration clause below.</w:t>
      </w:r>
    </w:p>
    <w:p>
      <w:pPr>
        <w:spacing w:after="0" w:line="128" w:lineRule="exact"/>
        <w:rPr>
          <w:rFonts w:ascii="Arial" w:cs="Arial" w:eastAsia="Arial" w:hAnsi="Arial"/>
          <w:sz w:val="18"/>
          <w:szCs w:val="18"/>
          <w:color w:val="auto"/>
        </w:rPr>
      </w:pPr>
    </w:p>
    <w:p>
      <w:pPr>
        <w:ind w:left="960" w:hanging="359"/>
        <w:spacing w:after="0"/>
        <w:tabs>
          <w:tab w:leader="none" w:pos="960" w:val="left"/>
        </w:tabs>
        <w:numPr>
          <w:ilvl w:val="0"/>
          <w:numId w:val="132"/>
        </w:numPr>
        <w:rPr>
          <w:rFonts w:ascii="Arial" w:cs="Arial" w:eastAsia="Arial" w:hAnsi="Arial"/>
          <w:sz w:val="20"/>
          <w:szCs w:val="20"/>
          <w:color w:val="010000"/>
        </w:rPr>
      </w:pPr>
      <w:r>
        <w:rPr>
          <w:rFonts w:ascii="Arial" w:cs="Arial" w:eastAsia="Arial" w:hAnsi="Arial"/>
          <w:sz w:val="20"/>
          <w:szCs w:val="20"/>
          <w:u w:val="single" w:color="auto"/>
          <w:color w:val="auto"/>
        </w:rPr>
        <w:t>Covenant Not to Sue</w:t>
      </w:r>
      <w:r>
        <w:rPr>
          <w:rFonts w:ascii="Arial" w:cs="Arial" w:eastAsia="Arial" w:hAnsi="Arial"/>
          <w:sz w:val="20"/>
          <w:szCs w:val="20"/>
          <w:color w:val="auto"/>
        </w:rPr>
        <w:t>:</w:t>
      </w:r>
    </w:p>
    <w:p>
      <w:pPr>
        <w:spacing w:after="0" w:line="170" w:lineRule="exact"/>
        <w:rPr>
          <w:rFonts w:ascii="Arial" w:cs="Arial" w:eastAsia="Arial" w:hAnsi="Arial"/>
          <w:sz w:val="20"/>
          <w:szCs w:val="20"/>
          <w:color w:val="010000"/>
        </w:rPr>
      </w:pPr>
    </w:p>
    <w:p>
      <w:pPr>
        <w:ind w:firstLine="1201"/>
        <w:spacing w:after="0" w:line="220" w:lineRule="auto"/>
        <w:tabs>
          <w:tab w:leader="none" w:pos="1537"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p>
    <w:p>
      <w:pPr>
        <w:spacing w:after="0" w:line="147" w:lineRule="exact"/>
        <w:rPr>
          <w:rFonts w:ascii="Arial" w:cs="Arial" w:eastAsia="Arial" w:hAnsi="Arial"/>
          <w:sz w:val="20"/>
          <w:szCs w:val="20"/>
          <w:color w:val="auto"/>
        </w:rPr>
      </w:pPr>
    </w:p>
    <w:p>
      <w:pPr>
        <w:ind w:right="380" w:firstLine="1201"/>
        <w:spacing w:after="0" w:line="261" w:lineRule="auto"/>
        <w:tabs>
          <w:tab w:leader="none" w:pos="1552" w:val="left"/>
        </w:tabs>
        <w:numPr>
          <w:ilvl w:val="1"/>
          <w:numId w:val="132"/>
        </w:numPr>
        <w:rPr>
          <w:rFonts w:ascii="Arial" w:cs="Arial" w:eastAsia="Arial" w:hAnsi="Arial"/>
          <w:sz w:val="19"/>
          <w:szCs w:val="19"/>
          <w:color w:val="auto"/>
        </w:rPr>
      </w:pPr>
      <w:r>
        <w:rPr>
          <w:rFonts w:ascii="Arial" w:cs="Arial" w:eastAsia="Arial" w:hAnsi="Arial"/>
          <w:sz w:val="19"/>
          <w:szCs w:val="19"/>
          <w:color w:val="auto"/>
        </w:rPr>
        <w:t>Nothing in this paragraph shall prohibit or impair you or the Company from complying with all applicable laws, nor shall this Agreement be construed to obligate either party to commit (or aid or abet in the commission of) any unlawful act.</w:t>
      </w:r>
    </w:p>
    <w:p>
      <w:pPr>
        <w:spacing w:after="0" w:line="125" w:lineRule="exact"/>
        <w:rPr>
          <w:rFonts w:ascii="Arial" w:cs="Arial" w:eastAsia="Arial" w:hAnsi="Arial"/>
          <w:sz w:val="19"/>
          <w:szCs w:val="19"/>
          <w:color w:val="auto"/>
        </w:rPr>
      </w:pPr>
    </w:p>
    <w:p>
      <w:pPr>
        <w:ind w:right="80" w:firstLine="601"/>
        <w:spacing w:after="0" w:line="230" w:lineRule="auto"/>
        <w:tabs>
          <w:tab w:leader="none" w:pos="951" w:val="left"/>
        </w:tabs>
        <w:numPr>
          <w:ilvl w:val="0"/>
          <w:numId w:val="132"/>
        </w:numPr>
        <w:rPr>
          <w:rFonts w:ascii="Arial" w:cs="Arial" w:eastAsia="Arial" w:hAnsi="Arial"/>
          <w:sz w:val="19"/>
          <w:szCs w:val="19"/>
          <w:color w:val="010000"/>
        </w:rPr>
      </w:pPr>
      <w:r>
        <w:rPr>
          <w:rFonts w:ascii="Arial" w:cs="Arial" w:eastAsia="Arial" w:hAnsi="Arial"/>
          <w:sz w:val="19"/>
          <w:szCs w:val="19"/>
          <w:u w:val="single" w:color="auto"/>
          <w:color w:val="auto"/>
        </w:rPr>
        <w:t>Protected Rights</w:t>
      </w:r>
      <w:r>
        <w:rPr>
          <w:rFonts w:ascii="Arial" w:cs="Arial" w:eastAsia="Arial" w:hAnsi="Arial"/>
          <w:sz w:val="19"/>
          <w:szCs w:val="19"/>
          <w:color w:val="auto"/>
        </w:rPr>
        <w:t>: You understand that nothing in the General Release and Waiver of Claims and Covenant Not to Sue paragraphs above, or otherwise in this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You further understand that this Agreement does not limit your ability to communicate with any Government Agencies or otherwise participate in any investigation or proceeding that may be conducted by any Government Agency, including</w:t>
      </w:r>
    </w:p>
    <w:p>
      <w:pPr>
        <w:sectPr>
          <w:pgSz w:w="11900" w:h="16838" w:orient="portrait"/>
          <w:cols w:equalWidth="0" w:num="1">
            <w:col w:w="11240"/>
          </w:cols>
          <w:pgMar w:left="320" w:top="94" w:right="33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color w:val="auto"/>
        </w:rPr>
        <w:t>Jane Alley</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providing documents or other information, without notice to the Company. This Agreement does not limit your right to receive an award for information provided to any Government Agencies.</w:t>
      </w:r>
    </w:p>
    <w:p>
      <w:pPr>
        <w:spacing w:after="0" w:line="144" w:lineRule="exact"/>
        <w:rPr>
          <w:sz w:val="20"/>
          <w:szCs w:val="20"/>
          <w:color w:val="auto"/>
        </w:rPr>
      </w:pPr>
    </w:p>
    <w:p>
      <w:pPr>
        <w:ind w:right="80" w:firstLine="601"/>
        <w:spacing w:after="0" w:line="227" w:lineRule="auto"/>
        <w:tabs>
          <w:tab w:leader="none" w:pos="1051" w:val="left"/>
        </w:tabs>
        <w:numPr>
          <w:ilvl w:val="0"/>
          <w:numId w:val="133"/>
        </w:numPr>
        <w:rPr>
          <w:rFonts w:ascii="Arial" w:cs="Arial" w:eastAsia="Arial" w:hAnsi="Arial"/>
          <w:sz w:val="19"/>
          <w:szCs w:val="19"/>
          <w:color w:val="010000"/>
        </w:rPr>
      </w:pPr>
      <w:r>
        <w:rPr>
          <w:rFonts w:ascii="Arial" w:cs="Arial" w:eastAsia="Arial" w:hAnsi="Arial"/>
          <w:sz w:val="19"/>
          <w:szCs w:val="19"/>
          <w:u w:val="single" w:color="auto"/>
          <w:color w:val="auto"/>
        </w:rPr>
        <w:t>Arbitration</w:t>
      </w:r>
      <w:r>
        <w:rPr>
          <w:rFonts w:ascii="Arial" w:cs="Arial" w:eastAsia="Arial" w:hAnsi="Arial"/>
          <w:sz w:val="19"/>
          <w:szCs w:val="19"/>
          <w:color w:val="auto"/>
        </w:rPr>
        <w:t>: Except for any claim for injunctive relief arising out of a breach of a party’s obligations to protect the other’s proprietary information, the parties agree to arbitrate, in Richmond, Virginia through the American Arbitration Association,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148" w:lineRule="exact"/>
        <w:rPr>
          <w:rFonts w:ascii="Arial" w:cs="Arial" w:eastAsia="Arial" w:hAnsi="Arial"/>
          <w:sz w:val="19"/>
          <w:szCs w:val="19"/>
          <w:color w:val="010000"/>
        </w:rPr>
      </w:pPr>
    </w:p>
    <w:p>
      <w:pPr>
        <w:ind w:right="20" w:firstLine="601"/>
        <w:spacing w:after="0" w:line="228" w:lineRule="auto"/>
        <w:tabs>
          <w:tab w:leader="none" w:pos="1044" w:val="left"/>
        </w:tabs>
        <w:numPr>
          <w:ilvl w:val="0"/>
          <w:numId w:val="133"/>
        </w:numPr>
        <w:rPr>
          <w:rFonts w:ascii="Arial" w:cs="Arial" w:eastAsia="Arial" w:hAnsi="Arial"/>
          <w:sz w:val="20"/>
          <w:szCs w:val="20"/>
          <w:color w:val="010000"/>
        </w:rPr>
      </w:pPr>
      <w:r>
        <w:rPr>
          <w:rFonts w:ascii="Arial" w:cs="Arial" w:eastAsia="Arial" w:hAnsi="Arial"/>
          <w:sz w:val="20"/>
          <w:szCs w:val="20"/>
          <w:u w:val="single" w:color="auto"/>
          <w:color w:val="auto"/>
        </w:rPr>
        <w:t>Attorneys’ Fees</w:t>
      </w:r>
      <w:r>
        <w:rPr>
          <w:rFonts w:ascii="Arial" w:cs="Arial" w:eastAsia="Arial" w:hAnsi="Arial"/>
          <w:sz w:val="20"/>
          <w:szCs w:val="20"/>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145" w:lineRule="exact"/>
        <w:rPr>
          <w:rFonts w:ascii="Arial" w:cs="Arial" w:eastAsia="Arial" w:hAnsi="Arial"/>
          <w:sz w:val="20"/>
          <w:szCs w:val="20"/>
          <w:color w:val="010000"/>
        </w:rPr>
      </w:pPr>
    </w:p>
    <w:p>
      <w:pPr>
        <w:ind w:right="160" w:firstLine="601"/>
        <w:spacing w:after="0" w:line="220" w:lineRule="auto"/>
        <w:tabs>
          <w:tab w:leader="none" w:pos="1051" w:val="left"/>
        </w:tabs>
        <w:numPr>
          <w:ilvl w:val="0"/>
          <w:numId w:val="133"/>
        </w:numPr>
        <w:rPr>
          <w:rFonts w:ascii="Arial" w:cs="Arial" w:eastAsia="Arial" w:hAnsi="Arial"/>
          <w:sz w:val="20"/>
          <w:szCs w:val="20"/>
          <w:color w:val="010000"/>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The contents, terms and conditions of this Agreement must be kept 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147" w:lineRule="exact"/>
        <w:rPr>
          <w:rFonts w:ascii="Arial" w:cs="Arial" w:eastAsia="Arial" w:hAnsi="Arial"/>
          <w:sz w:val="20"/>
          <w:szCs w:val="20"/>
          <w:color w:val="010000"/>
        </w:rPr>
      </w:pPr>
    </w:p>
    <w:p>
      <w:pPr>
        <w:ind w:right="60" w:firstLine="601"/>
        <w:spacing w:after="0" w:line="251" w:lineRule="auto"/>
        <w:tabs>
          <w:tab w:leader="none" w:pos="1051" w:val="left"/>
        </w:tabs>
        <w:numPr>
          <w:ilvl w:val="0"/>
          <w:numId w:val="133"/>
        </w:numPr>
        <w:rPr>
          <w:rFonts w:ascii="Arial" w:cs="Arial" w:eastAsia="Arial" w:hAnsi="Arial"/>
          <w:sz w:val="18"/>
          <w:szCs w:val="18"/>
          <w:color w:val="010000"/>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the Federal Rules of Evidence 408 and/or any other state or federal provisions of similar effect.</w:t>
      </w:r>
    </w:p>
    <w:p>
      <w:pPr>
        <w:spacing w:after="0" w:line="135" w:lineRule="exact"/>
        <w:rPr>
          <w:rFonts w:ascii="Arial" w:cs="Arial" w:eastAsia="Arial" w:hAnsi="Arial"/>
          <w:sz w:val="18"/>
          <w:szCs w:val="18"/>
          <w:color w:val="010000"/>
        </w:rPr>
      </w:pPr>
    </w:p>
    <w:p>
      <w:pPr>
        <w:ind w:right="180" w:firstLine="601"/>
        <w:spacing w:after="0" w:line="228" w:lineRule="auto"/>
        <w:tabs>
          <w:tab w:leader="none" w:pos="1051" w:val="left"/>
        </w:tabs>
        <w:numPr>
          <w:ilvl w:val="0"/>
          <w:numId w:val="133"/>
        </w:numPr>
        <w:rPr>
          <w:rFonts w:ascii="Arial" w:cs="Arial" w:eastAsia="Arial" w:hAnsi="Arial"/>
          <w:sz w:val="19"/>
          <w:szCs w:val="19"/>
          <w:color w:val="010000"/>
        </w:rPr>
      </w:pPr>
      <w:r>
        <w:rPr>
          <w:rFonts w:ascii="Arial" w:cs="Arial" w:eastAsia="Arial" w:hAnsi="Arial"/>
          <w:sz w:val="19"/>
          <w:szCs w:val="19"/>
          <w:u w:val="single" w:color="auto"/>
          <w:color w:val="auto"/>
        </w:rPr>
        <w:t>Complete and Voluntary Agreement</w:t>
      </w:r>
      <w:r>
        <w:rPr>
          <w:rFonts w:ascii="Arial" w:cs="Arial" w:eastAsia="Arial" w:hAnsi="Arial"/>
          <w:sz w:val="19"/>
          <w:szCs w:val="19"/>
          <w:color w:val="auto"/>
        </w:rPr>
        <w:t>: This Agreement, together with Exhibits A and B hereto and the Equity Award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ectPr>
          <w:pgSz w:w="11900" w:h="16838" w:orient="portrait"/>
          <w:cols w:equalWidth="0" w:num="1">
            <w:col w:w="11220"/>
          </w:cols>
          <w:pgMar w:left="320" w:top="94" w:right="35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color w:val="auto"/>
        </w:rPr>
        <w:t>Jane Alley</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01"/>
        <w:spacing w:after="0" w:line="235" w:lineRule="auto"/>
        <w:tabs>
          <w:tab w:leader="none" w:pos="1051" w:val="left"/>
        </w:tabs>
        <w:numPr>
          <w:ilvl w:val="0"/>
          <w:numId w:val="134"/>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145" w:lineRule="exact"/>
        <w:rPr>
          <w:rFonts w:ascii="Arial" w:cs="Arial" w:eastAsia="Arial" w:hAnsi="Arial"/>
          <w:sz w:val="19"/>
          <w:szCs w:val="19"/>
          <w:color w:val="010000"/>
        </w:rPr>
      </w:pPr>
    </w:p>
    <w:p>
      <w:pPr>
        <w:ind w:firstLine="601"/>
        <w:spacing w:after="0" w:line="218" w:lineRule="auto"/>
        <w:tabs>
          <w:tab w:leader="none" w:pos="1051" w:val="left"/>
        </w:tabs>
        <w:numPr>
          <w:ilvl w:val="0"/>
          <w:numId w:val="134"/>
        </w:numPr>
        <w:rPr>
          <w:rFonts w:ascii="Arial" w:cs="Arial" w:eastAsia="Arial" w:hAnsi="Arial"/>
          <w:sz w:val="20"/>
          <w:szCs w:val="20"/>
          <w:color w:val="010000"/>
        </w:rPr>
      </w:pPr>
      <w:r>
        <w:rPr>
          <w:rFonts w:ascii="Arial" w:cs="Arial" w:eastAsia="Arial" w:hAnsi="Arial"/>
          <w:sz w:val="20"/>
          <w:szCs w:val="20"/>
          <w:u w:val="single" w:color="auto"/>
          <w:color w:val="auto"/>
        </w:rPr>
        <w:t>Modification; Counterparts; Electronic/PDF Signatures</w:t>
      </w:r>
      <w:r>
        <w:rPr>
          <w:rFonts w:ascii="Arial" w:cs="Arial" w:eastAsia="Arial" w:hAnsi="Arial"/>
          <w:sz w:val="20"/>
          <w:szCs w:val="20"/>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an electronic or PDF copy shall have the same force and effect as execution of an original, and a copy of a signature will be equally admissible in any legal proceeding as if an original.</w:t>
      </w:r>
    </w:p>
    <w:p>
      <w:pPr>
        <w:spacing w:after="0" w:line="147" w:lineRule="exact"/>
        <w:rPr>
          <w:rFonts w:ascii="Arial" w:cs="Arial" w:eastAsia="Arial" w:hAnsi="Arial"/>
          <w:sz w:val="20"/>
          <w:szCs w:val="20"/>
          <w:color w:val="010000"/>
        </w:rPr>
      </w:pPr>
    </w:p>
    <w:p>
      <w:pPr>
        <w:ind w:left="1060" w:hanging="459"/>
        <w:spacing w:after="0"/>
        <w:tabs>
          <w:tab w:leader="none" w:pos="1060" w:val="left"/>
        </w:tabs>
        <w:numPr>
          <w:ilvl w:val="0"/>
          <w:numId w:val="134"/>
        </w:numPr>
        <w:rPr>
          <w:rFonts w:ascii="Arial" w:cs="Arial" w:eastAsia="Arial" w:hAnsi="Arial"/>
          <w:sz w:val="18"/>
          <w:szCs w:val="18"/>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Virginia.</w:t>
      </w:r>
    </w:p>
    <w:p>
      <w:pPr>
        <w:spacing w:after="0" w:line="193" w:lineRule="exact"/>
        <w:rPr>
          <w:rFonts w:ascii="Arial" w:cs="Arial" w:eastAsia="Arial" w:hAnsi="Arial"/>
          <w:sz w:val="18"/>
          <w:szCs w:val="18"/>
          <w:color w:val="010000"/>
        </w:rPr>
      </w:pPr>
    </w:p>
    <w:p>
      <w:pPr>
        <w:ind w:right="160" w:firstLine="601"/>
        <w:spacing w:after="0" w:line="218" w:lineRule="auto"/>
        <w:tabs>
          <w:tab w:leader="none" w:pos="1051" w:val="left"/>
        </w:tabs>
        <w:numPr>
          <w:ilvl w:val="0"/>
          <w:numId w:val="134"/>
        </w:numPr>
        <w:rPr>
          <w:rFonts w:ascii="Arial" w:cs="Arial" w:eastAsia="Arial" w:hAnsi="Arial"/>
          <w:sz w:val="20"/>
          <w:szCs w:val="20"/>
          <w:color w:val="010000"/>
        </w:rPr>
      </w:pPr>
      <w:r>
        <w:rPr>
          <w:rFonts w:ascii="Arial" w:cs="Arial" w:eastAsia="Arial" w:hAnsi="Arial"/>
          <w:sz w:val="20"/>
          <w:szCs w:val="20"/>
          <w:u w:val="single" w:color="auto"/>
          <w:color w:val="auto"/>
        </w:rPr>
        <w:t>Review of Separation Agreement; Expiration of Offer:</w:t>
      </w:r>
      <w:r>
        <w:rPr>
          <w:rFonts w:ascii="Arial" w:cs="Arial" w:eastAsia="Arial" w:hAnsi="Arial"/>
          <w:sz w:val="20"/>
          <w:szCs w:val="20"/>
          <w:color w:val="auto"/>
        </w:rPr>
        <w:t xml:space="preserve"> You understand that you may take up to twenty-one (21) days to consider this Agreement (the “</w:t>
      </w:r>
      <w:r>
        <w:rPr>
          <w:rFonts w:ascii="Arial" w:cs="Arial" w:eastAsia="Arial" w:hAnsi="Arial"/>
          <w:sz w:val="20"/>
          <w:szCs w:val="20"/>
          <w:b w:val="1"/>
          <w:bCs w:val="1"/>
          <w:i w:val="1"/>
          <w:iCs w:val="1"/>
          <w:color w:val="auto"/>
        </w:rPr>
        <w:t>Consideration Period</w:t>
      </w:r>
      <w:r>
        <w:rPr>
          <w:rFonts w:ascii="Arial" w:cs="Arial" w:eastAsia="Arial" w:hAnsi="Arial"/>
          <w:sz w:val="20"/>
          <w:szCs w:val="20"/>
          <w:color w:val="auto"/>
        </w:rPr>
        <w:t>”). The offer set forth in this Agreement, if not accepted by you before the end of the Consideration Period, will automatically expire. By signing below, you affirm that you were advised to consult with an attorney prior to signing this Agreement. You also understand you may revoke this Agreement within seven (7) days of signing this document and that the consideration to be provided to you pursuant to Paragraph 2 will be provided only after the expiration of that seven (7) day revocation period.</w:t>
      </w:r>
    </w:p>
    <w:p>
      <w:pPr>
        <w:spacing w:after="0" w:line="147" w:lineRule="exact"/>
        <w:rPr>
          <w:rFonts w:ascii="Arial" w:cs="Arial" w:eastAsia="Arial" w:hAnsi="Arial"/>
          <w:sz w:val="20"/>
          <w:szCs w:val="20"/>
          <w:color w:val="010000"/>
        </w:rPr>
      </w:pPr>
    </w:p>
    <w:p>
      <w:pPr>
        <w:ind w:right="600" w:firstLine="601"/>
        <w:spacing w:after="0" w:line="238" w:lineRule="auto"/>
        <w:tabs>
          <w:tab w:leader="none" w:pos="1051" w:val="left"/>
        </w:tabs>
        <w:numPr>
          <w:ilvl w:val="0"/>
          <w:numId w:val="134"/>
        </w:numPr>
        <w:rPr>
          <w:rFonts w:ascii="Arial" w:cs="Arial" w:eastAsia="Arial" w:hAnsi="Arial"/>
          <w:sz w:val="20"/>
          <w:szCs w:val="20"/>
          <w:color w:val="010000"/>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This Agreement is effective on the eighth (8th) day after you sign it provided you have not revoked the Agreement as of that time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w:t>
      </w:r>
    </w:p>
    <w:p>
      <w:pPr>
        <w:spacing w:after="0" w:line="144" w:lineRule="exact"/>
        <w:rPr>
          <w:sz w:val="20"/>
          <w:szCs w:val="20"/>
          <w:color w:val="auto"/>
        </w:rPr>
      </w:pPr>
    </w:p>
    <w:p>
      <w:pPr>
        <w:ind w:right="400" w:firstLine="601"/>
        <w:spacing w:after="0" w:line="238" w:lineRule="auto"/>
        <w:rPr>
          <w:sz w:val="20"/>
          <w:szCs w:val="20"/>
          <w:color w:val="auto"/>
        </w:rPr>
      </w:pPr>
      <w:r>
        <w:rPr>
          <w:rFonts w:ascii="Arial" w:cs="Arial" w:eastAsia="Arial" w:hAnsi="Arial"/>
          <w:sz w:val="20"/>
          <w:szCs w:val="20"/>
          <w:color w:val="auto"/>
        </w:rPr>
        <w:t>If you agree to abide by the terms outlined in this Agreement, please sign and return it to me. I wish you the best in your future endeavors.</w:t>
      </w:r>
    </w:p>
    <w:p>
      <w:pPr>
        <w:spacing w:after="0" w:line="370"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Sincerely,</w:t>
      </w:r>
    </w:p>
    <w:p>
      <w:pPr>
        <w:spacing w:after="0" w:line="195"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VERACYTE, INC.</w:t>
      </w:r>
    </w:p>
    <w:p>
      <w:pPr>
        <w:spacing w:after="0" w:line="200" w:lineRule="exact"/>
        <w:rPr>
          <w:sz w:val="20"/>
          <w:szCs w:val="20"/>
          <w:color w:val="auto"/>
        </w:rPr>
      </w:pPr>
    </w:p>
    <w:p>
      <w:pPr>
        <w:spacing w:after="0" w:line="209" w:lineRule="exact"/>
        <w:rPr>
          <w:sz w:val="20"/>
          <w:szCs w:val="20"/>
          <w:color w:val="auto"/>
        </w:rPr>
      </w:pPr>
    </w:p>
    <w:p>
      <w:pPr>
        <w:ind w:left="3600"/>
        <w:spacing w:after="0"/>
        <w:rPr>
          <w:sz w:val="20"/>
          <w:szCs w:val="20"/>
          <w:color w:val="auto"/>
        </w:rPr>
      </w:pPr>
      <w:r>
        <w:rPr>
          <w:rFonts w:ascii="Arial" w:cs="Arial" w:eastAsia="Arial" w:hAnsi="Arial"/>
          <w:sz w:val="20"/>
          <w:szCs w:val="20"/>
          <w:color w:val="auto"/>
        </w:rPr>
        <w:t>By:_____</w:t>
      </w:r>
      <w:r>
        <w:rPr>
          <w:rFonts w:ascii="Arial" w:cs="Arial" w:eastAsia="Arial" w:hAnsi="Arial"/>
          <w:sz w:val="20"/>
          <w:szCs w:val="20"/>
          <w:u w:val="single" w:color="auto"/>
          <w:color w:val="auto"/>
        </w:rPr>
        <w:t>/s/ Marc Stapley</w:t>
      </w:r>
      <w:r>
        <w:rPr>
          <w:rFonts w:ascii="Arial" w:cs="Arial" w:eastAsia="Arial" w:hAnsi="Arial"/>
          <w:sz w:val="20"/>
          <w:szCs w:val="20"/>
          <w:color w:val="auto"/>
        </w:rPr>
        <w:t>_______________</w:t>
      </w:r>
    </w:p>
    <w:p>
      <w:pPr>
        <w:ind w:left="4200"/>
        <w:spacing w:after="0"/>
        <w:rPr>
          <w:sz w:val="20"/>
          <w:szCs w:val="20"/>
          <w:color w:val="auto"/>
        </w:rPr>
      </w:pPr>
      <w:r>
        <w:rPr>
          <w:rFonts w:ascii="Arial" w:cs="Arial" w:eastAsia="Arial" w:hAnsi="Arial"/>
          <w:sz w:val="20"/>
          <w:szCs w:val="20"/>
          <w:color w:val="auto"/>
        </w:rPr>
        <w:t>Marc Stapley, CEO</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READ, UNDERSTOOD AND AGREED</w:t>
      </w:r>
    </w:p>
    <w:p>
      <w:pPr>
        <w:sectPr>
          <w:pgSz w:w="11900" w:h="16838" w:orient="portrait"/>
          <w:cols w:equalWidth="0" w:num="1">
            <w:col w:w="11160"/>
          </w:cols>
          <w:pgMar w:left="320" w:top="94" w:right="41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Jane Alley</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3340" w:val="left"/>
        </w:tabs>
        <w:rPr>
          <w:sz w:val="20"/>
          <w:szCs w:val="20"/>
          <w:color w:val="auto"/>
        </w:rPr>
      </w:pPr>
      <w:r>
        <w:rPr>
          <w:rFonts w:ascii="Arial" w:cs="Arial" w:eastAsia="Arial" w:hAnsi="Arial"/>
          <w:sz w:val="20"/>
          <w:szCs w:val="20"/>
          <w:color w:val="auto"/>
        </w:rPr>
        <w:t>____</w:t>
      </w:r>
      <w:r>
        <w:rPr>
          <w:rFonts w:ascii="Arial" w:cs="Arial" w:eastAsia="Arial" w:hAnsi="Arial"/>
          <w:sz w:val="20"/>
          <w:szCs w:val="20"/>
          <w:u w:val="single" w:color="auto"/>
          <w:color w:val="auto"/>
        </w:rPr>
        <w:t>/s/ Beverly Alley</w:t>
      </w:r>
      <w:r>
        <w:rPr>
          <w:rFonts w:ascii="Arial" w:cs="Arial" w:eastAsia="Arial" w:hAnsi="Arial"/>
          <w:sz w:val="20"/>
          <w:szCs w:val="20"/>
          <w:color w:val="auto"/>
        </w:rPr>
        <w:t>______________</w:t>
      </w:r>
      <w:r>
        <w:rPr>
          <w:sz w:val="20"/>
          <w:szCs w:val="20"/>
          <w:color w:val="auto"/>
        </w:rPr>
        <w:tab/>
      </w:r>
      <w:r>
        <w:rPr>
          <w:rFonts w:ascii="Arial" w:cs="Arial" w:eastAsia="Arial" w:hAnsi="Arial"/>
          <w:sz w:val="18"/>
          <w:szCs w:val="18"/>
          <w:color w:val="auto"/>
        </w:rPr>
        <w:t>Date: __</w:t>
      </w:r>
      <w:r>
        <w:rPr>
          <w:rFonts w:ascii="Arial" w:cs="Arial" w:eastAsia="Arial" w:hAnsi="Arial"/>
          <w:sz w:val="18"/>
          <w:szCs w:val="18"/>
          <w:u w:val="single" w:color="auto"/>
          <w:color w:val="auto"/>
        </w:rPr>
        <w:t>2/21/2022</w:t>
      </w:r>
      <w:r>
        <w:rPr>
          <w:rFonts w:ascii="Arial" w:cs="Arial" w:eastAsia="Arial" w:hAnsi="Arial"/>
          <w:sz w:val="18"/>
          <w:szCs w:val="18"/>
          <w:color w:val="auto"/>
        </w:rPr>
        <w:t>________</w:t>
      </w:r>
    </w:p>
    <w:p>
      <w:pPr>
        <w:spacing w:after="0"/>
        <w:rPr>
          <w:sz w:val="20"/>
          <w:szCs w:val="20"/>
          <w:color w:val="auto"/>
        </w:rPr>
      </w:pPr>
      <w:r>
        <w:rPr>
          <w:rFonts w:ascii="Arial" w:cs="Arial" w:eastAsia="Arial" w:hAnsi="Arial"/>
          <w:sz w:val="20"/>
          <w:szCs w:val="20"/>
          <w:color w:val="auto"/>
        </w:rPr>
        <w:t>Beverly Alley</w:t>
      </w:r>
    </w:p>
    <w:p>
      <w:pPr>
        <w:sectPr>
          <w:pgSz w:w="11900" w:h="16838" w:orient="portrait"/>
          <w:cols w:equalWidth="0" w:num="1">
            <w:col w:w="10139"/>
          </w:cols>
          <w:pgMar w:left="320" w:top="94" w:right="1440"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20"/>
          <w:szCs w:val="20"/>
          <w:b w:val="1"/>
          <w:bCs w:val="1"/>
          <w:u w:val="single" w:color="auto"/>
          <w:color w:val="auto"/>
        </w:rPr>
        <w:t>EXHIBIT A</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SECOND RELEASE</w:t>
      </w:r>
    </w:p>
    <w:p>
      <w:pPr>
        <w:spacing w:after="0" w:line="199" w:lineRule="exact"/>
        <w:rPr>
          <w:sz w:val="20"/>
          <w:szCs w:val="20"/>
          <w:color w:val="auto"/>
        </w:rPr>
      </w:pPr>
    </w:p>
    <w:p>
      <w:pPr>
        <w:ind w:right="80" w:firstLine="601"/>
        <w:spacing w:after="0" w:line="238" w:lineRule="auto"/>
        <w:rPr>
          <w:sz w:val="20"/>
          <w:szCs w:val="20"/>
          <w:color w:val="auto"/>
        </w:rPr>
      </w:pPr>
      <w:r>
        <w:rPr>
          <w:rFonts w:ascii="Arial" w:cs="Arial" w:eastAsia="Arial" w:hAnsi="Arial"/>
          <w:sz w:val="20"/>
          <w:szCs w:val="20"/>
          <w:color w:val="auto"/>
        </w:rPr>
        <w:t>This General Release of All Claims and Covenant Not to Sue (the “</w:t>
      </w:r>
      <w:r>
        <w:rPr>
          <w:rFonts w:ascii="Arial" w:cs="Arial" w:eastAsia="Arial" w:hAnsi="Arial"/>
          <w:sz w:val="20"/>
          <w:szCs w:val="20"/>
          <w:b w:val="1"/>
          <w:bCs w:val="1"/>
          <w:i w:val="1"/>
          <w:iCs w:val="1"/>
          <w:color w:val="auto"/>
        </w:rPr>
        <w:t>Second Release</w:t>
      </w:r>
      <w:r>
        <w:rPr>
          <w:rFonts w:ascii="Arial" w:cs="Arial" w:eastAsia="Arial" w:hAnsi="Arial"/>
          <w:sz w:val="20"/>
          <w:szCs w:val="20"/>
          <w:color w:val="auto"/>
        </w:rPr>
        <w:t>”) is entered into between Beverly “Jane” Alley (“</w:t>
      </w:r>
      <w:r>
        <w:rPr>
          <w:rFonts w:ascii="Arial" w:cs="Arial" w:eastAsia="Arial" w:hAnsi="Arial"/>
          <w:sz w:val="20"/>
          <w:szCs w:val="20"/>
          <w:b w:val="1"/>
          <w:bCs w:val="1"/>
          <w:i w:val="1"/>
          <w:iCs w:val="1"/>
          <w:color w:val="auto"/>
        </w:rPr>
        <w:t>Employee</w:t>
      </w:r>
      <w:r>
        <w:rPr>
          <w:rFonts w:ascii="Arial" w:cs="Arial" w:eastAsia="Arial" w:hAnsi="Arial"/>
          <w:sz w:val="20"/>
          <w:szCs w:val="20"/>
          <w:color w:val="auto"/>
        </w:rPr>
        <w:t>”) and Veracyte,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(collectively, “</w:t>
      </w:r>
      <w:r>
        <w:rPr>
          <w:rFonts w:ascii="Arial" w:cs="Arial" w:eastAsia="Arial" w:hAnsi="Arial"/>
          <w:sz w:val="20"/>
          <w:szCs w:val="20"/>
          <w:b w:val="1"/>
          <w:bCs w:val="1"/>
          <w:i w:val="1"/>
          <w:iCs w:val="1"/>
          <w:color w:val="auto"/>
        </w:rPr>
        <w:t>the parties</w:t>
      </w:r>
      <w:r>
        <w:rPr>
          <w:rFonts w:ascii="Arial" w:cs="Arial" w:eastAsia="Arial" w:hAnsi="Arial"/>
          <w:sz w:val="20"/>
          <w:szCs w:val="20"/>
          <w:color w:val="auto"/>
        </w:rPr>
        <w:t>”).</w:t>
      </w:r>
    </w:p>
    <w:p>
      <w:pPr>
        <w:spacing w:after="0" w:line="40" w:lineRule="exact"/>
        <w:rPr>
          <w:sz w:val="20"/>
          <w:szCs w:val="20"/>
          <w:color w:val="auto"/>
        </w:rPr>
      </w:pPr>
    </w:p>
    <w:p>
      <w:pPr>
        <w:ind w:right="300" w:firstLine="601"/>
        <w:spacing w:after="0" w:line="29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February 21, 2022, Employee and the Company entered into an agreement regarding Employee’s transition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from employment with the Company (the “</w:t>
      </w:r>
      <w:r>
        <w:rPr>
          <w:rFonts w:ascii="Arial" w:cs="Arial" w:eastAsia="Arial" w:hAnsi="Arial"/>
          <w:sz w:val="18"/>
          <w:szCs w:val="18"/>
          <w:b w:val="1"/>
          <w:bCs w:val="1"/>
          <w:i w:val="1"/>
          <w:iCs w:val="1"/>
          <w:color w:val="auto"/>
        </w:rPr>
        <w:t>Separation Agreement</w:t>
      </w:r>
      <w:r>
        <w:rPr>
          <w:rFonts w:ascii="Arial" w:cs="Arial" w:eastAsia="Arial" w:hAnsi="Arial"/>
          <w:sz w:val="18"/>
          <w:szCs w:val="18"/>
          <w:color w:val="auto"/>
        </w:rPr>
        <w:t>,” to which this Second Release is attached as Exhibit A);</w:t>
      </w:r>
    </w:p>
    <w:p>
      <w:pPr>
        <w:ind w:left="60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June 30, 2022, Employee’s employment with the Company terminated (the “</w:t>
      </w:r>
      <w:r>
        <w:rPr>
          <w:rFonts w:ascii="Arial" w:cs="Arial" w:eastAsia="Arial" w:hAnsi="Arial"/>
          <w:sz w:val="20"/>
          <w:szCs w:val="20"/>
          <w:b w:val="1"/>
          <w:bCs w:val="1"/>
          <w:i w:val="1"/>
          <w:iCs w:val="1"/>
          <w:color w:val="auto"/>
        </w:rPr>
        <w:t>Separation Date</w:t>
      </w:r>
      <w:r>
        <w:rPr>
          <w:rFonts w:ascii="Arial" w:cs="Arial" w:eastAsia="Arial" w:hAnsi="Arial"/>
          <w:sz w:val="20"/>
          <w:szCs w:val="20"/>
          <w:color w:val="auto"/>
        </w:rPr>
        <w:t>”);</w:t>
      </w:r>
    </w:p>
    <w:p>
      <w:pPr>
        <w:spacing w:after="0" w:line="70" w:lineRule="exact"/>
        <w:rPr>
          <w:sz w:val="20"/>
          <w:szCs w:val="20"/>
          <w:color w:val="auto"/>
        </w:rPr>
      </w:pPr>
    </w:p>
    <w:p>
      <w:pPr>
        <w:ind w:right="40" w:firstLine="601"/>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determined that Employee cooperatively and diligently provided the Transition Services (as defined</w:t>
      </w:r>
      <w:r>
        <w:rPr>
          <w:rFonts w:ascii="Arial" w:cs="Arial" w:eastAsia="Arial" w:hAnsi="Arial"/>
          <w:sz w:val="20"/>
          <w:szCs w:val="20"/>
          <w:b w:val="1"/>
          <w:bCs w:val="1"/>
          <w:color w:val="auto"/>
        </w:rPr>
        <w:t xml:space="preserve"> </w:t>
      </w:r>
      <w:r>
        <w:rPr>
          <w:rFonts w:ascii="Arial" w:cs="Arial" w:eastAsia="Arial" w:hAnsi="Arial"/>
          <w:sz w:val="20"/>
          <w:szCs w:val="20"/>
          <w:color w:val="auto"/>
        </w:rPr>
        <w:t>in the Separation Agreement);</w:t>
      </w:r>
    </w:p>
    <w:p>
      <w:pPr>
        <w:spacing w:after="0" w:line="41"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this agreement serves as the Second Release, pursuant to the Separation Agreement; and</w:t>
      </w:r>
    </w:p>
    <w:p>
      <w:pPr>
        <w:spacing w:after="0" w:line="70" w:lineRule="exact"/>
        <w:rPr>
          <w:sz w:val="20"/>
          <w:szCs w:val="20"/>
          <w:color w:val="auto"/>
        </w:rPr>
      </w:pPr>
    </w:p>
    <w:p>
      <w:pPr>
        <w:ind w:right="280" w:firstLine="601"/>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Employee and the Company desire to mutually, amicably and finally resolve and compromise all issues and claims</w:t>
      </w:r>
      <w:r>
        <w:rPr>
          <w:rFonts w:ascii="Arial" w:cs="Arial" w:eastAsia="Arial" w:hAnsi="Arial"/>
          <w:sz w:val="20"/>
          <w:szCs w:val="20"/>
          <w:b w:val="1"/>
          <w:bCs w:val="1"/>
          <w:color w:val="auto"/>
        </w:rPr>
        <w:t xml:space="preserve"> </w:t>
      </w:r>
      <w:r>
        <w:rPr>
          <w:rFonts w:ascii="Arial" w:cs="Arial" w:eastAsia="Arial" w:hAnsi="Arial"/>
          <w:sz w:val="20"/>
          <w:szCs w:val="20"/>
          <w:color w:val="auto"/>
        </w:rPr>
        <w:t>surrounding Employee’s employment and separation from employment with the Company;</w:t>
      </w:r>
    </w:p>
    <w:p>
      <w:pPr>
        <w:spacing w:after="0" w:line="41" w:lineRule="exact"/>
        <w:rPr>
          <w:sz w:val="20"/>
          <w:szCs w:val="20"/>
          <w:color w:val="auto"/>
        </w:rPr>
      </w:pPr>
    </w:p>
    <w:p>
      <w:pPr>
        <w:ind w:right="220" w:firstLine="601"/>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for the mutual promises and undertakings of the parties as set forth below, Employee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hereby enter into this Second Release.</w:t>
      </w:r>
    </w:p>
    <w:p>
      <w:pPr>
        <w:spacing w:after="0" w:line="45" w:lineRule="exact"/>
        <w:rPr>
          <w:sz w:val="20"/>
          <w:szCs w:val="20"/>
          <w:color w:val="auto"/>
        </w:rPr>
      </w:pPr>
    </w:p>
    <w:p>
      <w:pPr>
        <w:ind w:firstLine="601"/>
        <w:spacing w:after="0" w:line="246" w:lineRule="auto"/>
        <w:tabs>
          <w:tab w:leader="none" w:pos="95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Acknowledgment of Payment of Wages</w:t>
      </w:r>
      <w:r>
        <w:rPr>
          <w:rFonts w:ascii="Arial" w:cs="Arial" w:eastAsia="Arial" w:hAnsi="Arial"/>
          <w:sz w:val="18"/>
          <w:szCs w:val="18"/>
          <w:color w:val="auto"/>
        </w:rPr>
        <w:t>: By Employee’s signature below, Employee acknowledges that, on the Separation Date, the Company paid Employee for all wages, salary, accrued vacation (if applicable), bonuses, reimbursable expenses previously submitted by Employee, and any similar payments due Employee from the Company as of the Separation Date. By signing below, Employee acknowledges that the Company does not owe Employee any other amounts, except as may become payable under the Separation Agreement and the Second Release. Employee agrees to promptly submit for reimbursement all final outstanding expenses, if any.</w:t>
      </w:r>
    </w:p>
    <w:p>
      <w:pPr>
        <w:spacing w:after="0" w:line="140" w:lineRule="exact"/>
        <w:rPr>
          <w:rFonts w:ascii="Arial" w:cs="Arial" w:eastAsia="Arial" w:hAnsi="Arial"/>
          <w:sz w:val="18"/>
          <w:szCs w:val="18"/>
          <w:color w:val="auto"/>
        </w:rPr>
      </w:pPr>
    </w:p>
    <w:p>
      <w:pPr>
        <w:ind w:right="520" w:firstLine="601"/>
        <w:spacing w:after="0" w:line="289" w:lineRule="auto"/>
        <w:tabs>
          <w:tab w:leader="none" w:pos="95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Return of Company Property</w:t>
      </w:r>
      <w:r>
        <w:rPr>
          <w:rFonts w:ascii="Arial" w:cs="Arial" w:eastAsia="Arial" w:hAnsi="Arial"/>
          <w:sz w:val="18"/>
          <w:szCs w:val="18"/>
          <w:color w:val="auto"/>
        </w:rPr>
        <w:t>: Employee hereby warrants to the Company that Employee has returned to the Company all property or data of the Company of any type whatsoever that has been in Employee’s possession, custody or control.</w:t>
      </w:r>
    </w:p>
    <w:p>
      <w:pPr>
        <w:spacing w:after="0" w:line="102" w:lineRule="exact"/>
        <w:rPr>
          <w:rFonts w:ascii="Arial" w:cs="Arial" w:eastAsia="Arial" w:hAnsi="Arial"/>
          <w:sz w:val="18"/>
          <w:szCs w:val="18"/>
          <w:color w:val="auto"/>
        </w:rPr>
      </w:pPr>
    </w:p>
    <w:p>
      <w:pPr>
        <w:ind w:right="60" w:firstLine="601"/>
        <w:spacing w:after="0" w:line="251" w:lineRule="auto"/>
        <w:tabs>
          <w:tab w:leader="none" w:pos="951"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In exchange for Employee’s agreement to this Second Release and Employee’s other promises in the Separation Agreement and herein, the Company agrees to provide Employee with the consideration set forth in Paragraph 2(c) of the Separation Agreement. By signing below, Employee acknowledges that Employee is receiving the consideration in exchange for waiving Employee’s rights to claims referred to in this Second Release and Employee would not otherwise be entitled to the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00"/>
          </w:cols>
          <w:pgMar w:left="320" w:top="1303" w:right="379" w:bottom="1440" w:gutter="0" w:footer="0" w:header="0"/>
        </w:sectPr>
      </w:pPr>
    </w:p>
    <w:bookmarkStart w:id="130" w:name="page131"/>
    <w:bookmarkEnd w:id="130"/>
    <w:p>
      <w:pPr>
        <w:ind w:left="940" w:hanging="359"/>
        <w:spacing w:after="0"/>
        <w:tabs>
          <w:tab w:leader="none" w:pos="94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General Release and Waiver of Claims</w:t>
      </w:r>
      <w:r>
        <w:rPr>
          <w:rFonts w:ascii="Arial" w:cs="Arial" w:eastAsia="Arial" w:hAnsi="Arial"/>
          <w:sz w:val="20"/>
          <w:szCs w:val="20"/>
          <w:color w:val="auto"/>
        </w:rPr>
        <w:t>:</w:t>
      </w:r>
    </w:p>
    <w:p>
      <w:pPr>
        <w:spacing w:after="0" w:line="170" w:lineRule="exact"/>
        <w:rPr>
          <w:rFonts w:ascii="Arial" w:cs="Arial" w:eastAsia="Arial" w:hAnsi="Arial"/>
          <w:sz w:val="20"/>
          <w:szCs w:val="20"/>
          <w:color w:val="auto"/>
        </w:rPr>
      </w:pPr>
    </w:p>
    <w:p>
      <w:pPr>
        <w:ind w:left="-20" w:firstLine="1201"/>
        <w:spacing w:after="0" w:line="225" w:lineRule="auto"/>
        <w:tabs>
          <w:tab w:leader="none" w:pos="1517" w:val="left"/>
        </w:tabs>
        <w:numPr>
          <w:ilvl w:val="1"/>
          <w:numId w:val="136"/>
        </w:numPr>
        <w:rPr>
          <w:rFonts w:ascii="Arial" w:cs="Arial" w:eastAsia="Arial" w:hAnsi="Arial"/>
          <w:sz w:val="19"/>
          <w:szCs w:val="19"/>
          <w:color w:val="auto"/>
        </w:rPr>
      </w:pPr>
      <w:r>
        <w:rPr>
          <w:rFonts w:ascii="Arial" w:cs="Arial" w:eastAsia="Arial" w:hAnsi="Arial"/>
          <w:sz w:val="19"/>
          <w:szCs w:val="19"/>
          <w:color w:val="auto"/>
        </w:rPr>
        <w:t>The payments and promises set forth in this Agreement are in full satisfaction of all accrued salary, vacation pay, bonus and commission pay, profit-sharing, stock, stock options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the Virginia Human Rights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144" w:lineRule="exact"/>
        <w:rPr>
          <w:rFonts w:ascii="Arial" w:cs="Arial" w:eastAsia="Arial" w:hAnsi="Arial"/>
          <w:sz w:val="19"/>
          <w:szCs w:val="19"/>
          <w:color w:val="auto"/>
        </w:rPr>
      </w:pPr>
    </w:p>
    <w:p>
      <w:pPr>
        <w:ind w:left="-20" w:right="40" w:firstLine="1201"/>
        <w:spacing w:after="0" w:line="223" w:lineRule="auto"/>
        <w:tabs>
          <w:tab w:leader="none" w:pos="1524" w:val="left"/>
        </w:tabs>
        <w:numPr>
          <w:ilvl w:val="1"/>
          <w:numId w:val="136"/>
        </w:numPr>
        <w:rPr>
          <w:rFonts w:ascii="Arial" w:cs="Arial" w:eastAsia="Arial" w:hAnsi="Arial"/>
          <w:sz w:val="20"/>
          <w:szCs w:val="20"/>
          <w:color w:val="auto"/>
        </w:rPr>
      </w:pPr>
      <w:r>
        <w:rPr>
          <w:rFonts w:ascii="Arial" w:cs="Arial" w:eastAsia="Arial" w:hAnsi="Arial"/>
          <w:sz w:val="20"/>
          <w:szCs w:val="20"/>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spacing w:after="0" w:line="146" w:lineRule="exact"/>
        <w:rPr>
          <w:rFonts w:ascii="Arial" w:cs="Arial" w:eastAsia="Arial" w:hAnsi="Arial"/>
          <w:sz w:val="20"/>
          <w:szCs w:val="20"/>
          <w:color w:val="auto"/>
        </w:rPr>
      </w:pPr>
    </w:p>
    <w:p>
      <w:pPr>
        <w:ind w:left="-20" w:firstLine="1201"/>
        <w:spacing w:after="0" w:line="260" w:lineRule="auto"/>
        <w:tabs>
          <w:tab w:leader="none" w:pos="151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You and the Company do not intend to release claims that you may not release as a matter of law, including but not limited to claims for indemnity, or any claims for enforcement of this Agreement. To the fullest extent permitted by law, any dispute regarding the scope of this general release shall be determined by an arbitrator under the procedures set forth in the arbitration clause below.</w:t>
      </w:r>
    </w:p>
    <w:p>
      <w:pPr>
        <w:spacing w:after="0" w:line="128" w:lineRule="exact"/>
        <w:rPr>
          <w:rFonts w:ascii="Arial" w:cs="Arial" w:eastAsia="Arial" w:hAnsi="Arial"/>
          <w:sz w:val="18"/>
          <w:szCs w:val="18"/>
          <w:color w:val="auto"/>
        </w:rPr>
      </w:pPr>
    </w:p>
    <w:p>
      <w:pPr>
        <w:ind w:left="940" w:hanging="359"/>
        <w:spacing w:after="0"/>
        <w:tabs>
          <w:tab w:leader="none" w:pos="94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Covenant Not to Sue</w:t>
      </w:r>
      <w:r>
        <w:rPr>
          <w:rFonts w:ascii="Arial" w:cs="Arial" w:eastAsia="Arial" w:hAnsi="Arial"/>
          <w:sz w:val="20"/>
          <w:szCs w:val="20"/>
          <w:color w:val="auto"/>
        </w:rPr>
        <w:t>:</w:t>
      </w:r>
    </w:p>
    <w:p>
      <w:pPr>
        <w:spacing w:after="0" w:line="170" w:lineRule="exact"/>
        <w:rPr>
          <w:rFonts w:ascii="Arial" w:cs="Arial" w:eastAsia="Arial" w:hAnsi="Arial"/>
          <w:sz w:val="20"/>
          <w:szCs w:val="20"/>
          <w:color w:val="auto"/>
        </w:rPr>
      </w:pPr>
    </w:p>
    <w:p>
      <w:pPr>
        <w:ind w:left="-20" w:right="220" w:firstLine="1201"/>
        <w:spacing w:after="0" w:line="220" w:lineRule="auto"/>
        <w:tabs>
          <w:tab w:leader="none" w:pos="1517" w:val="left"/>
        </w:tabs>
        <w:numPr>
          <w:ilvl w:val="1"/>
          <w:numId w:val="136"/>
        </w:numPr>
        <w:rPr>
          <w:rFonts w:ascii="Arial" w:cs="Arial" w:eastAsia="Arial" w:hAnsi="Arial"/>
          <w:sz w:val="20"/>
          <w:szCs w:val="20"/>
          <w:color w:val="auto"/>
        </w:rPr>
      </w:pPr>
      <w:r>
        <w:rPr>
          <w:rFonts w:ascii="Arial" w:cs="Arial" w:eastAsia="Arial" w:hAnsi="Arial"/>
          <w:sz w:val="20"/>
          <w:szCs w:val="20"/>
          <w:color w:val="auto"/>
        </w:rPr>
        <w:t>To the fullest extent permitted by law, at no time subsequent to the execution of this Second Release will Employee pursue, or cause or knowingly permit the prosecution, in any state, federal or foreign court, or before any local, state, federal or foreign administrative agency, or any other tribunal, of any charge, claim or action of any kind, nature and character whatsoever, known or unknown, which Employee may now have, have ever had, or may in the future have against Releasees, which is based in whole or in part on any matter released by this Second Release.</w:t>
      </w:r>
    </w:p>
    <w:p>
      <w:pPr>
        <w:spacing w:after="0" w:line="147" w:lineRule="exact"/>
        <w:rPr>
          <w:rFonts w:ascii="Arial" w:cs="Arial" w:eastAsia="Arial" w:hAnsi="Arial"/>
          <w:sz w:val="20"/>
          <w:szCs w:val="20"/>
          <w:color w:val="auto"/>
        </w:rPr>
      </w:pPr>
    </w:p>
    <w:p>
      <w:pPr>
        <w:ind w:left="-20" w:right="180" w:firstLine="1201"/>
        <w:spacing w:after="0" w:line="289" w:lineRule="auto"/>
        <w:tabs>
          <w:tab w:leader="none" w:pos="153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Nothing in this paragraph shall prohibit or impair Employee or the Company from complying with all applicable laws, nor shall this Second Release be construed to obligate either party to commit (or aid or abet in the commission of) any unlawful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0"/>
          </w:cols>
          <w:pgMar w:left="340" w:top="1307" w:right="359" w:bottom="1440" w:gutter="0" w:footer="0" w:header="0"/>
        </w:sectPr>
      </w:pPr>
    </w:p>
    <w:bookmarkStart w:id="131" w:name="page132"/>
    <w:bookmarkEnd w:id="131"/>
    <w:p>
      <w:pPr>
        <w:ind w:left="-80" w:right="40" w:firstLine="601"/>
        <w:spacing w:after="0" w:line="227" w:lineRule="auto"/>
        <w:tabs>
          <w:tab w:leader="none" w:pos="871"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Protected Rights</w:t>
      </w:r>
      <w:r>
        <w:rPr>
          <w:rFonts w:ascii="Arial" w:cs="Arial" w:eastAsia="Arial" w:hAnsi="Arial"/>
          <w:sz w:val="19"/>
          <w:szCs w:val="19"/>
          <w:color w:val="auto"/>
        </w:rPr>
        <w:t>: Employee understands that nothing in the General Release and Waiver of Claims and Covenant Not to Sue paragraphs above, or otherwise in this Second Release, limits Employee’s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Employee further understands that this Second Release does not limit Employee’s ability to communicate with any Government Agencies or otherwise participate in any investigation or proceeding that may be conducted by any Government Agency, including providing documents or other information, without notice to the Company. This Second Release does not limit Employee’s right to receive an award for information provided to any Government Agencies.</w:t>
      </w:r>
    </w:p>
    <w:p>
      <w:pPr>
        <w:spacing w:after="0" w:line="148" w:lineRule="exact"/>
        <w:rPr>
          <w:rFonts w:ascii="Arial" w:cs="Arial" w:eastAsia="Arial" w:hAnsi="Arial"/>
          <w:sz w:val="19"/>
          <w:szCs w:val="19"/>
          <w:color w:val="auto"/>
        </w:rPr>
      </w:pPr>
    </w:p>
    <w:p>
      <w:pPr>
        <w:ind w:left="-80" w:right="80" w:firstLine="601"/>
        <w:spacing w:after="0" w:line="216" w:lineRule="auto"/>
        <w:tabs>
          <w:tab w:leader="none" w:pos="871"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Employee agrees that Employee will not, directly or indirectly, disparage or make negative remarks regarding Releasees or their products, services, agents, representatives, directors, officers, shareholders, attorneys, employees, vendors, affiliates, successors or assigns, or any person acting by, through, under or in concert with any of them, with any written or oral statement, including, but not limited to, any statement posted on social media (including online company review sites) or otherwise on the Internet, whether or not made anonymously or with attribution. Nothing in this section shall prohibit Employee from providing truthful information in response to a subpoena or other legal process. Further, nothing in this Second Release prevents Employee from discussing or disclosing information about unlawful acts in the workplace, such as harassment or discrimination or any other conduct that Employee has reason to believe is unlawful.</w:t>
      </w:r>
    </w:p>
    <w:p>
      <w:pPr>
        <w:spacing w:after="0" w:line="145" w:lineRule="exact"/>
        <w:rPr>
          <w:rFonts w:ascii="Arial" w:cs="Arial" w:eastAsia="Arial" w:hAnsi="Arial"/>
          <w:sz w:val="20"/>
          <w:szCs w:val="20"/>
          <w:color w:val="auto"/>
        </w:rPr>
      </w:pPr>
    </w:p>
    <w:p>
      <w:pPr>
        <w:ind w:left="-80" w:firstLine="601"/>
        <w:spacing w:after="0" w:line="230" w:lineRule="auto"/>
        <w:tabs>
          <w:tab w:leader="none" w:pos="871"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Review of Second Release; Expiration of Offer</w:t>
      </w:r>
      <w:r>
        <w:rPr>
          <w:rFonts w:ascii="Arial" w:cs="Arial" w:eastAsia="Arial" w:hAnsi="Arial"/>
          <w:sz w:val="19"/>
          <w:szCs w:val="19"/>
          <w:color w:val="auto"/>
        </w:rPr>
        <w:t>: Employee understands that Employee may take up to twenty-one (21) days to consider this Second Release (the “</w:t>
      </w:r>
      <w:r>
        <w:rPr>
          <w:rFonts w:ascii="Arial" w:cs="Arial" w:eastAsia="Arial" w:hAnsi="Arial"/>
          <w:sz w:val="19"/>
          <w:szCs w:val="19"/>
          <w:b w:val="1"/>
          <w:bCs w:val="1"/>
          <w:i w:val="1"/>
          <w:iCs w:val="1"/>
          <w:color w:val="auto"/>
        </w:rPr>
        <w:t>Consideration Period</w:t>
      </w:r>
      <w:r>
        <w:rPr>
          <w:rFonts w:ascii="Arial" w:cs="Arial" w:eastAsia="Arial" w:hAnsi="Arial"/>
          <w:sz w:val="19"/>
          <w:szCs w:val="19"/>
          <w:color w:val="auto"/>
        </w:rPr>
        <w:t>”). The offer set forth in this Second Release, if not accepted by Employee before the end of the Consideration Period, will automatically expire. By signing below, Employee affirms that Employee was advised to consult with an attorney prior to signing this Second Release. Employee also understands that Employee may revoke this Second Release within seven (7) days of signing this document and that the consideration to be provided to Employee pursuant to Paragraph 2(c) of the Separation Agreement will be provided only after the expiration of that seven (7) day revocation period.</w:t>
      </w:r>
    </w:p>
    <w:p>
      <w:pPr>
        <w:spacing w:after="0" w:line="144" w:lineRule="exact"/>
        <w:rPr>
          <w:rFonts w:ascii="Arial" w:cs="Arial" w:eastAsia="Arial" w:hAnsi="Arial"/>
          <w:sz w:val="19"/>
          <w:szCs w:val="19"/>
          <w:color w:val="auto"/>
        </w:rPr>
      </w:pPr>
    </w:p>
    <w:p>
      <w:pPr>
        <w:ind w:left="-80" w:right="300" w:firstLine="601"/>
        <w:spacing w:after="0" w:line="238" w:lineRule="auto"/>
        <w:tabs>
          <w:tab w:leader="none" w:pos="871"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This Second Release is effective on the eighth (8th) day after Employee signs it, provided Employee has not revoked it as of that time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w:t>
      </w:r>
    </w:p>
    <w:p>
      <w:pPr>
        <w:spacing w:after="0" w:line="144" w:lineRule="exact"/>
        <w:rPr>
          <w:rFonts w:ascii="Arial" w:cs="Arial" w:eastAsia="Arial" w:hAnsi="Arial"/>
          <w:sz w:val="20"/>
          <w:szCs w:val="20"/>
          <w:color w:val="auto"/>
        </w:rPr>
      </w:pPr>
    </w:p>
    <w:p>
      <w:pPr>
        <w:ind w:left="-80" w:right="100" w:firstLine="601"/>
        <w:spacing w:after="0" w:line="260" w:lineRule="auto"/>
        <w:tabs>
          <w:tab w:leader="none" w:pos="97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Other Terms of Separation Agreement Incorporated Herein</w:t>
      </w:r>
      <w:r>
        <w:rPr>
          <w:rFonts w:ascii="Arial" w:cs="Arial" w:eastAsia="Arial" w:hAnsi="Arial"/>
          <w:sz w:val="18"/>
          <w:szCs w:val="18"/>
          <w:color w:val="auto"/>
        </w:rPr>
        <w:t>: All other terms of the Separation Agreement to the extent not inconsistent with the terms of this Second Release are hereby incorporated in this Second Release as though fully stated herein and apply with equal force to this Second Release, including, without limitation, the provisions on Arbitration, Governing Law, and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00"/>
          </w:cols>
          <w:pgMar w:left="400" w:top="1307" w:right="399" w:bottom="1440" w:gutter="0" w:footer="0" w:header="0"/>
        </w:sectPr>
      </w:pPr>
    </w:p>
    <w:bookmarkStart w:id="132" w:name="page133"/>
    <w:bookmarkEnd w:id="132"/>
    <w:p>
      <w:pPr>
        <w:spacing w:after="0" w:line="181"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color w:val="auto"/>
        </w:rPr>
        <w:t>Dated:____________________</w:t>
      </w:r>
      <w:r>
        <w:rPr>
          <w:sz w:val="20"/>
          <w:szCs w:val="20"/>
          <w:color w:val="auto"/>
        </w:rPr>
        <w:tab/>
      </w:r>
      <w:r>
        <w:rPr>
          <w:rFonts w:ascii="Arial" w:cs="Arial" w:eastAsia="Arial" w:hAnsi="Arial"/>
          <w:sz w:val="17"/>
          <w:szCs w:val="17"/>
          <w:color w:val="auto"/>
        </w:rPr>
        <w:t>________________________________</w:t>
      </w:r>
    </w:p>
    <w:p>
      <w:pPr>
        <w:ind w:left="4200"/>
        <w:spacing w:after="0" w:line="208" w:lineRule="auto"/>
        <w:rPr>
          <w:sz w:val="20"/>
          <w:szCs w:val="20"/>
          <w:color w:val="auto"/>
        </w:rPr>
      </w:pPr>
      <w:r>
        <w:rPr>
          <w:rFonts w:ascii="Arial" w:cs="Arial" w:eastAsia="Arial" w:hAnsi="Arial"/>
          <w:sz w:val="20"/>
          <w:szCs w:val="20"/>
          <w:color w:val="auto"/>
        </w:rPr>
        <w:t>Marc Stapley</w:t>
      </w:r>
    </w:p>
    <w:p>
      <w:pPr>
        <w:spacing w:after="0" w:line="1"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CEO</w:t>
      </w:r>
    </w:p>
    <w:p>
      <w:pPr>
        <w:spacing w:after="0" w:line="52"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For the Company</w:t>
      </w:r>
    </w:p>
    <w:p>
      <w:pPr>
        <w:spacing w:after="0" w:line="200" w:lineRule="exact"/>
        <w:rPr>
          <w:sz w:val="20"/>
          <w:szCs w:val="20"/>
          <w:color w:val="auto"/>
        </w:rPr>
      </w:pPr>
    </w:p>
    <w:p>
      <w:pPr>
        <w:spacing w:after="0" w:line="309" w:lineRule="exact"/>
        <w:rPr>
          <w:sz w:val="20"/>
          <w:szCs w:val="20"/>
          <w:color w:val="auto"/>
        </w:rPr>
      </w:pPr>
    </w:p>
    <w:p>
      <w:pPr>
        <w:spacing w:after="0"/>
        <w:tabs>
          <w:tab w:leader="none" w:pos="2920" w:val="left"/>
        </w:tabs>
        <w:rPr>
          <w:sz w:val="20"/>
          <w:szCs w:val="20"/>
          <w:color w:val="auto"/>
        </w:rPr>
      </w:pPr>
      <w:r>
        <w:rPr>
          <w:rFonts w:ascii="Arial" w:cs="Arial" w:eastAsia="Arial" w:hAnsi="Arial"/>
          <w:sz w:val="20"/>
          <w:szCs w:val="20"/>
          <w:color w:val="auto"/>
        </w:rPr>
        <w:t>Dated:____________________</w:t>
      </w:r>
      <w:r>
        <w:rPr>
          <w:sz w:val="20"/>
          <w:szCs w:val="20"/>
          <w:color w:val="auto"/>
        </w:rPr>
        <w:tab/>
      </w:r>
      <w:r>
        <w:rPr>
          <w:rFonts w:ascii="Arial" w:cs="Arial" w:eastAsia="Arial" w:hAnsi="Arial"/>
          <w:sz w:val="17"/>
          <w:szCs w:val="17"/>
          <w:color w:val="auto"/>
        </w:rPr>
        <w:t>________________________________</w:t>
      </w:r>
    </w:p>
    <w:p>
      <w:pPr>
        <w:ind w:left="3800"/>
        <w:spacing w:after="0"/>
        <w:rPr>
          <w:sz w:val="20"/>
          <w:szCs w:val="20"/>
          <w:color w:val="auto"/>
        </w:rPr>
      </w:pPr>
      <w:r>
        <w:rPr>
          <w:rFonts w:ascii="Arial" w:cs="Arial" w:eastAsia="Arial" w:hAnsi="Arial"/>
          <w:sz w:val="20"/>
          <w:szCs w:val="20"/>
          <w:color w:val="auto"/>
        </w:rPr>
        <w:t>Beverly Alley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39"/>
          </w:cols>
          <w:pgMar w:left="320" w:top="1440" w:right="1440" w:bottom="1440" w:gutter="0" w:footer="0" w:header="0"/>
        </w:sectPr>
      </w:pPr>
    </w:p>
    <w:bookmarkStart w:id="133" w:name="page134"/>
    <w:bookmarkEnd w:id="133"/>
    <w:p>
      <w:pPr>
        <w:ind w:left="4580"/>
        <w:spacing w:after="0"/>
        <w:rPr>
          <w:sz w:val="20"/>
          <w:szCs w:val="20"/>
          <w:color w:val="auto"/>
        </w:rPr>
      </w:pPr>
      <w:r>
        <w:rPr>
          <w:rFonts w:ascii="Arial" w:cs="Arial" w:eastAsia="Arial" w:hAnsi="Arial"/>
          <w:sz w:val="20"/>
          <w:szCs w:val="20"/>
          <w:b w:val="1"/>
          <w:bCs w:val="1"/>
          <w:u w:val="single" w:color="auto"/>
          <w:color w:val="auto"/>
        </w:rPr>
        <w:t>EXHIBIT B</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AT-WILL EMPLOYMENT, CONFIDENTIAL INFORMATION, INVENTION ASSIGNMENT, AND ARBITRATION</w:t>
      </w:r>
    </w:p>
    <w:p>
      <w:pPr>
        <w:jc w:val="center"/>
        <w:spacing w:after="0"/>
        <w:rPr>
          <w:sz w:val="20"/>
          <w:szCs w:val="20"/>
          <w:color w:val="auto"/>
        </w:rPr>
      </w:pPr>
      <w:r>
        <w:rPr>
          <w:rFonts w:ascii="Arial" w:cs="Arial" w:eastAsia="Arial" w:hAnsi="Arial"/>
          <w:sz w:val="20"/>
          <w:szCs w:val="20"/>
          <w:b w:val="1"/>
          <w:bCs w:val="1"/>
          <w:color w:val="auto"/>
        </w:rPr>
        <w:t>AGREEMENT</w:t>
      </w:r>
    </w:p>
    <w:p>
      <w:pPr>
        <w:sectPr>
          <w:pgSz w:w="11900" w:h="16838" w:orient="portrait"/>
          <w:cols w:equalWidth="0" w:num="1">
            <w:col w:w="10200"/>
          </w:cols>
          <w:pgMar w:left="840" w:top="1303" w:right="859" w:bottom="1440" w:gutter="0" w:footer="0" w:header="0"/>
        </w:sectPr>
      </w:pPr>
    </w:p>
    <w:bookmarkStart w:id="134" w:name="page135"/>
    <w:bookmarkEnd w:id="134"/>
    <w:p>
      <w:pPr>
        <w:ind w:left="10000"/>
        <w:spacing w:after="0"/>
        <w:rPr>
          <w:sz w:val="20"/>
          <w:szCs w:val="20"/>
          <w:color w:val="auto"/>
        </w:rPr>
      </w:pPr>
      <w:r>
        <w:rPr>
          <w:rFonts w:ascii="Arial" w:cs="Arial" w:eastAsia="Arial" w:hAnsi="Arial"/>
          <w:sz w:val="20"/>
          <w:szCs w:val="20"/>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640715</wp:posOffset>
            </wp:positionV>
            <wp:extent cx="937260" cy="659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7260" cy="65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April 20, 2022</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Ms. Bonnie Anderson</w:t>
      </w:r>
    </w:p>
    <w:p>
      <w:pPr>
        <w:spacing w:after="0"/>
        <w:rPr>
          <w:sz w:val="20"/>
          <w:szCs w:val="20"/>
          <w:color w:val="auto"/>
        </w:rPr>
      </w:pPr>
      <w:r>
        <w:rPr>
          <w:rFonts w:ascii="Arial" w:cs="Arial" w:eastAsia="Arial" w:hAnsi="Arial"/>
          <w:sz w:val="17"/>
          <w:szCs w:val="17"/>
          <w:i w:val="1"/>
          <w:iCs w:val="1"/>
          <w:color w:val="auto"/>
        </w:rPr>
        <w:t>Delivered by hand or via email</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Dear Bonnie:</w:t>
      </w:r>
    </w:p>
    <w:p>
      <w:pPr>
        <w:spacing w:after="0" w:line="348" w:lineRule="exact"/>
        <w:rPr>
          <w:sz w:val="20"/>
          <w:szCs w:val="20"/>
          <w:color w:val="auto"/>
        </w:rPr>
      </w:pPr>
    </w:p>
    <w:p>
      <w:pPr>
        <w:jc w:val="both"/>
        <w:ind w:firstLine="601"/>
        <w:spacing w:after="0" w:line="223" w:lineRule="auto"/>
        <w:rPr>
          <w:sz w:val="20"/>
          <w:szCs w:val="20"/>
          <w:color w:val="auto"/>
        </w:rPr>
      </w:pPr>
      <w:r>
        <w:rPr>
          <w:rFonts w:ascii="Arial" w:cs="Arial" w:eastAsia="Arial" w:hAnsi="Arial"/>
          <w:sz w:val="17"/>
          <w:szCs w:val="17"/>
          <w:color w:val="auto"/>
        </w:rPr>
        <w:t>Veracyte,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pleased to continue your employment as the Company’s Executive Chair (“</w:t>
      </w:r>
      <w:r>
        <w:rPr>
          <w:rFonts w:ascii="Arial" w:cs="Arial" w:eastAsia="Arial" w:hAnsi="Arial"/>
          <w:sz w:val="17"/>
          <w:szCs w:val="17"/>
          <w:b w:val="1"/>
          <w:bCs w:val="1"/>
          <w:i w:val="1"/>
          <w:iCs w:val="1"/>
          <w:color w:val="auto"/>
        </w:rPr>
        <w:t>Executive Chair</w:t>
      </w:r>
      <w:r>
        <w:rPr>
          <w:rFonts w:ascii="Arial" w:cs="Arial" w:eastAsia="Arial" w:hAnsi="Arial"/>
          <w:sz w:val="17"/>
          <w:szCs w:val="17"/>
          <w:color w:val="auto"/>
        </w:rPr>
        <w:t>”) on the terms set forth in this letter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effective April 20, 2022 (the “</w:t>
      </w:r>
      <w:r>
        <w:rPr>
          <w:rFonts w:ascii="Arial" w:cs="Arial" w:eastAsia="Arial" w:hAnsi="Arial"/>
          <w:sz w:val="17"/>
          <w:szCs w:val="17"/>
          <w:b w:val="1"/>
          <w:bCs w:val="1"/>
          <w:i w:val="1"/>
          <w:iCs w:val="1"/>
          <w:color w:val="auto"/>
        </w:rPr>
        <w:t>Amendment Date</w:t>
      </w:r>
      <w:r>
        <w:rPr>
          <w:rFonts w:ascii="Arial" w:cs="Arial" w:eastAsia="Arial" w:hAnsi="Arial"/>
          <w:sz w:val="17"/>
          <w:szCs w:val="17"/>
          <w:color w:val="auto"/>
        </w:rPr>
        <w:t>”). This Agreement amends and restates in its entirety the letter agreement related to your service as Executive Chair by and between you and the Company dated May 28, 2021.</w:t>
      </w:r>
    </w:p>
    <w:p>
      <w:pPr>
        <w:spacing w:after="0" w:line="143" w:lineRule="exact"/>
        <w:rPr>
          <w:sz w:val="20"/>
          <w:szCs w:val="20"/>
          <w:color w:val="auto"/>
        </w:rPr>
      </w:pPr>
    </w:p>
    <w:p>
      <w:pPr>
        <w:ind w:left="620" w:hanging="320"/>
        <w:spacing w:after="0"/>
        <w:tabs>
          <w:tab w:leader="none" w:pos="62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 will continue to serve as the Company’s Executive Chair, reporting to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w:t>
      </w:r>
    </w:p>
    <w:p>
      <w:pPr>
        <w:spacing w:after="0" w:line="187" w:lineRule="exact"/>
        <w:rPr>
          <w:sz w:val="20"/>
          <w:szCs w:val="20"/>
          <w:color w:val="auto"/>
        </w:rPr>
      </w:pPr>
    </w:p>
    <w:p>
      <w:pPr>
        <w:jc w:val="both"/>
        <w:ind w:left="600"/>
        <w:spacing w:after="0" w:line="204" w:lineRule="auto"/>
        <w:rPr>
          <w:sz w:val="20"/>
          <w:szCs w:val="20"/>
          <w:color w:val="auto"/>
        </w:rPr>
      </w:pPr>
      <w:r>
        <w:rPr>
          <w:rFonts w:ascii="Arial" w:cs="Arial" w:eastAsia="Arial" w:hAnsi="Arial"/>
          <w:sz w:val="17"/>
          <w:szCs w:val="17"/>
          <w:color w:val="auto"/>
        </w:rPr>
        <w:t>While you render services to the Company, you will not engage in any other employment, consulting or other business activity (whether full-time or part-time) that could create a business or fiduciary conflict of interest with the Company. Notwithstanding the foregoing, subject to the approval of the Board, and in accordance with the terms of the Nominating and Corporate Governance Committee Charter, you may serve on boards of directors and provide consulting services to non-competitive private or public companies. Pursuant to this Agreement, the Board consents to your continued service as a member of the board of directors of DNA Script Inc., Bruker Corporation, and as a trustee emeritus of the Keck Graduate Institute of Applied Life Sciences, your management of your personal investments, and your participation in civic, charitable, and academic activities (including serving on the boards and committees of such organizations), provided that such activities do not at the time the activity or activities commence or thereafter (i) create a business or fiduciary conflict of interest or (ii) individually or in the aggregate, interfere materially with the performance of your duties to the Company, and you comply with applicable Company policies.</w:t>
      </w:r>
    </w:p>
    <w:p>
      <w:pPr>
        <w:spacing w:after="0" w:line="169" w:lineRule="exact"/>
        <w:rPr>
          <w:sz w:val="20"/>
          <w:szCs w:val="20"/>
          <w:color w:val="auto"/>
        </w:rPr>
      </w:pPr>
    </w:p>
    <w:p>
      <w:pPr>
        <w:jc w:val="both"/>
        <w:ind w:left="600"/>
        <w:spacing w:after="0" w:line="228" w:lineRule="auto"/>
        <w:rPr>
          <w:sz w:val="20"/>
          <w:szCs w:val="20"/>
          <w:color w:val="auto"/>
        </w:rPr>
      </w:pPr>
      <w:r>
        <w:rPr>
          <w:rFonts w:ascii="Arial" w:cs="Arial" w:eastAsia="Arial" w:hAnsi="Arial"/>
          <w:sz w:val="16"/>
          <w:szCs w:val="16"/>
          <w:color w:val="auto"/>
        </w:rPr>
        <w:t>For so long as you serve as Executive Chair, subject to the requirements of applicable law (including, without limitation, any rules or regulations of any exchange on which the common stock of the Company is listed), the Board and/or the Nominating and Corporate Governance Committee of the Board will nominate you for re-election to the Board at each annual meeting at which you are subject to re-election.</w:t>
      </w:r>
    </w:p>
    <w:p>
      <w:pPr>
        <w:spacing w:after="0" w:line="144" w:lineRule="exact"/>
        <w:rPr>
          <w:sz w:val="20"/>
          <w:szCs w:val="20"/>
          <w:color w:val="auto"/>
        </w:rPr>
      </w:pPr>
    </w:p>
    <w:p>
      <w:pPr>
        <w:ind w:left="600" w:hanging="300"/>
        <w:spacing w:after="0" w:line="235" w:lineRule="auto"/>
        <w:tabs>
          <w:tab w:leader="none" w:pos="687"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Subject to the terms of this Agreement, this Agreement will remain in effect from the Amendment Date until terminated by you 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w:t>
      </w:r>
    </w:p>
    <w:p>
      <w:pPr>
        <w:spacing w:after="0" w:line="142" w:lineRule="exact"/>
        <w:rPr>
          <w:rFonts w:ascii="Arial" w:cs="Arial" w:eastAsia="Arial" w:hAnsi="Arial"/>
          <w:sz w:val="17"/>
          <w:szCs w:val="17"/>
          <w:b w:val="1"/>
          <w:bCs w:val="1"/>
          <w:color w:val="auto"/>
        </w:rPr>
      </w:pPr>
    </w:p>
    <w:p>
      <w:pPr>
        <w:ind w:left="620" w:hanging="320"/>
        <w:spacing w:after="0"/>
        <w:tabs>
          <w:tab w:leader="none" w:pos="620"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Cash Compensation</w:t>
      </w:r>
      <w:r>
        <w:rPr>
          <w:rFonts w:ascii="Arial" w:cs="Arial" w:eastAsia="Arial" w:hAnsi="Arial"/>
          <w:sz w:val="17"/>
          <w:szCs w:val="17"/>
          <w:color w:val="auto"/>
        </w:rPr>
        <w:t>.</w:t>
      </w:r>
    </w:p>
    <w:p>
      <w:pPr>
        <w:spacing w:after="0" w:line="167" w:lineRule="exact"/>
        <w:rPr>
          <w:rFonts w:ascii="Arial" w:cs="Arial" w:eastAsia="Arial" w:hAnsi="Arial"/>
          <w:sz w:val="17"/>
          <w:szCs w:val="17"/>
          <w:b w:val="1"/>
          <w:bCs w:val="1"/>
          <w:color w:val="auto"/>
        </w:rPr>
      </w:pPr>
    </w:p>
    <w:p>
      <w:pPr>
        <w:jc w:val="both"/>
        <w:ind w:left="1200" w:hanging="299"/>
        <w:spacing w:after="0" w:line="223" w:lineRule="auto"/>
        <w:tabs>
          <w:tab w:leader="none" w:pos="1234" w:val="left"/>
        </w:tabs>
        <w:numPr>
          <w:ilvl w:val="1"/>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For fiscal year 2022, the Company will pay you a base salary (the “</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at the annualized rate of Five Hundred</w:t>
      </w:r>
      <w:r>
        <w:rPr>
          <w:rFonts w:ascii="Arial" w:cs="Arial" w:eastAsia="Arial" w:hAnsi="Arial"/>
          <w:sz w:val="17"/>
          <w:szCs w:val="17"/>
          <w:b w:val="1"/>
          <w:bCs w:val="1"/>
          <w:color w:val="auto"/>
        </w:rPr>
        <w:t xml:space="preserve"> </w:t>
      </w:r>
      <w:r>
        <w:rPr>
          <w:rFonts w:ascii="Arial" w:cs="Arial" w:eastAsia="Arial" w:hAnsi="Arial"/>
          <w:sz w:val="17"/>
          <w:szCs w:val="17"/>
          <w:color w:val="auto"/>
        </w:rPr>
        <w:t>Thousand Dollars ($500,000.00) per year. Payment of your Base Salary shall be less applicable withholding taxes and payable in accordance with the Company’s standard payroll schedule.</w:t>
      </w:r>
    </w:p>
    <w:p>
      <w:pPr>
        <w:spacing w:after="0" w:line="143" w:lineRule="exact"/>
        <w:rPr>
          <w:rFonts w:ascii="Arial" w:cs="Arial" w:eastAsia="Arial" w:hAnsi="Arial"/>
          <w:sz w:val="17"/>
          <w:szCs w:val="17"/>
          <w:b w:val="1"/>
          <w:bCs w:val="1"/>
          <w:color w:val="auto"/>
        </w:rPr>
      </w:pPr>
    </w:p>
    <w:p>
      <w:pPr>
        <w:ind w:left="1200" w:hanging="299"/>
        <w:spacing w:after="0" w:line="235" w:lineRule="auto"/>
        <w:tabs>
          <w:tab w:leader="none" w:pos="1287" w:val="left"/>
        </w:tabs>
        <w:numPr>
          <w:ilvl w:val="1"/>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Annual Bonus</w:t>
      </w:r>
      <w:r>
        <w:rPr>
          <w:rFonts w:ascii="Arial" w:cs="Arial" w:eastAsia="Arial" w:hAnsi="Arial"/>
          <w:sz w:val="17"/>
          <w:szCs w:val="17"/>
          <w:color w:val="auto"/>
        </w:rPr>
        <w:t>. You will be eligible for an annual target bonus applicable to fiscal year 2022 of 50% of your Base Salary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incentive bonus plan (“</w:t>
      </w:r>
      <w:r>
        <w:rPr>
          <w:rFonts w:ascii="Arial" w:cs="Arial" w:eastAsia="Arial" w:hAnsi="Arial"/>
          <w:sz w:val="17"/>
          <w:szCs w:val="17"/>
          <w:b w:val="1"/>
          <w:bCs w:val="1"/>
          <w:i w:val="1"/>
          <w:iCs w:val="1"/>
          <w:color w:val="auto"/>
        </w:rPr>
        <w:t>Target</w:t>
      </w:r>
    </w:p>
    <w:p>
      <w:pPr>
        <w:sectPr>
          <w:pgSz w:w="11900" w:h="16838" w:orient="portrait"/>
          <w:cols w:equalWidth="0" w:num="1">
            <w:col w:w="11240"/>
          </w:cols>
          <w:pgMar w:left="320" w:top="327" w:right="339" w:bottom="1440" w:gutter="0" w:footer="0" w:header="0"/>
        </w:sectPr>
      </w:pPr>
    </w:p>
    <w:bookmarkStart w:id="135" w:name="page136"/>
    <w:bookmarkEnd w:id="135"/>
    <w:p>
      <w:pPr>
        <w:jc w:val="both"/>
        <w:ind w:left="900"/>
        <w:spacing w:after="0" w:line="214" w:lineRule="auto"/>
        <w:rPr>
          <w:sz w:val="20"/>
          <w:szCs w:val="20"/>
          <w:color w:val="auto"/>
        </w:rPr>
      </w:pPr>
      <w:r>
        <w:rPr>
          <w:rFonts w:ascii="Arial" w:cs="Arial" w:eastAsia="Arial" w:hAnsi="Arial"/>
          <w:sz w:val="17"/>
          <w:szCs w:val="17"/>
          <w:b w:val="1"/>
          <w:bCs w:val="1"/>
          <w:i w:val="1"/>
          <w:iCs w:val="1"/>
          <w:color w:val="auto"/>
        </w:rPr>
        <w:t>Bonus</w:t>
      </w:r>
      <w:r>
        <w:rPr>
          <w:rFonts w:ascii="Arial" w:cs="Arial" w:eastAsia="Arial" w:hAnsi="Arial"/>
          <w:sz w:val="17"/>
          <w:szCs w:val="17"/>
          <w:color w:val="auto"/>
        </w:rPr>
        <w:t>” and the Company’s incentive bonus plan, the “</w:t>
      </w:r>
      <w:r>
        <w:rPr>
          <w:rFonts w:ascii="Arial" w:cs="Arial" w:eastAsia="Arial" w:hAnsi="Arial"/>
          <w:sz w:val="17"/>
          <w:szCs w:val="17"/>
          <w:b w:val="1"/>
          <w:bCs w:val="1"/>
          <w:i w:val="1"/>
          <w:iCs w:val="1"/>
          <w:color w:val="auto"/>
        </w:rPr>
        <w:t>Company Incentive Plan</w:t>
      </w:r>
      <w:r>
        <w:rPr>
          <w:rFonts w:ascii="Arial" w:cs="Arial" w:eastAsia="Arial" w:hAnsi="Arial"/>
          <w:sz w:val="17"/>
          <w:szCs w:val="17"/>
          <w:color w:val="auto"/>
        </w:rPr>
        <w:t>”), with the actual bonus amount awarded to you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Actual Bonus</w:t>
      </w:r>
      <w:r>
        <w:rPr>
          <w:rFonts w:ascii="Arial" w:cs="Arial" w:eastAsia="Arial" w:hAnsi="Arial"/>
          <w:sz w:val="17"/>
          <w:szCs w:val="17"/>
          <w:color w:val="auto"/>
        </w:rPr>
        <w:t>”) based solely upon the achievement of Company performance objectives established by the Compensation Committee of the Board (the “</w:t>
      </w: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xml:space="preserve">”) or the Board. To receive payment of any Actual Bonus, you must be employed by the Company on the last day of the period to which such bonus relates and at the time bonuses are paid, except as otherwise provided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w:t>
      </w:r>
    </w:p>
    <w:p>
      <w:pPr>
        <w:spacing w:after="0" w:line="142" w:lineRule="exact"/>
        <w:rPr>
          <w:sz w:val="20"/>
          <w:szCs w:val="20"/>
          <w:color w:val="auto"/>
        </w:rPr>
      </w:pPr>
    </w:p>
    <w:p>
      <w:pPr>
        <w:jc w:val="both"/>
        <w:ind w:left="300" w:hanging="300"/>
        <w:spacing w:after="0" w:line="208" w:lineRule="auto"/>
        <w:tabs>
          <w:tab w:leader="none" w:pos="349"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Benefits</w:t>
      </w:r>
      <w:r>
        <w:rPr>
          <w:rFonts w:ascii="Arial" w:cs="Arial" w:eastAsia="Arial" w:hAnsi="Arial"/>
          <w:sz w:val="17"/>
          <w:szCs w:val="17"/>
          <w:color w:val="auto"/>
        </w:rPr>
        <w:t>. You will continue to be entitled to participate in all employee retirement, welfare, insurance and benefit programs of the Company as</w:t>
      </w:r>
      <w:r>
        <w:rPr>
          <w:rFonts w:ascii="Arial" w:cs="Arial" w:eastAsia="Arial" w:hAnsi="Arial"/>
          <w:sz w:val="17"/>
          <w:szCs w:val="17"/>
          <w:b w:val="1"/>
          <w:bCs w:val="1"/>
          <w:color w:val="auto"/>
        </w:rPr>
        <w:t xml:space="preserve"> </w:t>
      </w:r>
      <w:r>
        <w:rPr>
          <w:rFonts w:ascii="Arial" w:cs="Arial" w:eastAsia="Arial" w:hAnsi="Arial"/>
          <w:sz w:val="17"/>
          <w:szCs w:val="17"/>
          <w:color w:val="auto"/>
        </w:rPr>
        <w:t>are in effect from time to time and in which other senior executives of the Company are eligible to participate, on the same terms as such other senior executives. Also, you will continue to be eligible for paid time off and Company-paid holidays in accordance with the Company’s established policies. These and other policies are explained fully in the Company’s employee handbook. You will continue to be eligible for payments or benefits under the Amended and Restated Change of Control and Severance Agreement between you and the Company, dated July 1, 2019 (the “</w:t>
      </w:r>
      <w:r>
        <w:rPr>
          <w:rFonts w:ascii="Arial" w:cs="Arial" w:eastAsia="Arial" w:hAnsi="Arial"/>
          <w:sz w:val="17"/>
          <w:szCs w:val="17"/>
          <w:b w:val="1"/>
          <w:bCs w:val="1"/>
          <w:i w:val="1"/>
          <w:iCs w:val="1"/>
          <w:color w:val="auto"/>
        </w:rPr>
        <w:t>Severance Agreement</w:t>
      </w:r>
      <w:r>
        <w:rPr>
          <w:rFonts w:ascii="Arial" w:cs="Arial" w:eastAsia="Arial" w:hAnsi="Arial"/>
          <w:sz w:val="17"/>
          <w:szCs w:val="17"/>
          <w:color w:val="auto"/>
        </w:rPr>
        <w:t xml:space="preserve">”), but solely as such Severance Agreement is modified by the terms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 The Company shall pay or reimburse you for reasonable attorneys’ fees paid in connection with your negotiation and execution of this Agreement, up to a maximum amount of $5,000.</w:t>
      </w:r>
    </w:p>
    <w:p>
      <w:pPr>
        <w:spacing w:after="0" w:line="146" w:lineRule="exact"/>
        <w:rPr>
          <w:rFonts w:ascii="Arial" w:cs="Arial" w:eastAsia="Arial" w:hAnsi="Arial"/>
          <w:sz w:val="17"/>
          <w:szCs w:val="17"/>
          <w:b w:val="1"/>
          <w:bCs w:val="1"/>
          <w:color w:val="auto"/>
        </w:rPr>
      </w:pPr>
    </w:p>
    <w:p>
      <w:pPr>
        <w:ind w:left="320" w:hanging="320"/>
        <w:spacing w:after="0"/>
        <w:tabs>
          <w:tab w:leader="none" w:pos="32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Equity Awards</w:t>
      </w:r>
      <w:r>
        <w:rPr>
          <w:rFonts w:ascii="Arial" w:cs="Arial" w:eastAsia="Arial" w:hAnsi="Arial"/>
          <w:sz w:val="17"/>
          <w:szCs w:val="17"/>
          <w:color w:val="auto"/>
        </w:rPr>
        <w:t>.</w:t>
      </w:r>
    </w:p>
    <w:p>
      <w:pPr>
        <w:spacing w:after="0" w:line="187" w:lineRule="exact"/>
        <w:rPr>
          <w:sz w:val="20"/>
          <w:szCs w:val="20"/>
          <w:color w:val="auto"/>
        </w:rPr>
      </w:pPr>
    </w:p>
    <w:p>
      <w:pPr>
        <w:jc w:val="both"/>
        <w:ind w:left="300"/>
        <w:spacing w:after="0" w:line="206" w:lineRule="auto"/>
        <w:rPr>
          <w:sz w:val="20"/>
          <w:szCs w:val="20"/>
          <w:color w:val="auto"/>
        </w:rPr>
      </w:pPr>
      <w:r>
        <w:rPr>
          <w:rFonts w:ascii="Arial" w:cs="Arial" w:eastAsia="Arial" w:hAnsi="Arial"/>
          <w:sz w:val="17"/>
          <w:szCs w:val="17"/>
          <w:color w:val="auto"/>
        </w:rPr>
        <w:t>Your stock options to purchase common stock of the Company, restricted stock units, performance-based restricted stock units and any other Company equity compensation awards (your “</w:t>
      </w:r>
      <w:r>
        <w:rPr>
          <w:rFonts w:ascii="Arial" w:cs="Arial" w:eastAsia="Arial" w:hAnsi="Arial"/>
          <w:sz w:val="17"/>
          <w:szCs w:val="17"/>
          <w:b w:val="1"/>
          <w:bCs w:val="1"/>
          <w:i w:val="1"/>
          <w:iCs w:val="1"/>
          <w:color w:val="auto"/>
        </w:rPr>
        <w:t>Equity Awards</w:t>
      </w:r>
      <w:r>
        <w:rPr>
          <w:rFonts w:ascii="Arial" w:cs="Arial" w:eastAsia="Arial" w:hAnsi="Arial"/>
          <w:sz w:val="17"/>
          <w:szCs w:val="17"/>
          <w:color w:val="auto"/>
        </w:rPr>
        <w:t>”) will continue to vest pursuant to the terms and conditions of the respective award agreements and the Company’s 2013 Stock Incentive Plan (the “</w:t>
      </w:r>
      <w:r>
        <w:rPr>
          <w:rFonts w:ascii="Arial" w:cs="Arial" w:eastAsia="Arial" w:hAnsi="Arial"/>
          <w:sz w:val="17"/>
          <w:szCs w:val="17"/>
          <w:b w:val="1"/>
          <w:bCs w:val="1"/>
          <w:i w:val="1"/>
          <w:iCs w:val="1"/>
          <w:color w:val="auto"/>
        </w:rPr>
        <w:t>2013 Plan</w:t>
      </w:r>
      <w:r>
        <w:rPr>
          <w:rFonts w:ascii="Arial" w:cs="Arial" w:eastAsia="Arial" w:hAnsi="Arial"/>
          <w:sz w:val="17"/>
          <w:szCs w:val="17"/>
          <w:color w:val="auto"/>
        </w:rPr>
        <w:t>”) or any other applicable Company equity incentive plan, subject to your continued Service (as defined in the 2013 Plan, which includes your service as an employee, director or consultant of the Company). For the avoidance of doubt, during your service as Executive Chair and during your service as a non-employee member of the Board, either such service shall be deemed to constitute “Service” under your performance-based restricted stock unit awards and other Equity Awards.</w:t>
      </w:r>
    </w:p>
    <w:p>
      <w:pPr>
        <w:spacing w:after="0" w:line="164" w:lineRule="exact"/>
        <w:rPr>
          <w:sz w:val="20"/>
          <w:szCs w:val="20"/>
          <w:color w:val="auto"/>
        </w:rPr>
      </w:pPr>
    </w:p>
    <w:p>
      <w:pPr>
        <w:jc w:val="both"/>
        <w:ind w:left="300"/>
        <w:spacing w:after="0" w:line="211" w:lineRule="auto"/>
        <w:rPr>
          <w:sz w:val="20"/>
          <w:szCs w:val="20"/>
          <w:color w:val="auto"/>
        </w:rPr>
      </w:pPr>
      <w:r>
        <w:rPr>
          <w:rFonts w:ascii="Arial" w:cs="Arial" w:eastAsia="Arial" w:hAnsi="Arial"/>
          <w:sz w:val="17"/>
          <w:szCs w:val="17"/>
          <w:color w:val="auto"/>
        </w:rPr>
        <w:t>During your employment as Executive Chair, you will be subject to the Company’s stock ownership guidelines based on an ownership level of three times (3x) your annual base salary as Executive Chair. Should you cease to be Executive Chair, but remain a member of the Board, you will be subject to the Company’s stock ownership guidelines based on the ownership level required of all other non-employee Board members, which is currently three times (3x) the annual cash retainer payable to a non-employee Board member.</w:t>
      </w:r>
    </w:p>
    <w:p>
      <w:pPr>
        <w:spacing w:after="0" w:line="143" w:lineRule="exact"/>
        <w:rPr>
          <w:sz w:val="20"/>
          <w:szCs w:val="20"/>
          <w:color w:val="auto"/>
        </w:rPr>
      </w:pPr>
    </w:p>
    <w:p>
      <w:pPr>
        <w:jc w:val="both"/>
        <w:ind w:left="300"/>
        <w:spacing w:after="0" w:line="226" w:lineRule="auto"/>
        <w:rPr>
          <w:sz w:val="20"/>
          <w:szCs w:val="20"/>
          <w:color w:val="auto"/>
        </w:rPr>
      </w:pPr>
      <w:r>
        <w:rPr>
          <w:rFonts w:ascii="Arial" w:cs="Arial" w:eastAsia="Arial" w:hAnsi="Arial"/>
          <w:sz w:val="16"/>
          <w:szCs w:val="16"/>
          <w:color w:val="auto"/>
        </w:rPr>
        <w:t>On March 3, 2022 the Board granted you 17,667 restricted stock units (the “</w:t>
      </w:r>
      <w:r>
        <w:rPr>
          <w:rFonts w:ascii="Arial" w:cs="Arial" w:eastAsia="Arial" w:hAnsi="Arial"/>
          <w:sz w:val="16"/>
          <w:szCs w:val="16"/>
          <w:b w:val="1"/>
          <w:bCs w:val="1"/>
          <w:i w:val="1"/>
          <w:iCs w:val="1"/>
          <w:color w:val="auto"/>
        </w:rPr>
        <w:t>2022 RSUs</w:t>
      </w:r>
      <w:r>
        <w:rPr>
          <w:rFonts w:ascii="Arial" w:cs="Arial" w:eastAsia="Arial" w:hAnsi="Arial"/>
          <w:sz w:val="16"/>
          <w:szCs w:val="16"/>
          <w:color w:val="auto"/>
        </w:rPr>
        <w:t>”) to acquire shares of the Company’s common stock. Your 2022 RSUs will vest on March 2, 2023, subject to your continued Service (as defined in the 2013 Plan) through such date. On March 3, 2022 (the “</w:t>
      </w:r>
      <w:r>
        <w:rPr>
          <w:rFonts w:ascii="Arial" w:cs="Arial" w:eastAsia="Arial" w:hAnsi="Arial"/>
          <w:sz w:val="16"/>
          <w:szCs w:val="16"/>
          <w:b w:val="1"/>
          <w:bCs w:val="1"/>
          <w:i w:val="1"/>
          <w:iCs w:val="1"/>
          <w:color w:val="auto"/>
        </w:rPr>
        <w:t>Option Grant Date</w:t>
      </w:r>
      <w:r>
        <w:rPr>
          <w:rFonts w:ascii="Arial" w:cs="Arial" w:eastAsia="Arial" w:hAnsi="Arial"/>
          <w:sz w:val="16"/>
          <w:szCs w:val="16"/>
          <w:color w:val="auto"/>
        </w:rPr>
        <w:t>”) the Board also granted you an incentive stock option (the “</w:t>
      </w:r>
      <w:r>
        <w:rPr>
          <w:rFonts w:ascii="Arial" w:cs="Arial" w:eastAsia="Arial" w:hAnsi="Arial"/>
          <w:sz w:val="16"/>
          <w:szCs w:val="16"/>
          <w:b w:val="1"/>
          <w:bCs w:val="1"/>
          <w:i w:val="1"/>
          <w:iCs w:val="1"/>
          <w:color w:val="auto"/>
        </w:rPr>
        <w:t>2022 Option</w:t>
      </w:r>
      <w:r>
        <w:rPr>
          <w:rFonts w:ascii="Arial" w:cs="Arial" w:eastAsia="Arial" w:hAnsi="Arial"/>
          <w:sz w:val="16"/>
          <w:szCs w:val="16"/>
          <w:color w:val="auto"/>
        </w:rPr>
        <w:t>”) for 32,195 shares of the Company’s</w:t>
      </w:r>
    </w:p>
    <w:p>
      <w:pPr>
        <w:spacing w:after="0" w:line="1" w:lineRule="exact"/>
        <w:rPr>
          <w:sz w:val="20"/>
          <w:szCs w:val="20"/>
          <w:color w:val="auto"/>
        </w:rPr>
      </w:pPr>
    </w:p>
    <w:p>
      <w:pPr>
        <w:jc w:val="both"/>
        <w:ind w:left="300"/>
        <w:spacing w:after="0" w:line="211" w:lineRule="auto"/>
        <w:rPr>
          <w:sz w:val="20"/>
          <w:szCs w:val="20"/>
          <w:color w:val="auto"/>
        </w:rPr>
      </w:pPr>
      <w:r>
        <w:rPr>
          <w:rFonts w:ascii="Arial" w:cs="Arial" w:eastAsia="Arial" w:hAnsi="Arial"/>
          <w:sz w:val="17"/>
          <w:szCs w:val="17"/>
          <w:color w:val="auto"/>
        </w:rPr>
        <w:t>common stock. Your 2022 Option will vest and become exercisable as to 33% of the shares underlying the 2022 Option on each of the one-year, two-year and three-year anniversaries of the Option Grant Date, subject to your continued Service (as defined in the 2013 Plan) through such dates. Your 2022 RSUs and 2022 Option will be further subject to the terms and conditions set forth in the applicable award agreement between you and the Company and the Company’s 2013 Plan.</w:t>
      </w:r>
    </w:p>
    <w:p>
      <w:pPr>
        <w:spacing w:after="0" w:line="163" w:lineRule="exact"/>
        <w:rPr>
          <w:sz w:val="20"/>
          <w:szCs w:val="20"/>
          <w:color w:val="auto"/>
        </w:rPr>
      </w:pPr>
    </w:p>
    <w:p>
      <w:pPr>
        <w:jc w:val="both"/>
        <w:ind w:left="300"/>
        <w:spacing w:after="0" w:line="209" w:lineRule="auto"/>
        <w:rPr>
          <w:sz w:val="20"/>
          <w:szCs w:val="20"/>
          <w:color w:val="auto"/>
        </w:rPr>
      </w:pPr>
      <w:r>
        <w:rPr>
          <w:rFonts w:ascii="Arial" w:cs="Arial" w:eastAsia="Arial" w:hAnsi="Arial"/>
          <w:sz w:val="17"/>
          <w:szCs w:val="17"/>
          <w:color w:val="auto"/>
        </w:rPr>
        <w:t>Notwithstanding anything to the contrary in this Agreement, your Severance Agreement, the 2013 Plan or the applicable award agreements, any then-unvested portion of the 2022 RSUs and 2022 Option shall accelerate in full upon the earlier of (i) termination of your Service to the Company as Executive Chair, Chairman of the Board or a director of the Company due to your involuntary termination by the Company other than for Cause (as defined in the Severance Agreement), excluding death or Disability (as defined in the Severance Agreement) or (ii) upon a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620" w:top="1307" w:right="339" w:bottom="1440" w:gutter="0" w:footer="0" w:header="0"/>
        </w:sectPr>
      </w:pPr>
    </w:p>
    <w:bookmarkStart w:id="136" w:name="page137"/>
    <w:bookmarkEnd w:id="136"/>
    <w:p>
      <w:pPr>
        <w:jc w:val="both"/>
        <w:ind w:left="300"/>
        <w:spacing w:after="0" w:line="212" w:lineRule="auto"/>
        <w:rPr>
          <w:sz w:val="20"/>
          <w:szCs w:val="20"/>
          <w:color w:val="auto"/>
        </w:rPr>
      </w:pPr>
      <w:r>
        <w:rPr>
          <w:rFonts w:ascii="Arial" w:cs="Arial" w:eastAsia="Arial" w:hAnsi="Arial"/>
          <w:sz w:val="16"/>
          <w:szCs w:val="16"/>
          <w:color w:val="auto"/>
        </w:rPr>
        <w:t>Control (as defined in the 2013 Plan), provided that, you deliver to the Company a signed general release of claims in favor of the Company in a customary form acceptable to the Company; provided, however, such general release of claims shall not extend to, and will have no effect upon,</w:t>
      </w:r>
    </w:p>
    <w:p>
      <w:pPr>
        <w:jc w:val="both"/>
        <w:ind w:left="300" w:firstLine="1"/>
        <w:spacing w:after="0" w:line="215" w:lineRule="auto"/>
        <w:tabs>
          <w:tab w:leader="none" w:pos="54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Accrued Compensation (as defined below), (y) your rights to indemnification by the Company, and (z) continued coverage by the Company’s director’s and officer’s insurance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and you satisfy all conditions to make the Release effective within sixty (60) days following your termination of employment.</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Section 8 of this Agreement does not apply to the 2022 RSUs or the 2022 Option.</w:t>
      </w:r>
    </w:p>
    <w:p>
      <w:pPr>
        <w:spacing w:after="0" w:line="147" w:lineRule="exact"/>
        <w:rPr>
          <w:sz w:val="20"/>
          <w:szCs w:val="20"/>
          <w:color w:val="auto"/>
        </w:rPr>
      </w:pPr>
    </w:p>
    <w:p>
      <w:pPr>
        <w:jc w:val="both"/>
        <w:ind w:left="300" w:hanging="300"/>
        <w:spacing w:after="0" w:line="214" w:lineRule="auto"/>
        <w:tabs>
          <w:tab w:leader="none" w:pos="437"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for Future Fiscal Years</w:t>
      </w:r>
      <w:r>
        <w:rPr>
          <w:rFonts w:ascii="Arial" w:cs="Arial" w:eastAsia="Arial" w:hAnsi="Arial"/>
          <w:sz w:val="17"/>
          <w:szCs w:val="17"/>
          <w:color w:val="auto"/>
        </w:rPr>
        <w:t>. The Board (or the Compensation Committee) intends to determine your compensation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 fiscal year, including your Base Salary, Target Bonus and eligibility for long-term equity incentive awards, at the same time it reviews executive officer compensation for any such fiscal year in accordance with standard practices. The determination by the Board (or the Compensation Committee) of your compensation for any subsequent fiscal year will be based, in part, on the extent and level of your then-current and expected involvement in the business, including the percentage of working time dedicated to the Company.</w:t>
      </w:r>
    </w:p>
    <w:p>
      <w:pPr>
        <w:spacing w:after="0" w:line="141" w:lineRule="exact"/>
        <w:rPr>
          <w:rFonts w:ascii="Arial" w:cs="Arial" w:eastAsia="Arial" w:hAnsi="Arial"/>
          <w:sz w:val="17"/>
          <w:szCs w:val="17"/>
          <w:b w:val="1"/>
          <w:bCs w:val="1"/>
          <w:color w:val="auto"/>
        </w:rPr>
      </w:pPr>
    </w:p>
    <w:p>
      <w:pPr>
        <w:jc w:val="both"/>
        <w:ind w:left="300" w:hanging="300"/>
        <w:spacing w:after="0" w:line="214" w:lineRule="auto"/>
        <w:tabs>
          <w:tab w:leader="none" w:pos="364"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Board Compensation</w:t>
      </w:r>
      <w:r>
        <w:rPr>
          <w:rFonts w:ascii="Arial" w:cs="Arial" w:eastAsia="Arial" w:hAnsi="Arial"/>
          <w:sz w:val="17"/>
          <w:szCs w:val="17"/>
          <w:color w:val="auto"/>
        </w:rPr>
        <w:t>. You acknowledge that for so long as you are employed as Executive Chair (or in any other employment position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you will not receive any cash or equity compensation as a non-employee member of the Board. Should you cease to be Executive Chair (or any other employment position with the Company), but remain a non-employee member of the Board, you will be entitled to receive the annual cash and equity compensation payable to non-employee directors generally, but you would not receive an initial three-year equity incentive grant.</w:t>
      </w:r>
    </w:p>
    <w:p>
      <w:pPr>
        <w:spacing w:after="0" w:line="141" w:lineRule="exact"/>
        <w:rPr>
          <w:rFonts w:ascii="Arial" w:cs="Arial" w:eastAsia="Arial" w:hAnsi="Arial"/>
          <w:sz w:val="17"/>
          <w:szCs w:val="17"/>
          <w:b w:val="1"/>
          <w:bCs w:val="1"/>
          <w:color w:val="auto"/>
        </w:rPr>
      </w:pPr>
    </w:p>
    <w:p>
      <w:pPr>
        <w:ind w:left="320" w:hanging="320"/>
        <w:spacing w:after="0"/>
        <w:tabs>
          <w:tab w:leader="none" w:pos="320"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Effect of Termination of Employment as Executive Chair and/or as Services as a Member of the Board and Change of Control</w:t>
      </w:r>
      <w:r>
        <w:rPr>
          <w:rFonts w:ascii="Arial" w:cs="Arial" w:eastAsia="Arial" w:hAnsi="Arial"/>
          <w:sz w:val="17"/>
          <w:szCs w:val="17"/>
          <w:color w:val="auto"/>
        </w:rPr>
        <w:t>.</w:t>
      </w:r>
    </w:p>
    <w:p>
      <w:pPr>
        <w:spacing w:after="0" w:line="167" w:lineRule="exact"/>
        <w:rPr>
          <w:rFonts w:ascii="Arial" w:cs="Arial" w:eastAsia="Arial" w:hAnsi="Arial"/>
          <w:sz w:val="17"/>
          <w:szCs w:val="17"/>
          <w:b w:val="1"/>
          <w:bCs w:val="1"/>
          <w:color w:val="auto"/>
        </w:rPr>
      </w:pPr>
    </w:p>
    <w:p>
      <w:pPr>
        <w:jc w:val="both"/>
        <w:ind w:left="900" w:hanging="299"/>
        <w:spacing w:after="0" w:line="208" w:lineRule="auto"/>
        <w:tabs>
          <w:tab w:leader="none" w:pos="924" w:val="left"/>
        </w:tabs>
        <w:numPr>
          <w:ilvl w:val="1"/>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“Good Reason” Modification</w:t>
      </w:r>
      <w:r>
        <w:rPr>
          <w:rFonts w:ascii="Arial" w:cs="Arial" w:eastAsia="Arial" w:hAnsi="Arial"/>
          <w:sz w:val="17"/>
          <w:szCs w:val="17"/>
          <w:color w:val="auto"/>
        </w:rPr>
        <w:t>. As of June 1, 2021 and solely with respect to Section 3(a) of the Severance Agreement, the definition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Good Reason in the Severance Agreement was modified by removing Section 6(g)(i) of the Severance Agreement such that Good Reason may not be triggered by a material reduction of your authorities, duties or responsibilities. In addition, you acknowledge that the modifications to your compensation provided under this Agreement or in any subsequent year based on the extent and level of your then-current and expected involvement in the business, including the percentage of working time dedicated to the Company, as contemplated by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above will not constitute grounds for you to terminate your employment for Good Reason pursuant to Section 6(g)(ii) of the Severance Agreement. However, the foregoing sentence shall not adversely affect the acceleration of your 2022 equity grants provided under Section 5 of this Agreement.</w:t>
      </w:r>
    </w:p>
    <w:p>
      <w:pPr>
        <w:spacing w:after="0" w:line="146" w:lineRule="exact"/>
        <w:rPr>
          <w:rFonts w:ascii="Arial" w:cs="Arial" w:eastAsia="Arial" w:hAnsi="Arial"/>
          <w:sz w:val="17"/>
          <w:szCs w:val="17"/>
          <w:b w:val="1"/>
          <w:bCs w:val="1"/>
          <w:color w:val="auto"/>
        </w:rPr>
      </w:pPr>
    </w:p>
    <w:p>
      <w:pPr>
        <w:ind w:left="940" w:hanging="339"/>
        <w:spacing w:after="0"/>
        <w:tabs>
          <w:tab w:leader="none" w:pos="940" w:val="left"/>
        </w:tabs>
        <w:numPr>
          <w:ilvl w:val="1"/>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as Executive Chair Absent a Change of Control.</w:t>
      </w:r>
    </w:p>
    <w:p>
      <w:pPr>
        <w:spacing w:after="0" w:line="167" w:lineRule="exact"/>
        <w:rPr>
          <w:rFonts w:ascii="Arial" w:cs="Arial" w:eastAsia="Arial" w:hAnsi="Arial"/>
          <w:sz w:val="17"/>
          <w:szCs w:val="17"/>
          <w:b w:val="1"/>
          <w:bCs w:val="1"/>
          <w:color w:val="auto"/>
        </w:rPr>
      </w:pPr>
    </w:p>
    <w:p>
      <w:pPr>
        <w:jc w:val="both"/>
        <w:ind w:left="900" w:firstLine="601"/>
        <w:spacing w:after="0" w:line="225" w:lineRule="auto"/>
        <w:rPr>
          <w:rFonts w:ascii="Arial" w:cs="Arial" w:eastAsia="Arial" w:hAnsi="Arial"/>
          <w:sz w:val="17"/>
          <w:szCs w:val="17"/>
          <w:b w:val="1"/>
          <w:bCs w:val="1"/>
          <w:color w:val="auto"/>
        </w:rPr>
      </w:pPr>
      <w:r>
        <w:rPr>
          <w:rFonts w:ascii="Arial" w:cs="Arial" w:eastAsia="Arial" w:hAnsi="Arial"/>
          <w:sz w:val="16"/>
          <w:szCs w:val="16"/>
          <w:color w:val="auto"/>
        </w:rPr>
        <w:t xml:space="preserve">i. </w:t>
      </w:r>
      <w:r>
        <w:rPr>
          <w:rFonts w:ascii="Arial" w:cs="Arial" w:eastAsia="Arial" w:hAnsi="Arial"/>
          <w:sz w:val="16"/>
          <w:szCs w:val="16"/>
          <w:b w:val="1"/>
          <w:bCs w:val="1"/>
          <w:color w:val="auto"/>
        </w:rPr>
        <w:t>Termination as Executive Chair without Cause or for Good Reason Absent a Change of Control during Fiscal 2022.</w:t>
      </w:r>
      <w:r>
        <w:rPr>
          <w:rFonts w:ascii="Arial" w:cs="Arial" w:eastAsia="Arial" w:hAnsi="Arial"/>
          <w:sz w:val="16"/>
          <w:szCs w:val="16"/>
          <w:color w:val="auto"/>
        </w:rPr>
        <w:t xml:space="preserve"> As of January 1, 2022 through December 31, 2022, Section 3(a) of the Severance Agreement is amended to eliminate subsection 3(a)</w:t>
      </w:r>
    </w:p>
    <w:p>
      <w:pPr>
        <w:jc w:val="both"/>
        <w:ind w:left="900" w:firstLine="1"/>
        <w:spacing w:after="0" w:line="220" w:lineRule="auto"/>
        <w:tabs>
          <w:tab w:leader="none" w:pos="1142" w:val="left"/>
        </w:tabs>
        <w:numPr>
          <w:ilvl w:val="2"/>
          <w:numId w:val="142"/>
        </w:numPr>
        <w:rPr>
          <w:rFonts w:ascii="Arial" w:cs="Arial" w:eastAsia="Arial" w:hAnsi="Arial"/>
          <w:sz w:val="16"/>
          <w:szCs w:val="16"/>
          <w:color w:val="auto"/>
        </w:rPr>
      </w:pPr>
      <w:r>
        <w:rPr>
          <w:rFonts w:ascii="Arial" w:cs="Arial" w:eastAsia="Arial" w:hAnsi="Arial"/>
          <w:sz w:val="16"/>
          <w:szCs w:val="16"/>
          <w:color w:val="auto"/>
        </w:rPr>
        <w:t>(Accelerated Vesting of Equity Awards) such that, if the Company terminates your employment without Cause or you resign for Good Reason outside of the Change of Control Period, and provided that you deliver to the Company a signed Release and satisfy all conditions to make the Release effective within sixty (60) days following your termination of employment, you will be entitled to only the termination benefits set forth in Section 3(a)(ii) (Continuing Salary Payments), 3(a)(iii) (Bonus) with such pro-rated bonus amount calculated based on the bonus amount as determined as of the end of the performance period as provided in such subsection 3(a)(iii), 3(a)(iv) (COBRA Continuation Coverage) and 3(a)(vi) (Extended Post-Termination Exercise Period) of the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620" w:top="1327" w:right="339" w:bottom="1440" w:gutter="0" w:footer="0" w:header="0"/>
        </w:sectPr>
      </w:pPr>
    </w:p>
    <w:bookmarkStart w:id="137" w:name="page138"/>
    <w:bookmarkEnd w:id="137"/>
    <w:p>
      <w:pPr>
        <w:ind w:left="299"/>
        <w:spacing w:after="0" w:line="223" w:lineRule="auto"/>
        <w:rPr>
          <w:sz w:val="20"/>
          <w:szCs w:val="20"/>
          <w:color w:val="auto"/>
        </w:rPr>
      </w:pPr>
      <w:r>
        <w:rPr>
          <w:rFonts w:ascii="Arial" w:cs="Arial" w:eastAsia="Arial" w:hAnsi="Arial"/>
          <w:sz w:val="17"/>
          <w:szCs w:val="17"/>
          <w:color w:val="auto"/>
        </w:rPr>
        <w:t>Agreement. However, the foregoing sentence shall not adversely affect the acceleration of your 2022 equity grants provided under Section 5 of this Agreement.</w:t>
      </w:r>
    </w:p>
    <w:p>
      <w:pPr>
        <w:spacing w:after="0" w:line="142" w:lineRule="exact"/>
        <w:rPr>
          <w:sz w:val="20"/>
          <w:szCs w:val="20"/>
          <w:color w:val="auto"/>
        </w:rPr>
      </w:pPr>
    </w:p>
    <w:p>
      <w:pPr>
        <w:jc w:val="both"/>
        <w:ind w:left="299" w:firstLine="602"/>
        <w:spacing w:after="0" w:line="214" w:lineRule="auto"/>
        <w:tabs>
          <w:tab w:leader="none" w:pos="1268" w:val="left"/>
        </w:tabs>
        <w:numPr>
          <w:ilvl w:val="1"/>
          <w:numId w:val="143"/>
        </w:numPr>
        <w:rPr>
          <w:rFonts w:ascii="Arial" w:cs="Arial" w:eastAsia="Arial" w:hAnsi="Arial"/>
          <w:sz w:val="17"/>
          <w:szCs w:val="17"/>
          <w:color w:val="auto"/>
        </w:rPr>
      </w:pPr>
      <w:r>
        <w:rPr>
          <w:rFonts w:ascii="Arial" w:cs="Arial" w:eastAsia="Arial" w:hAnsi="Arial"/>
          <w:sz w:val="17"/>
          <w:szCs w:val="17"/>
          <w:b w:val="1"/>
          <w:bCs w:val="1"/>
          <w:color w:val="auto"/>
        </w:rPr>
        <w:t xml:space="preserve">Termination as Executive Chair Absent a Change of Control during and after Fiscal 2023. </w:t>
      </w:r>
      <w:r>
        <w:rPr>
          <w:rFonts w:ascii="Arial" w:cs="Arial" w:eastAsia="Arial" w:hAnsi="Arial"/>
          <w:sz w:val="17"/>
          <w:szCs w:val="17"/>
          <w:color w:val="auto"/>
        </w:rPr>
        <w:t>As of January 1, 2023,</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3(a) is eliminated in its entirety from the Severance Agreement such that if, after December 31, 2022, your employment with the Company terminates for any reason outside of the Change of Control Period, you will no longer be entitled to any termination benefits under the Severance Agreement or any other agreement, plan, program or arrangement of the Company except as expressly set forth in Section 5 of this Agreement with respect to the 2022 RSUs and 2022 Option.</w:t>
      </w:r>
    </w:p>
    <w:p>
      <w:pPr>
        <w:spacing w:after="0" w:line="141" w:lineRule="exact"/>
        <w:rPr>
          <w:rFonts w:ascii="Arial" w:cs="Arial" w:eastAsia="Arial" w:hAnsi="Arial"/>
          <w:sz w:val="17"/>
          <w:szCs w:val="17"/>
          <w:color w:val="auto"/>
        </w:rPr>
      </w:pPr>
    </w:p>
    <w:p>
      <w:pPr>
        <w:jc w:val="both"/>
        <w:ind w:left="299" w:hanging="299"/>
        <w:spacing w:after="0" w:line="211" w:lineRule="auto"/>
        <w:tabs>
          <w:tab w:leader="none" w:pos="377"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as Executive Chair in Connection with a Change of Control</w:t>
      </w:r>
      <w:r>
        <w:rPr>
          <w:rFonts w:ascii="Arial" w:cs="Arial" w:eastAsia="Arial" w:hAnsi="Arial"/>
          <w:sz w:val="17"/>
          <w:szCs w:val="17"/>
          <w:color w:val="auto"/>
        </w:rPr>
        <w:t>. If either (i) the Company or its successor, as the case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may be, terminates your employment as Executive Chair without Cause or (ii) you terminate your employment as Executive Chair for Good Reason, as Good Reason is defined in the Severance Agreement without giving effect to the modification of Good Reason in </w:t>
      </w:r>
      <w:r>
        <w:rPr>
          <w:rFonts w:ascii="Arial" w:cs="Arial" w:eastAsia="Arial" w:hAnsi="Arial"/>
          <w:sz w:val="17"/>
          <w:szCs w:val="17"/>
          <w:u w:val="single" w:color="auto"/>
          <w:color w:val="auto"/>
        </w:rPr>
        <w:t>Section 8(a)</w:t>
      </w:r>
      <w:r>
        <w:rPr>
          <w:rFonts w:ascii="Arial" w:cs="Arial" w:eastAsia="Arial" w:hAnsi="Arial"/>
          <w:sz w:val="17"/>
          <w:szCs w:val="17"/>
          <w:color w:val="auto"/>
        </w:rPr>
        <w:t xml:space="preserve"> of this Agreement, in each case during the Change of Control Period and provided that you deliver to the Company a signed Release and satisfy all conditions to make the Release effective within sixty (60) days following your termination of employment, you shall be entitled to the termination benefits set forth in Section 3(b) of the Severance Agreement.</w:t>
      </w:r>
    </w:p>
    <w:p>
      <w:pPr>
        <w:spacing w:after="0" w:line="144" w:lineRule="exact"/>
        <w:rPr>
          <w:rFonts w:ascii="Arial" w:cs="Arial" w:eastAsia="Arial" w:hAnsi="Arial"/>
          <w:sz w:val="17"/>
          <w:szCs w:val="17"/>
          <w:b w:val="1"/>
          <w:bCs w:val="1"/>
          <w:color w:val="auto"/>
        </w:rPr>
      </w:pPr>
    </w:p>
    <w:p>
      <w:pPr>
        <w:jc w:val="both"/>
        <w:ind w:left="299" w:hanging="299"/>
        <w:spacing w:after="0" w:line="214" w:lineRule="auto"/>
        <w:tabs>
          <w:tab w:leader="none" w:pos="386"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Change of Control While Serving as Non-Employee Member of the Board</w:t>
      </w:r>
      <w:r>
        <w:rPr>
          <w:rFonts w:ascii="Arial" w:cs="Arial" w:eastAsia="Arial" w:hAnsi="Arial"/>
          <w:sz w:val="17"/>
          <w:szCs w:val="17"/>
          <w:color w:val="auto"/>
        </w:rPr>
        <w:t>. In the event a Change of Control (as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occurs and at such time you are serving as a non-employee Board member, but are no longer serving as Executive Chair, then you shall be entitled to immediate acceleration of all of the then-unvested shares subject to your Equity Awards provided that any performance-based Equity Awards will accelerate assuming the performance criteria had been achieved at target levels for the relevant performance period(s) unless provided otherwise in the applicable performance-based equity award agreement.</w:t>
      </w:r>
    </w:p>
    <w:p>
      <w:pPr>
        <w:spacing w:after="0" w:line="141" w:lineRule="exact"/>
        <w:rPr>
          <w:rFonts w:ascii="Arial" w:cs="Arial" w:eastAsia="Arial" w:hAnsi="Arial"/>
          <w:sz w:val="17"/>
          <w:szCs w:val="17"/>
          <w:b w:val="1"/>
          <w:bCs w:val="1"/>
          <w:color w:val="auto"/>
        </w:rPr>
      </w:pPr>
    </w:p>
    <w:p>
      <w:pPr>
        <w:jc w:val="both"/>
        <w:ind w:left="299" w:hanging="299"/>
        <w:spacing w:after="0" w:line="214" w:lineRule="auto"/>
        <w:tabs>
          <w:tab w:leader="none" w:pos="344"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Non-Assumption of Equity Awards upon a Change of Control</w:t>
      </w:r>
      <w:r>
        <w:rPr>
          <w:rFonts w:ascii="Arial" w:cs="Arial" w:eastAsia="Arial" w:hAnsi="Arial"/>
          <w:sz w:val="17"/>
          <w:szCs w:val="17"/>
          <w:color w:val="auto"/>
        </w:rPr>
        <w:t>. If your then-outstanding Equity Awards are not assumed, 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or substituted in a Change of Control, then the vesting of such Equity Awards will accelerate in full immediately prior to the Change of Control, provided that any performance-based Equity Award will accelerate assuming the performance criteria had been achieved at target levels for the relevant performance period(s) unless provided otherwise in the applicable performance-based equity award agreement.</w:t>
      </w:r>
    </w:p>
    <w:p>
      <w:pPr>
        <w:spacing w:after="0" w:line="141" w:lineRule="exact"/>
        <w:rPr>
          <w:rFonts w:ascii="Arial" w:cs="Arial" w:eastAsia="Arial" w:hAnsi="Arial"/>
          <w:sz w:val="17"/>
          <w:szCs w:val="17"/>
          <w:b w:val="1"/>
          <w:bCs w:val="1"/>
          <w:color w:val="auto"/>
        </w:rPr>
      </w:pPr>
    </w:p>
    <w:p>
      <w:pPr>
        <w:jc w:val="both"/>
        <w:ind w:left="299" w:hanging="299"/>
        <w:spacing w:after="0" w:line="209" w:lineRule="auto"/>
        <w:tabs>
          <w:tab w:leader="none" w:pos="32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Any Termination</w:t>
      </w:r>
      <w:r>
        <w:rPr>
          <w:rFonts w:ascii="Arial" w:cs="Arial" w:eastAsia="Arial" w:hAnsi="Arial"/>
          <w:sz w:val="17"/>
          <w:szCs w:val="17"/>
          <w:color w:val="auto"/>
        </w:rPr>
        <w:t>. Upon termination of your employment at any time for any reason, you will be paid: (i) any earned but unpaid Base</w:t>
      </w:r>
      <w:r>
        <w:rPr>
          <w:rFonts w:ascii="Arial" w:cs="Arial" w:eastAsia="Arial" w:hAnsi="Arial"/>
          <w:sz w:val="17"/>
          <w:szCs w:val="17"/>
          <w:b w:val="1"/>
          <w:bCs w:val="1"/>
          <w:color w:val="auto"/>
        </w:rPr>
        <w:t xml:space="preserve"> </w:t>
      </w:r>
      <w:r>
        <w:rPr>
          <w:rFonts w:ascii="Arial" w:cs="Arial" w:eastAsia="Arial" w:hAnsi="Arial"/>
          <w:sz w:val="17"/>
          <w:szCs w:val="17"/>
          <w:color w:val="auto"/>
        </w:rPr>
        <w:t>Salary, (ii) other unpaid and then-vested amounts, including any amount payable to you under the specific terms of any agreements, plans or awards, including insurance and health and benefit plans in which you participate and (iii) reimbursement for all reasonable and necessary expenses incurred by you in connection with your performance of services on behalf of the Company in accordance with applicable Company policies and guidelines, in each case as of the effective date of such termination of employment (the “</w:t>
      </w:r>
      <w:r>
        <w:rPr>
          <w:rFonts w:ascii="Arial" w:cs="Arial" w:eastAsia="Arial" w:hAnsi="Arial"/>
          <w:sz w:val="17"/>
          <w:szCs w:val="17"/>
          <w:b w:val="1"/>
          <w:bCs w:val="1"/>
          <w:i w:val="1"/>
          <w:iCs w:val="1"/>
          <w:color w:val="auto"/>
        </w:rPr>
        <w:t>Accrued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Compensation</w:t>
      </w:r>
      <w:r>
        <w:rPr>
          <w:rFonts w:ascii="Arial" w:cs="Arial" w:eastAsia="Arial" w:hAnsi="Arial"/>
          <w:sz w:val="17"/>
          <w:szCs w:val="17"/>
          <w:color w:val="auto"/>
        </w:rPr>
        <w:t>”). To the extent that you remain on the Board following any such termination, your Equity Awards will continue to vest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your Board service pursuant to the terms of this Agreement and the terms of such Equity Awards.</w:t>
      </w:r>
    </w:p>
    <w:p>
      <w:pPr>
        <w:spacing w:after="0" w:line="167" w:lineRule="exact"/>
        <w:rPr>
          <w:sz w:val="20"/>
          <w:szCs w:val="20"/>
          <w:color w:val="auto"/>
        </w:rPr>
      </w:pPr>
    </w:p>
    <w:p>
      <w:pPr>
        <w:jc w:val="both"/>
        <w:ind w:left="299"/>
        <w:spacing w:after="0" w:line="215" w:lineRule="auto"/>
        <w:rPr>
          <w:sz w:val="20"/>
          <w:szCs w:val="20"/>
          <w:color w:val="auto"/>
        </w:rPr>
      </w:pPr>
      <w:r>
        <w:rPr>
          <w:rFonts w:ascii="Arial" w:cs="Arial" w:eastAsia="Arial" w:hAnsi="Arial"/>
          <w:sz w:val="17"/>
          <w:szCs w:val="17"/>
          <w:color w:val="auto"/>
        </w:rPr>
        <w:t xml:space="preserve">Except as provided under </w:t>
      </w:r>
      <w:r>
        <w:rPr>
          <w:rFonts w:ascii="Arial" w:cs="Arial" w:eastAsia="Arial" w:hAnsi="Arial"/>
          <w:sz w:val="17"/>
          <w:szCs w:val="17"/>
          <w:u w:val="single" w:color="auto"/>
          <w:color w:val="auto"/>
        </w:rPr>
        <w:t>Section 8(d)</w:t>
      </w:r>
      <w:r>
        <w:rPr>
          <w:rFonts w:ascii="Arial" w:cs="Arial" w:eastAsia="Arial" w:hAnsi="Arial"/>
          <w:sz w:val="17"/>
          <w:szCs w:val="17"/>
          <w:color w:val="auto"/>
        </w:rPr>
        <w:t xml:space="preserve"> above, in the event you resign from the Board, are not re-nominated or re-elected to the Board, or you are removed from the Board, you will be paid only the Accrued Compensation with respect to the termination of your Board service except as expressly set forth in Section 5 of this Agreement with respect to the 2022 RSUs and 2022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39"/>
          </w:cols>
          <w:pgMar w:left="1221" w:top="1327" w:right="339" w:bottom="1440" w:gutter="0" w:footer="0" w:header="0"/>
        </w:sectPr>
      </w:pPr>
    </w:p>
    <w:bookmarkStart w:id="138" w:name="page139"/>
    <w:bookmarkEnd w:id="138"/>
    <w:p>
      <w:pPr>
        <w:ind w:left="900"/>
        <w:spacing w:after="0"/>
        <w:rPr>
          <w:sz w:val="20"/>
          <w:szCs w:val="20"/>
          <w:color w:val="auto"/>
        </w:rPr>
      </w:pPr>
      <w:r>
        <w:rPr>
          <w:rFonts w:ascii="Arial" w:cs="Arial" w:eastAsia="Arial" w:hAnsi="Arial"/>
          <w:sz w:val="17"/>
          <w:szCs w:val="17"/>
          <w:color w:val="auto"/>
        </w:rPr>
        <w:t>Section 8 of this Agreement does not apply to the 2022 RSUs or the 2022 Option.</w:t>
      </w:r>
    </w:p>
    <w:p>
      <w:pPr>
        <w:spacing w:after="0" w:line="147" w:lineRule="exact"/>
        <w:rPr>
          <w:sz w:val="20"/>
          <w:szCs w:val="20"/>
          <w:color w:val="auto"/>
        </w:rPr>
      </w:pPr>
    </w:p>
    <w:p>
      <w:pPr>
        <w:spacing w:after="0" w:line="235" w:lineRule="auto"/>
        <w:tabs>
          <w:tab w:leader="none" w:pos="324"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As used in this Agreement, and as an amendment to such term in the Severance Agreement, the term “Change of Control” has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meaning:</w:t>
      </w:r>
    </w:p>
    <w:p>
      <w:pPr>
        <w:spacing w:after="0" w:line="163" w:lineRule="exact"/>
        <w:rPr>
          <w:sz w:val="20"/>
          <w:szCs w:val="20"/>
          <w:color w:val="auto"/>
        </w:rPr>
      </w:pPr>
    </w:p>
    <w:p>
      <w:pPr>
        <w:jc w:val="both"/>
        <w:ind w:left="900"/>
        <w:spacing w:after="0" w:line="216" w:lineRule="auto"/>
        <w:rPr>
          <w:sz w:val="20"/>
          <w:szCs w:val="20"/>
          <w:color w:val="auto"/>
        </w:rPr>
      </w:pPr>
      <w:r>
        <w:rPr>
          <w:rFonts w:ascii="Arial" w:cs="Arial" w:eastAsia="Arial" w:hAnsi="Arial"/>
          <w:sz w:val="16"/>
          <w:szCs w:val="16"/>
          <w:color w:val="auto"/>
        </w:rPr>
        <w:t>Change of Control means the occurrence, in a single transaction or in a series of related transactions, of any one or more of the following events: (i) any “person” (as such term is used in Sections 13(d) and 14(d) of the United States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becomes the “beneficial owner” (as defined in Rule 13d-3 of the Exchange Act), directly or indirectly, of securities of the Company representing more than fifty percent (50%) of the total voting power represented by the Company’s then outstanding voting securities; (ii)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 (iv) the consummation of the sale or disposition by the Company of all or substantially all of the Company’s assets.</w:t>
      </w:r>
    </w:p>
    <w:p>
      <w:pPr>
        <w:spacing w:after="0" w:line="165" w:lineRule="exact"/>
        <w:rPr>
          <w:sz w:val="20"/>
          <w:szCs w:val="20"/>
          <w:color w:val="auto"/>
        </w:rPr>
      </w:pPr>
    </w:p>
    <w:p>
      <w:pPr>
        <w:jc w:val="both"/>
        <w:ind w:left="900"/>
        <w:spacing w:after="0" w:line="211"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3" w:lineRule="exact"/>
        <w:rPr>
          <w:sz w:val="20"/>
          <w:szCs w:val="20"/>
          <w:color w:val="auto"/>
        </w:rPr>
      </w:pPr>
    </w:p>
    <w:p>
      <w:pPr>
        <w:jc w:val="both"/>
        <w:ind w:left="900"/>
        <w:spacing w:after="0" w:line="215" w:lineRule="auto"/>
        <w:rPr>
          <w:sz w:val="20"/>
          <w:szCs w:val="20"/>
          <w:color w:val="auto"/>
        </w:rPr>
      </w:pPr>
      <w:r>
        <w:rPr>
          <w:rFonts w:ascii="Arial" w:cs="Arial" w:eastAsia="Arial" w:hAnsi="Arial"/>
          <w:sz w:val="17"/>
          <w:szCs w:val="17"/>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43" w:lineRule="exact"/>
        <w:rPr>
          <w:sz w:val="20"/>
          <w:szCs w:val="20"/>
          <w:color w:val="auto"/>
        </w:rPr>
      </w:pPr>
    </w:p>
    <w:p>
      <w:pPr>
        <w:jc w:val="both"/>
        <w:spacing w:after="0" w:line="223" w:lineRule="auto"/>
        <w:tabs>
          <w:tab w:leader="none" w:pos="567"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Expenses and Reimbursement under Company Policies</w:t>
      </w:r>
      <w:r>
        <w:rPr>
          <w:rFonts w:ascii="Arial" w:cs="Arial" w:eastAsia="Arial" w:hAnsi="Arial"/>
          <w:sz w:val="17"/>
          <w:szCs w:val="17"/>
          <w:color w:val="auto"/>
        </w:rPr>
        <w:t>. The Company will, in accordance with applicable Company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guidelines, reimburse you for all reasonable and necessary expenses incurred by you in connection with your performance of services on behalf of the Company.</w:t>
      </w:r>
    </w:p>
    <w:p>
      <w:pPr>
        <w:spacing w:after="0" w:line="143" w:lineRule="exact"/>
        <w:rPr>
          <w:rFonts w:ascii="Arial" w:cs="Arial" w:eastAsia="Arial" w:hAnsi="Arial"/>
          <w:sz w:val="17"/>
          <w:szCs w:val="17"/>
          <w:b w:val="1"/>
          <w:bCs w:val="1"/>
          <w:color w:val="auto"/>
        </w:rPr>
      </w:pPr>
    </w:p>
    <w:p>
      <w:pPr>
        <w:ind w:left="420" w:hanging="420"/>
        <w:spacing w:after="0"/>
        <w:tabs>
          <w:tab w:leader="none" w:pos="42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w:t>
      </w:r>
    </w:p>
    <w:p>
      <w:pPr>
        <w:spacing w:after="0" w:line="167" w:lineRule="exact"/>
        <w:rPr>
          <w:rFonts w:ascii="Arial" w:cs="Arial" w:eastAsia="Arial" w:hAnsi="Arial"/>
          <w:sz w:val="17"/>
          <w:szCs w:val="17"/>
          <w:b w:val="1"/>
          <w:bCs w:val="1"/>
          <w:color w:val="auto"/>
        </w:rPr>
      </w:pPr>
    </w:p>
    <w:p>
      <w:pPr>
        <w:jc w:val="both"/>
        <w:ind w:left="900" w:hanging="299"/>
        <w:spacing w:after="0" w:line="223" w:lineRule="auto"/>
        <w:tabs>
          <w:tab w:leader="none" w:pos="964" w:val="left"/>
        </w:tabs>
        <w:numPr>
          <w:ilvl w:val="1"/>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Advice. </w:t>
      </w:r>
      <w:r>
        <w:rPr>
          <w:rFonts w:ascii="Arial" w:cs="Arial" w:eastAsia="Arial" w:hAnsi="Arial"/>
          <w:sz w:val="17"/>
          <w:szCs w:val="17"/>
          <w:color w:val="auto"/>
        </w:rPr>
        <w:t>You are encouraged to obtain your own tax advice regarding your compensation from the Company. You agree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does not have a duty to design its compensation policies in a manner that minimizes your tax liabilities, and you will not make any claim against the Company or its Board related to tax liabilities arising from your compensation.</w:t>
      </w:r>
    </w:p>
    <w:p>
      <w:pPr>
        <w:spacing w:after="0" w:line="143" w:lineRule="exact"/>
        <w:rPr>
          <w:rFonts w:ascii="Arial" w:cs="Arial" w:eastAsia="Arial" w:hAnsi="Arial"/>
          <w:sz w:val="17"/>
          <w:szCs w:val="17"/>
          <w:b w:val="1"/>
          <w:bCs w:val="1"/>
          <w:color w:val="auto"/>
        </w:rPr>
      </w:pPr>
    </w:p>
    <w:p>
      <w:pPr>
        <w:ind w:left="900" w:hanging="299"/>
        <w:spacing w:after="0" w:line="235" w:lineRule="auto"/>
        <w:tabs>
          <w:tab w:leader="none" w:pos="1008" w:val="left"/>
        </w:tabs>
        <w:numPr>
          <w:ilvl w:val="1"/>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w:t>
      </w:r>
      <w:r>
        <w:rPr>
          <w:rFonts w:ascii="Arial" w:cs="Arial" w:eastAsia="Arial" w:hAnsi="Arial"/>
          <w:sz w:val="17"/>
          <w:szCs w:val="17"/>
          <w:color w:val="auto"/>
        </w:rPr>
        <w:t>All forms of compensation referred to in this Agreement are subject to reduction to reflect applicable withholding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taxes and other deductions required by law.</w:t>
      </w:r>
    </w:p>
    <w:p>
      <w:pPr>
        <w:spacing w:after="0" w:line="129" w:lineRule="exact"/>
        <w:rPr>
          <w:rFonts w:ascii="Arial" w:cs="Arial" w:eastAsia="Arial" w:hAnsi="Arial"/>
          <w:sz w:val="17"/>
          <w:szCs w:val="17"/>
          <w:b w:val="1"/>
          <w:bCs w:val="1"/>
          <w:color w:val="auto"/>
        </w:rPr>
      </w:pPr>
    </w:p>
    <w:p>
      <w:pPr>
        <w:ind w:left="960" w:hanging="359"/>
        <w:spacing w:after="0"/>
        <w:tabs>
          <w:tab w:leader="none" w:pos="960" w:val="left"/>
        </w:tabs>
        <w:numPr>
          <w:ilvl w:val="1"/>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Parachute Payments</w:t>
      </w:r>
      <w:r>
        <w:rPr>
          <w:rFonts w:ascii="Arial" w:cs="Arial" w:eastAsia="Arial" w:hAnsi="Arial"/>
          <w:sz w:val="17"/>
          <w:szCs w:val="17"/>
          <w:color w:val="auto"/>
        </w:rPr>
        <w:t>. In the event that the severance and other benefits provided for in this Agreement or otherwise payable to you</w:t>
      </w:r>
    </w:p>
    <w:p>
      <w:pPr>
        <w:ind w:left="900" w:firstLine="1"/>
        <w:spacing w:after="0" w:line="223" w:lineRule="auto"/>
        <w:tabs>
          <w:tab w:leader="none" w:pos="1127" w:val="left"/>
        </w:tabs>
        <w:numPr>
          <w:ilvl w:val="2"/>
          <w:numId w:val="146"/>
        </w:numPr>
        <w:rPr>
          <w:rFonts w:ascii="Arial" w:cs="Arial" w:eastAsia="Arial" w:hAnsi="Arial"/>
          <w:sz w:val="17"/>
          <w:szCs w:val="17"/>
          <w:color w:val="auto"/>
        </w:rPr>
      </w:pPr>
      <w:r>
        <w:rPr>
          <w:rFonts w:ascii="Arial" w:cs="Arial" w:eastAsia="Arial" w:hAnsi="Arial"/>
          <w:sz w:val="17"/>
          <w:szCs w:val="17"/>
          <w:color w:val="auto"/>
        </w:rPr>
        <w:t>constitute “parachute payments” within the meaning of Section 280G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and (ii) but for this Section, would be subject to the excise tax imposed by Section 4999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620" w:top="1327" w:right="339" w:bottom="1440" w:gutter="0" w:footer="0" w:header="0"/>
        </w:sectPr>
      </w:pPr>
    </w:p>
    <w:bookmarkStart w:id="139" w:name="page140"/>
    <w:bookmarkEnd w:id="139"/>
    <w:p>
      <w:pPr>
        <w:jc w:val="both"/>
        <w:ind w:left="900"/>
        <w:spacing w:after="0" w:line="209" w:lineRule="auto"/>
        <w:rPr>
          <w:sz w:val="20"/>
          <w:szCs w:val="20"/>
          <w:color w:val="auto"/>
        </w:rPr>
      </w:pPr>
      <w:r>
        <w:rPr>
          <w:rFonts w:ascii="Arial" w:cs="Arial" w:eastAsia="Arial" w:hAnsi="Arial"/>
          <w:sz w:val="17"/>
          <w:szCs w:val="17"/>
          <w:color w:val="auto"/>
        </w:rPr>
        <w:t>the Code, then, your severance and other benefits under this Agreement shall be payable either (i) in full, or (ii) as to such lesser amount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you on an after-tax basis, of the greatest amount of severance benefits under this Agreement, notwithstanding that all or some portion of such severance benefits may be taxable under Section 4999 of the Code.</w:t>
      </w:r>
    </w:p>
    <w:p>
      <w:pPr>
        <w:spacing w:after="0" w:line="142" w:lineRule="exact"/>
        <w:rPr>
          <w:sz w:val="20"/>
          <w:szCs w:val="20"/>
          <w:color w:val="auto"/>
        </w:rPr>
      </w:pPr>
    </w:p>
    <w:p>
      <w:pPr>
        <w:jc w:val="both"/>
        <w:ind w:left="900" w:hanging="299"/>
        <w:spacing w:after="0" w:line="206" w:lineRule="auto"/>
        <w:tabs>
          <w:tab w:leader="none" w:pos="933"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To the extent (i) any payments to which you become entitled under this Agreement, or any agreement or plan referenced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in connection with your termination of service as Executive Chair with the Company constitute deferred compensation subject to Section 409A of the Code and (ii) you are deemed at the time of such termination of service as Executive Chair to be a “specified” employee under Section 409A of the Code, then such payment or payments shall not be made or commence until the earlier of (i) the expiration of the six (6)-month period measured from the date of your “separation from service” (as such term is at the time defined in regulations under Section 409A of the Code) with the Company; or (ii) the date of your death following such separation from service; provided, however, that such deferral shall only be effected to the extent required to avoid adverse tax treatment to you, including (without limitation) the additional twenty percent (20%) tax for which you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you or your beneficiary in one lump sum (without interest).</w:t>
      </w:r>
    </w:p>
    <w:p>
      <w:pPr>
        <w:spacing w:after="0" w:line="164" w:lineRule="exact"/>
        <w:rPr>
          <w:sz w:val="20"/>
          <w:szCs w:val="20"/>
          <w:color w:val="auto"/>
        </w:rPr>
      </w:pPr>
    </w:p>
    <w:p>
      <w:pPr>
        <w:jc w:val="both"/>
        <w:ind w:left="900"/>
        <w:spacing w:after="0" w:line="207" w:lineRule="auto"/>
        <w:rPr>
          <w:sz w:val="20"/>
          <w:szCs w:val="20"/>
          <w:color w:val="auto"/>
        </w:rPr>
      </w:pPr>
      <w:r>
        <w:rPr>
          <w:rFonts w:ascii="Arial" w:cs="Arial" w:eastAsia="Arial" w:hAnsi="Arial"/>
          <w:sz w:val="17"/>
          <w:szCs w:val="17"/>
          <w:color w:val="auto"/>
        </w:rPr>
        <w:t>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165" w:lineRule="exact"/>
        <w:rPr>
          <w:sz w:val="20"/>
          <w:szCs w:val="20"/>
          <w:color w:val="auto"/>
        </w:rPr>
      </w:pPr>
    </w:p>
    <w:p>
      <w:pPr>
        <w:jc w:val="both"/>
        <w:ind w:left="900"/>
        <w:spacing w:after="0" w:line="204" w:lineRule="auto"/>
        <w:rPr>
          <w:sz w:val="20"/>
          <w:szCs w:val="20"/>
          <w:color w:val="auto"/>
        </w:rPr>
      </w:pPr>
      <w:r>
        <w:rPr>
          <w:rFonts w:ascii="Arial" w:cs="Arial" w:eastAsia="Arial" w:hAnsi="Arial"/>
          <w:sz w:val="17"/>
          <w:szCs w:val="17"/>
          <w:color w:val="auto"/>
        </w:rPr>
        <w:t>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and each installment thereof, are intended to constitute separate payments for purposes of Section 1.409A-2(b)(2) of the regulations under Section 409A of the Code. Notwithstanding anything to the contrary in this Agreement, any reference herein to a termination of your employment is intended to constitute a “separation from service” within the meaning of Section 409A of the Code, and Section 1.409A-1(h) of the regulations promulgated thereunder, and shall be so construed.</w:t>
      </w:r>
    </w:p>
    <w:p>
      <w:pPr>
        <w:spacing w:after="0" w:line="145" w:lineRule="exact"/>
        <w:rPr>
          <w:sz w:val="20"/>
          <w:szCs w:val="20"/>
          <w:color w:val="auto"/>
        </w:rPr>
      </w:pPr>
    </w:p>
    <w:p>
      <w:pPr>
        <w:jc w:val="both"/>
        <w:spacing w:after="0" w:line="214" w:lineRule="auto"/>
        <w:tabs>
          <w:tab w:leader="none" w:pos="428"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At Will Employment</w:t>
      </w:r>
      <w:r>
        <w:rPr>
          <w:rFonts w:ascii="Arial" w:cs="Arial" w:eastAsia="Arial" w:hAnsi="Arial"/>
          <w:sz w:val="17"/>
          <w:szCs w:val="17"/>
          <w:color w:val="auto"/>
        </w:rPr>
        <w:t>. In accordance with the law, employment with the Company is “at-will”, and may be terminated at any time by you 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with or without cause and with or without notice, subject to the terms of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 Any contrary representations that may have been made to you are superseded by this Agreement. This is the full and complete agreement between you and the Company on this term. Although your compensation and benefits, as well as the Company’s personnel policies and procedures, may change from time to time, the “at will” nature of your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620" w:top="1327" w:right="339" w:bottom="1440" w:gutter="0" w:footer="0" w:header="0"/>
        </w:sectPr>
      </w:pPr>
    </w:p>
    <w:bookmarkStart w:id="140" w:name="page141"/>
    <w:bookmarkEnd w:id="140"/>
    <w:p>
      <w:pPr>
        <w:spacing w:after="0" w:line="223" w:lineRule="auto"/>
        <w:rPr>
          <w:sz w:val="20"/>
          <w:szCs w:val="20"/>
          <w:color w:val="auto"/>
        </w:rPr>
      </w:pPr>
      <w:r>
        <w:rPr>
          <w:rFonts w:ascii="Arial" w:cs="Arial" w:eastAsia="Arial" w:hAnsi="Arial"/>
          <w:sz w:val="17"/>
          <w:szCs w:val="17"/>
          <w:color w:val="auto"/>
        </w:rPr>
        <w:t>as Executive Chair may only be changed in an express written agreement by you and an officer of the Company specifically authorized by the Board.</w:t>
      </w:r>
    </w:p>
    <w:p>
      <w:pPr>
        <w:spacing w:after="0" w:line="142" w:lineRule="exact"/>
        <w:rPr>
          <w:sz w:val="20"/>
          <w:szCs w:val="20"/>
          <w:color w:val="auto"/>
        </w:rPr>
      </w:pPr>
    </w:p>
    <w:p>
      <w:pPr>
        <w:jc w:val="both"/>
        <w:spacing w:after="0" w:line="217" w:lineRule="auto"/>
        <w:tabs>
          <w:tab w:leader="none" w:pos="582"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 Arbitration; Company Policies</w:t>
      </w:r>
      <w:r>
        <w:rPr>
          <w:rFonts w:ascii="Arial" w:cs="Arial" w:eastAsia="Arial" w:hAnsi="Arial"/>
          <w:sz w:val="17"/>
          <w:szCs w:val="17"/>
          <w:color w:val="auto"/>
        </w:rPr>
        <w:t>. You will continue to be bound by and comply fully with your At-Will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 Information, Invention Assignment and Arbitration Agreement with the Company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At all times during your employment or services to the Company, you agree to abide by the Company’s employment policies and procedures that are made available to you in writing, as such policies and procedures are in effect.</w:t>
      </w:r>
    </w:p>
    <w:p>
      <w:pPr>
        <w:spacing w:after="0" w:line="143" w:lineRule="exact"/>
        <w:rPr>
          <w:rFonts w:ascii="Arial" w:cs="Arial" w:eastAsia="Arial" w:hAnsi="Arial"/>
          <w:sz w:val="17"/>
          <w:szCs w:val="17"/>
          <w:b w:val="1"/>
          <w:bCs w:val="1"/>
          <w:color w:val="auto"/>
        </w:rPr>
      </w:pPr>
    </w:p>
    <w:p>
      <w:pPr>
        <w:jc w:val="both"/>
        <w:spacing w:after="0" w:line="223" w:lineRule="auto"/>
        <w:tabs>
          <w:tab w:leader="none" w:pos="442"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You will continue to be named as an insured on the director and officer liability insurance policy currently maintained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as may be maintained by the Company from time to time, and will continue to be subject to indemnification as required by the Company’s Bylaws and the Indemnification Agreement previously entered into between you and the Company.</w:t>
      </w:r>
    </w:p>
    <w:p>
      <w:pPr>
        <w:spacing w:after="0" w:line="143" w:lineRule="exact"/>
        <w:rPr>
          <w:rFonts w:ascii="Arial" w:cs="Arial" w:eastAsia="Arial" w:hAnsi="Arial"/>
          <w:sz w:val="17"/>
          <w:szCs w:val="17"/>
          <w:b w:val="1"/>
          <w:bCs w:val="1"/>
          <w:color w:val="auto"/>
        </w:rPr>
      </w:pPr>
    </w:p>
    <w:p>
      <w:pPr>
        <w:jc w:val="both"/>
        <w:spacing w:after="0" w:line="223" w:lineRule="auto"/>
        <w:tabs>
          <w:tab w:leader="none" w:pos="577"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Compensation Recoupment</w:t>
      </w:r>
      <w:r>
        <w:rPr>
          <w:rFonts w:ascii="Arial" w:cs="Arial" w:eastAsia="Arial" w:hAnsi="Arial"/>
          <w:sz w:val="17"/>
          <w:szCs w:val="17"/>
          <w:color w:val="auto"/>
        </w:rPr>
        <w:t>. All amounts payable to you hereunder shall be subject to recoupment pursuant to any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recoupment and forfeiture policy adopted by the Board or any committee thereof or as required by law during the term of your service as Executive Chair with the Company that is applicable generally to executive officers of the Company.</w:t>
      </w:r>
    </w:p>
    <w:p>
      <w:pPr>
        <w:spacing w:after="0" w:line="143" w:lineRule="exact"/>
        <w:rPr>
          <w:rFonts w:ascii="Arial" w:cs="Arial" w:eastAsia="Arial" w:hAnsi="Arial"/>
          <w:sz w:val="17"/>
          <w:szCs w:val="17"/>
          <w:b w:val="1"/>
          <w:bCs w:val="1"/>
          <w:color w:val="auto"/>
        </w:rPr>
      </w:pPr>
    </w:p>
    <w:p>
      <w:pPr>
        <w:jc w:val="both"/>
        <w:spacing w:after="0" w:line="223" w:lineRule="auto"/>
        <w:tabs>
          <w:tab w:leader="none" w:pos="417"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the Severance Agreement (as amended by this Agreement) and the Confidentiality Agreement, represent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entire agreement between the parties concerning the subject matter herein (and expressly supersede any prior agreements that you may have entered into regarding your employment as Executive Chair of the Company).</w:t>
      </w:r>
    </w:p>
    <w:p>
      <w:pPr>
        <w:spacing w:after="0" w:line="143" w:lineRule="exact"/>
        <w:rPr>
          <w:rFonts w:ascii="Arial" w:cs="Arial" w:eastAsia="Arial" w:hAnsi="Arial"/>
          <w:sz w:val="17"/>
          <w:szCs w:val="17"/>
          <w:b w:val="1"/>
          <w:bCs w:val="1"/>
          <w:color w:val="auto"/>
        </w:rPr>
      </w:pPr>
    </w:p>
    <w:p>
      <w:pPr>
        <w:ind w:left="420" w:hanging="420"/>
        <w:spacing w:after="0"/>
        <w:tabs>
          <w:tab w:leader="none" w:pos="42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w:t>
      </w:r>
    </w:p>
    <w:p>
      <w:pPr>
        <w:spacing w:after="0" w:line="167" w:lineRule="exact"/>
        <w:rPr>
          <w:rFonts w:ascii="Arial" w:cs="Arial" w:eastAsia="Arial" w:hAnsi="Arial"/>
          <w:sz w:val="17"/>
          <w:szCs w:val="17"/>
          <w:b w:val="1"/>
          <w:bCs w:val="1"/>
          <w:color w:val="auto"/>
        </w:rPr>
      </w:pPr>
    </w:p>
    <w:p>
      <w:pPr>
        <w:jc w:val="both"/>
        <w:ind w:left="900" w:hanging="299"/>
        <w:spacing w:after="0" w:line="217" w:lineRule="auto"/>
        <w:tabs>
          <w:tab w:leader="none" w:pos="974" w:val="left"/>
        </w:tabs>
        <w:numPr>
          <w:ilvl w:val="1"/>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Successors. </w:t>
      </w:r>
      <w:r>
        <w:rPr>
          <w:rFonts w:ascii="Arial" w:cs="Arial" w:eastAsia="Arial" w:hAnsi="Arial"/>
          <w:sz w:val="17"/>
          <w:szCs w:val="17"/>
          <w:color w:val="auto"/>
        </w:rPr>
        <w:t>This Agreement is binding on and may be enforced by the Company and its successors and permitted assigns and is</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on and may be enforced by you and your heirs and legal representatives. Any successor to the Company or substantially all of its business (whether by purchase, merger, consolidation or otherwise) will in advance assume in writing and be bound by all of the Company’s obligations under this Agreement and shall be the only permitted assignee.</w:t>
      </w:r>
    </w:p>
    <w:p>
      <w:pPr>
        <w:spacing w:after="0" w:line="143" w:lineRule="exact"/>
        <w:rPr>
          <w:rFonts w:ascii="Arial" w:cs="Arial" w:eastAsia="Arial" w:hAnsi="Arial"/>
          <w:sz w:val="17"/>
          <w:szCs w:val="17"/>
          <w:b w:val="1"/>
          <w:bCs w:val="1"/>
          <w:color w:val="auto"/>
        </w:rPr>
      </w:pPr>
    </w:p>
    <w:p>
      <w:pPr>
        <w:jc w:val="both"/>
        <w:ind w:left="900" w:hanging="299"/>
        <w:spacing w:after="0" w:line="217" w:lineRule="auto"/>
        <w:tabs>
          <w:tab w:leader="none" w:pos="969" w:val="left"/>
        </w:tabs>
        <w:numPr>
          <w:ilvl w:val="1"/>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or Waiver</w:t>
      </w:r>
      <w:r>
        <w:rPr>
          <w:rFonts w:ascii="Arial" w:cs="Arial" w:eastAsia="Arial" w:hAnsi="Arial"/>
          <w:sz w:val="17"/>
          <w:szCs w:val="17"/>
          <w:color w:val="auto"/>
        </w:rPr>
        <w:t>. No provision of this Agreement will be amended, modified or waived except in writing signed by you and an</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the Company specifically authorized by the Board, which writing explicitly states the intent of the parties hereto to amend the terms herein. No waiver by either party of any breach of this Agreement by the other party will be considered a waiver of any other breach of this Agreement.</w:t>
      </w:r>
    </w:p>
    <w:p>
      <w:pPr>
        <w:spacing w:after="0" w:line="143" w:lineRule="exact"/>
        <w:rPr>
          <w:rFonts w:ascii="Arial" w:cs="Arial" w:eastAsia="Arial" w:hAnsi="Arial"/>
          <w:sz w:val="17"/>
          <w:szCs w:val="17"/>
          <w:b w:val="1"/>
          <w:bCs w:val="1"/>
          <w:color w:val="auto"/>
        </w:rPr>
      </w:pPr>
    </w:p>
    <w:p>
      <w:pPr>
        <w:ind w:left="900" w:hanging="299"/>
        <w:spacing w:after="0" w:line="235" w:lineRule="auto"/>
        <w:tabs>
          <w:tab w:leader="none" w:pos="1074" w:val="left"/>
        </w:tabs>
        <w:numPr>
          <w:ilvl w:val="1"/>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In the event that any provision hereof becomes or is declared by a court of competent jurisdiction to be illegal,</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or void, this Agreement shall continue in full force and effect without said provision.</w:t>
      </w:r>
    </w:p>
    <w:p>
      <w:pPr>
        <w:spacing w:after="0" w:line="142" w:lineRule="exact"/>
        <w:rPr>
          <w:rFonts w:ascii="Arial" w:cs="Arial" w:eastAsia="Arial" w:hAnsi="Arial"/>
          <w:sz w:val="17"/>
          <w:szCs w:val="17"/>
          <w:b w:val="1"/>
          <w:bCs w:val="1"/>
          <w:color w:val="auto"/>
        </w:rPr>
      </w:pPr>
    </w:p>
    <w:p>
      <w:pPr>
        <w:ind w:left="940" w:hanging="339"/>
        <w:spacing w:after="0"/>
        <w:tabs>
          <w:tab w:leader="none" w:pos="940" w:val="left"/>
        </w:tabs>
        <w:numPr>
          <w:ilvl w:val="1"/>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This Agreement will be governed by the laws of the State of California without reference to conflict of laws provisions.</w:t>
      </w:r>
    </w:p>
    <w:p>
      <w:pPr>
        <w:spacing w:after="0" w:line="178" w:lineRule="exact"/>
        <w:rPr>
          <w:rFonts w:ascii="Arial" w:cs="Arial" w:eastAsia="Arial" w:hAnsi="Arial"/>
          <w:sz w:val="16"/>
          <w:szCs w:val="16"/>
          <w:b w:val="1"/>
          <w:bCs w:val="1"/>
          <w:color w:val="auto"/>
        </w:rPr>
      </w:pPr>
    </w:p>
    <w:p>
      <w:pPr>
        <w:ind w:left="900" w:hanging="299"/>
        <w:spacing w:after="0" w:line="235" w:lineRule="auto"/>
        <w:tabs>
          <w:tab w:leader="none" w:pos="937" w:val="left"/>
        </w:tabs>
        <w:numPr>
          <w:ilvl w:val="1"/>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The provisions of this Agreement shall survive the termination of your service as Executive Chair for any reason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enable the parties to enforce their respective rights under this Agreement.</w:t>
      </w:r>
    </w:p>
    <w:p>
      <w:pPr>
        <w:spacing w:after="0" w:line="370" w:lineRule="exact"/>
        <w:rPr>
          <w:sz w:val="20"/>
          <w:szCs w:val="20"/>
          <w:color w:val="auto"/>
        </w:rPr>
      </w:pPr>
    </w:p>
    <w:p>
      <w:pPr>
        <w:ind w:left="2360"/>
        <w:spacing w:after="0"/>
        <w:rPr>
          <w:sz w:val="20"/>
          <w:szCs w:val="20"/>
          <w:color w:val="auto"/>
        </w:rPr>
      </w:pPr>
      <w:r>
        <w:rPr>
          <w:rFonts w:ascii="Arial" w:cs="Arial" w:eastAsia="Arial" w:hAnsi="Arial"/>
          <w:sz w:val="17"/>
          <w:szCs w:val="17"/>
          <w:i w:val="1"/>
          <w:iCs w:val="1"/>
          <w:color w:val="auto"/>
        </w:rPr>
        <w:t>[Signature Page to Amended and Restated Executive Chair Agreement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620" w:top="1327" w:right="339" w:bottom="1440" w:gutter="0" w:footer="0" w:header="0"/>
        </w:sectPr>
      </w:pPr>
    </w:p>
    <w:bookmarkStart w:id="141" w:name="page142"/>
    <w:bookmarkEnd w:id="141"/>
    <w:p>
      <w:pPr>
        <w:spacing w:after="0" w:line="223" w:lineRule="auto"/>
        <w:rPr>
          <w:sz w:val="20"/>
          <w:szCs w:val="20"/>
          <w:color w:val="auto"/>
        </w:rPr>
      </w:pPr>
      <w:r>
        <w:rPr>
          <w:rFonts w:ascii="Arial" w:cs="Arial" w:eastAsia="Arial" w:hAnsi="Arial"/>
          <w:sz w:val="17"/>
          <w:szCs w:val="17"/>
          <w:color w:val="auto"/>
        </w:rPr>
        <w:t>Please sign and date this Agreement, and return it to me if you wish to accept service as Executive Chair of the Company under the terms described above.</w:t>
      </w:r>
    </w:p>
    <w:p>
      <w:pPr>
        <w:spacing w:after="0" w:line="187"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Thank you,</w:t>
      </w:r>
    </w:p>
    <w:p>
      <w:pPr>
        <w:spacing w:after="0" w:line="385"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 Marc Stapley</w:t>
      </w:r>
    </w:p>
    <w:p>
      <w:pPr>
        <w:ind w:left="4200"/>
        <w:spacing w:after="0" w:line="199" w:lineRule="auto"/>
        <w:rPr>
          <w:sz w:val="20"/>
          <w:szCs w:val="20"/>
          <w:color w:val="auto"/>
        </w:rPr>
      </w:pPr>
      <w:r>
        <w:rPr>
          <w:rFonts w:ascii="Arial" w:cs="Arial" w:eastAsia="Arial" w:hAnsi="Arial"/>
          <w:sz w:val="17"/>
          <w:szCs w:val="17"/>
          <w:color w:val="auto"/>
        </w:rPr>
        <w:t>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-101600</wp:posOffset>
            </wp:positionV>
            <wp:extent cx="8769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76935" cy="8255"/>
                    </a:xfrm>
                    <a:prstGeom prst="rect">
                      <a:avLst/>
                    </a:prstGeom>
                    <a:noFill/>
                  </pic:spPr>
                </pic:pic>
              </a:graphicData>
            </a:graphic>
          </wp:anchor>
        </w:drawing>
      </w:r>
    </w:p>
    <w:p>
      <w:pPr>
        <w:ind w:left="4200"/>
        <w:spacing w:after="0"/>
        <w:rPr>
          <w:sz w:val="20"/>
          <w:szCs w:val="20"/>
          <w:color w:val="auto"/>
        </w:rPr>
      </w:pPr>
      <w:r>
        <w:rPr>
          <w:rFonts w:ascii="Arial" w:cs="Arial" w:eastAsia="Arial" w:hAnsi="Arial"/>
          <w:sz w:val="17"/>
          <w:szCs w:val="17"/>
          <w:color w:val="auto"/>
        </w:rPr>
        <w:t>CEO</w:t>
      </w:r>
    </w:p>
    <w:p>
      <w:pPr>
        <w:spacing w:after="0" w:line="200" w:lineRule="exact"/>
        <w:rPr>
          <w:sz w:val="20"/>
          <w:szCs w:val="20"/>
          <w:color w:val="auto"/>
        </w:rPr>
      </w:pPr>
    </w:p>
    <w:p>
      <w:pPr>
        <w:spacing w:after="0" w:line="218" w:lineRule="exact"/>
        <w:rPr>
          <w:sz w:val="20"/>
          <w:szCs w:val="20"/>
          <w:color w:val="auto"/>
        </w:rPr>
      </w:pPr>
    </w:p>
    <w:p>
      <w:pPr>
        <w:ind w:firstLine="601"/>
        <w:spacing w:after="0" w:line="223" w:lineRule="auto"/>
        <w:rPr>
          <w:sz w:val="20"/>
          <w:szCs w:val="20"/>
          <w:color w:val="auto"/>
        </w:rPr>
      </w:pPr>
      <w:r>
        <w:rPr>
          <w:rFonts w:ascii="Arial" w:cs="Arial" w:eastAsia="Arial" w:hAnsi="Arial"/>
          <w:sz w:val="17"/>
          <w:szCs w:val="17"/>
          <w:color w:val="auto"/>
        </w:rPr>
        <w:t>I, the undersigned, hereby accept and agree to the terms and conditions of my service as Executive Chair with the Company as set forth in this Agreement.</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By /s/ Bonnie Anderson</w:t>
      </w:r>
    </w:p>
    <w:p>
      <w:pPr>
        <w:ind w:left="380"/>
        <w:spacing w:after="0"/>
        <w:rPr>
          <w:sz w:val="20"/>
          <w:szCs w:val="20"/>
          <w:color w:val="auto"/>
        </w:rPr>
      </w:pPr>
      <w:r>
        <w:rPr>
          <w:rFonts w:ascii="Arial" w:cs="Arial" w:eastAsia="Arial" w:hAnsi="Arial"/>
          <w:sz w:val="17"/>
          <w:szCs w:val="17"/>
          <w:color w:val="auto"/>
        </w:rPr>
        <w:t>Bonnie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-123190</wp:posOffset>
            </wp:positionV>
            <wp:extent cx="11004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Date: 4/20/2022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-19685</wp:posOffset>
            </wp:positionV>
            <wp:extent cx="8242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to Amended and Restated Executive Chair Letter Agreement]</w:t>
      </w:r>
    </w:p>
    <w:p>
      <w:pPr>
        <w:sectPr>
          <w:pgSz w:w="11900" w:h="16838" w:orient="portrait"/>
          <w:cols w:equalWidth="0" w:num="1">
            <w:col w:w="11240"/>
          </w:cols>
          <w:pgMar w:left="320" w:top="142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31.1</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PRINCIPAL EXECUTIVE OFFICER’S CERTIFICATION PURSUANT TO</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Marc Stapley, certify that:</w:t>
      </w:r>
    </w:p>
    <w:p>
      <w:pPr>
        <w:spacing w:after="0" w:line="205" w:lineRule="exact"/>
        <w:rPr>
          <w:sz w:val="20"/>
          <w:szCs w:val="20"/>
          <w:color w:val="auto"/>
        </w:rPr>
      </w:pPr>
    </w:p>
    <w:p>
      <w:pPr>
        <w:ind w:left="1340" w:hanging="627"/>
        <w:spacing w:after="0"/>
        <w:tabs>
          <w:tab w:leader="none" w:pos="13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Veracyte, Inc. for the quarter ended March 31, 2022;</w:t>
      </w:r>
    </w:p>
    <w:p>
      <w:pPr>
        <w:spacing w:after="0" w:line="204" w:lineRule="exact"/>
        <w:rPr>
          <w:rFonts w:ascii="Arial" w:cs="Arial" w:eastAsia="Arial" w:hAnsi="Arial"/>
          <w:sz w:val="17"/>
          <w:szCs w:val="17"/>
          <w:color w:val="auto"/>
        </w:rPr>
      </w:pPr>
    </w:p>
    <w:p>
      <w:pPr>
        <w:ind w:right="200" w:firstLine="713"/>
        <w:spacing w:after="0" w:line="334" w:lineRule="auto"/>
        <w:tabs>
          <w:tab w:leader="none" w:pos="1339" w:val="left"/>
        </w:tabs>
        <w:numPr>
          <w:ilvl w:val="0"/>
          <w:numId w:val="1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right="160" w:firstLine="713"/>
        <w:spacing w:after="0" w:line="266" w:lineRule="auto"/>
        <w:tabs>
          <w:tab w:leader="none" w:pos="133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firstLine="713"/>
        <w:spacing w:after="0" w:line="256" w:lineRule="auto"/>
        <w:tabs>
          <w:tab w:leader="none" w:pos="1336"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right="20" w:firstLine="1351"/>
        <w:spacing w:after="0" w:line="256" w:lineRule="auto"/>
        <w:tabs>
          <w:tab w:leader="none" w:pos="1939" w:val="left"/>
        </w:tabs>
        <w:numPr>
          <w:ilvl w:val="1"/>
          <w:numId w:val="1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right="200" w:firstLine="1351"/>
        <w:spacing w:after="0" w:line="256" w:lineRule="auto"/>
        <w:tabs>
          <w:tab w:leader="none" w:pos="1949" w:val="left"/>
        </w:tabs>
        <w:numPr>
          <w:ilvl w:val="1"/>
          <w:numId w:val="1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320" w:firstLine="1351"/>
        <w:spacing w:after="0" w:line="298" w:lineRule="auto"/>
        <w:tabs>
          <w:tab w:leader="none" w:pos="1939"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right="280" w:firstLine="1351"/>
        <w:spacing w:after="0" w:line="256" w:lineRule="auto"/>
        <w:tabs>
          <w:tab w:leader="none" w:pos="1949" w:val="left"/>
        </w:tabs>
        <w:numPr>
          <w:ilvl w:val="1"/>
          <w:numId w:val="1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right="160" w:firstLine="713"/>
        <w:spacing w:after="0" w:line="298" w:lineRule="auto"/>
        <w:tabs>
          <w:tab w:leader="none" w:pos="133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right="520" w:firstLine="1351"/>
        <w:spacing w:after="0" w:line="298" w:lineRule="auto"/>
        <w:tabs>
          <w:tab w:leader="none" w:pos="193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right="220" w:firstLine="1351"/>
        <w:spacing w:after="0" w:line="266" w:lineRule="auto"/>
        <w:tabs>
          <w:tab w:leader="none" w:pos="194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580" w:type="dxa"/>
            <w:vAlign w:val="bottom"/>
          </w:tcPr>
          <w:p>
            <w:pPr>
              <w:spacing w:after="0"/>
              <w:rPr>
                <w:sz w:val="20"/>
                <w:szCs w:val="20"/>
                <w:color w:val="auto"/>
              </w:rPr>
            </w:pPr>
            <w:r>
              <w:rPr>
                <w:rFonts w:ascii="Arial" w:cs="Arial" w:eastAsia="Arial" w:hAnsi="Arial"/>
                <w:sz w:val="17"/>
                <w:szCs w:val="17"/>
                <w:color w:val="auto"/>
              </w:rPr>
              <w:t>Date:</w:t>
            </w:r>
          </w:p>
        </w:tc>
        <w:tc>
          <w:tcPr>
            <w:tcW w:w="2060" w:type="dxa"/>
            <w:vAlign w:val="bottom"/>
          </w:tcPr>
          <w:p>
            <w:pPr>
              <w:ind w:left="1220"/>
              <w:spacing w:after="0"/>
              <w:rPr>
                <w:sz w:val="20"/>
                <w:szCs w:val="20"/>
                <w:color w:val="auto"/>
              </w:rPr>
            </w:pPr>
            <w:r>
              <w:rPr>
                <w:rFonts w:ascii="Arial" w:cs="Arial" w:eastAsia="Arial" w:hAnsi="Arial"/>
                <w:sz w:val="17"/>
                <w:szCs w:val="17"/>
                <w:color w:val="auto"/>
                <w:w w:val="87"/>
              </w:rPr>
              <w:t>May 3, 2022</w:t>
            </w:r>
          </w:p>
        </w:tc>
      </w:tr>
    </w:tbl>
    <w:p>
      <w:pPr>
        <w:spacing w:after="0" w:line="2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26670</wp:posOffset>
            </wp:positionV>
            <wp:extent cx="1835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3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Marc Stapley</w:t>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7"/>
          <w:szCs w:val="17"/>
          <w:i w:val="1"/>
          <w:iCs w:val="1"/>
          <w:color w:val="auto"/>
        </w:rPr>
        <w:t>Chief Executive Officer</w:t>
      </w:r>
    </w:p>
    <w:p>
      <w:pPr>
        <w:spacing w:after="0" w:line="42" w:lineRule="exact"/>
        <w:rPr>
          <w:sz w:val="20"/>
          <w:szCs w:val="20"/>
          <w:color w:val="auto"/>
        </w:rPr>
      </w:pPr>
    </w:p>
    <w:p>
      <w:pPr>
        <w:ind w:left="56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36"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7"/>
          <w:szCs w:val="17"/>
          <w:b w:val="1"/>
          <w:bCs w:val="1"/>
          <w:color w:val="auto"/>
        </w:rPr>
        <w:t>Exhibit 31.2</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PRINCIPAL FINANCIAL OFFICER’S CERTIFICATION PURSUANT TO</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Rebecca Chambers, certify that:</w:t>
      </w:r>
    </w:p>
    <w:p>
      <w:pPr>
        <w:spacing w:after="0" w:line="205" w:lineRule="exact"/>
        <w:rPr>
          <w:sz w:val="20"/>
          <w:szCs w:val="20"/>
          <w:color w:val="auto"/>
        </w:rPr>
      </w:pPr>
    </w:p>
    <w:p>
      <w:pPr>
        <w:ind w:left="1380" w:hanging="667"/>
        <w:spacing w:after="0"/>
        <w:tabs>
          <w:tab w:leader="none" w:pos="13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Veracyte, Inc. for the quarter ended March 31, 2022;</w:t>
      </w:r>
    </w:p>
    <w:p>
      <w:pPr>
        <w:spacing w:after="0" w:line="204" w:lineRule="exact"/>
        <w:rPr>
          <w:rFonts w:ascii="Arial" w:cs="Arial" w:eastAsia="Arial" w:hAnsi="Arial"/>
          <w:sz w:val="17"/>
          <w:szCs w:val="17"/>
          <w:color w:val="auto"/>
        </w:rPr>
      </w:pPr>
    </w:p>
    <w:p>
      <w:pPr>
        <w:ind w:right="160" w:firstLine="713"/>
        <w:spacing w:after="0" w:line="334" w:lineRule="auto"/>
        <w:tabs>
          <w:tab w:leader="none" w:pos="138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5"/>
          <w:szCs w:val="15"/>
          <w:color w:val="auto"/>
        </w:rPr>
      </w:pPr>
    </w:p>
    <w:p>
      <w:pPr>
        <w:ind w:right="120" w:firstLine="713"/>
        <w:spacing w:after="0" w:line="266" w:lineRule="auto"/>
        <w:tabs>
          <w:tab w:leader="none" w:pos="13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firstLine="713"/>
        <w:spacing w:after="0" w:line="256" w:lineRule="auto"/>
        <w:tabs>
          <w:tab w:leader="none" w:pos="1377"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right="260" w:firstLine="1351"/>
        <w:spacing w:after="0" w:line="256" w:lineRule="auto"/>
        <w:tabs>
          <w:tab w:leader="none" w:pos="2023" w:val="left"/>
        </w:tabs>
        <w:numPr>
          <w:ilvl w:val="1"/>
          <w:numId w:val="1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right="120" w:firstLine="1351"/>
        <w:spacing w:after="0" w:line="256" w:lineRule="auto"/>
        <w:tabs>
          <w:tab w:leader="none" w:pos="2032" w:val="left"/>
        </w:tabs>
        <w:numPr>
          <w:ilvl w:val="1"/>
          <w:numId w:val="1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220" w:firstLine="1351"/>
        <w:spacing w:after="0" w:line="298" w:lineRule="auto"/>
        <w:tabs>
          <w:tab w:leader="none" w:pos="202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right="200" w:firstLine="1351"/>
        <w:spacing w:after="0" w:line="256" w:lineRule="auto"/>
        <w:tabs>
          <w:tab w:leader="none" w:pos="2032" w:val="left"/>
        </w:tabs>
        <w:numPr>
          <w:ilvl w:val="1"/>
          <w:numId w:val="1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right="120" w:firstLine="713"/>
        <w:spacing w:after="0" w:line="298" w:lineRule="auto"/>
        <w:tabs>
          <w:tab w:leader="none" w:pos="137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right="440" w:firstLine="1351"/>
        <w:spacing w:after="0" w:line="298" w:lineRule="auto"/>
        <w:tabs>
          <w:tab w:leader="none" w:pos="201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right="140" w:firstLine="1351"/>
        <w:spacing w:after="0" w:line="266" w:lineRule="auto"/>
        <w:tabs>
          <w:tab w:leader="none" w:pos="2023"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580" w:type="dxa"/>
            <w:vAlign w:val="bottom"/>
          </w:tcPr>
          <w:p>
            <w:pPr>
              <w:spacing w:after="0"/>
              <w:rPr>
                <w:sz w:val="20"/>
                <w:szCs w:val="20"/>
                <w:color w:val="auto"/>
              </w:rPr>
            </w:pPr>
            <w:r>
              <w:rPr>
                <w:rFonts w:ascii="Arial" w:cs="Arial" w:eastAsia="Arial" w:hAnsi="Arial"/>
                <w:sz w:val="17"/>
                <w:szCs w:val="17"/>
                <w:color w:val="auto"/>
              </w:rPr>
              <w:t>Date:</w:t>
            </w:r>
          </w:p>
        </w:tc>
        <w:tc>
          <w:tcPr>
            <w:tcW w:w="2060" w:type="dxa"/>
            <w:vAlign w:val="bottom"/>
          </w:tcPr>
          <w:p>
            <w:pPr>
              <w:ind w:left="1220"/>
              <w:spacing w:after="0"/>
              <w:rPr>
                <w:sz w:val="20"/>
                <w:szCs w:val="20"/>
                <w:color w:val="auto"/>
              </w:rPr>
            </w:pPr>
            <w:r>
              <w:rPr>
                <w:rFonts w:ascii="Arial" w:cs="Arial" w:eastAsia="Arial" w:hAnsi="Arial"/>
                <w:sz w:val="17"/>
                <w:szCs w:val="17"/>
                <w:color w:val="auto"/>
                <w:w w:val="87"/>
              </w:rPr>
              <w:t>May 3, 2022</w:t>
            </w:r>
          </w:p>
        </w:tc>
      </w:tr>
    </w:tbl>
    <w:p>
      <w:pPr>
        <w:spacing w:after="0" w:line="25"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26670</wp:posOffset>
            </wp:positionV>
            <wp:extent cx="2335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35530" cy="8255"/>
                    </a:xfrm>
                    <a:prstGeom prst="rect">
                      <a:avLst/>
                    </a:prstGeom>
                    <a:noFill/>
                  </pic:spPr>
                </pic:pic>
              </a:graphicData>
            </a:graphic>
          </wp:anchor>
        </w:drawing>
      </w:r>
    </w:p>
    <w:p>
      <w:pPr>
        <w:spacing w:after="0" w:line="35"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Rebecca Chambers</w:t>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7"/>
          <w:szCs w:val="17"/>
          <w:i w:val="1"/>
          <w:iCs w:val="1"/>
          <w:color w:val="auto"/>
        </w:rPr>
        <w:t>Chief Financial Officer</w:t>
      </w:r>
    </w:p>
    <w:p>
      <w:pPr>
        <w:spacing w:after="0" w:line="42" w:lineRule="exact"/>
        <w:rPr>
          <w:sz w:val="20"/>
          <w:szCs w:val="20"/>
          <w:color w:val="auto"/>
        </w:rPr>
      </w:pPr>
    </w:p>
    <w:p>
      <w:pPr>
        <w:ind w:left="488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836"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b w:val="1"/>
          <w:bCs w:val="1"/>
          <w:color w:val="auto"/>
        </w:rPr>
        <w:t>Exhibit 32.1</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CERTIFICATION PURSUANT TO</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2" w:lineRule="exact"/>
        <w:rPr>
          <w:sz w:val="20"/>
          <w:szCs w:val="20"/>
          <w:color w:val="auto"/>
        </w:rPr>
      </w:pPr>
    </w:p>
    <w:p>
      <w:pPr>
        <w:ind w:firstLine="713"/>
        <w:spacing w:after="0" w:line="25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5" w:lineRule="exact"/>
        <w:rPr>
          <w:sz w:val="20"/>
          <w:szCs w:val="20"/>
          <w:color w:val="auto"/>
        </w:rPr>
      </w:pPr>
    </w:p>
    <w:p>
      <w:pPr>
        <w:ind w:left="1340" w:hanging="289"/>
        <w:spacing w:after="0"/>
        <w:tabs>
          <w:tab w:leader="none" w:pos="134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9" w:lineRule="exact"/>
        <w:rPr>
          <w:rFonts w:ascii="Arial" w:cs="Arial" w:eastAsia="Arial" w:hAnsi="Arial"/>
          <w:sz w:val="17"/>
          <w:szCs w:val="17"/>
          <w:color w:val="auto"/>
        </w:rPr>
      </w:pPr>
    </w:p>
    <w:p>
      <w:pPr>
        <w:ind w:left="1340" w:hanging="289"/>
        <w:spacing w:after="0"/>
        <w:tabs>
          <w:tab w:leader="none" w:pos="134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580" w:type="dxa"/>
            <w:vAlign w:val="bottom"/>
          </w:tcPr>
          <w:p>
            <w:pPr>
              <w:spacing w:after="0"/>
              <w:rPr>
                <w:sz w:val="20"/>
                <w:szCs w:val="20"/>
                <w:color w:val="auto"/>
              </w:rPr>
            </w:pPr>
            <w:r>
              <w:rPr>
                <w:rFonts w:ascii="Arial" w:cs="Arial" w:eastAsia="Arial" w:hAnsi="Arial"/>
                <w:sz w:val="17"/>
                <w:szCs w:val="17"/>
                <w:color w:val="auto"/>
              </w:rPr>
              <w:t>Date:</w:t>
            </w:r>
          </w:p>
        </w:tc>
        <w:tc>
          <w:tcPr>
            <w:tcW w:w="2060" w:type="dxa"/>
            <w:vAlign w:val="bottom"/>
          </w:tcPr>
          <w:p>
            <w:pPr>
              <w:ind w:left="1220"/>
              <w:spacing w:after="0"/>
              <w:rPr>
                <w:sz w:val="20"/>
                <w:szCs w:val="20"/>
                <w:color w:val="auto"/>
              </w:rPr>
            </w:pPr>
            <w:r>
              <w:rPr>
                <w:rFonts w:ascii="Arial" w:cs="Arial" w:eastAsia="Arial" w:hAnsi="Arial"/>
                <w:sz w:val="17"/>
                <w:szCs w:val="17"/>
                <w:color w:val="auto"/>
                <w:w w:val="87"/>
              </w:rPr>
              <w:t>May 3, 2022</w:t>
            </w:r>
          </w:p>
        </w:tc>
      </w:tr>
    </w:tbl>
    <w:p>
      <w:pPr>
        <w:spacing w:after="0" w:line="263"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26670</wp:posOffset>
            </wp:positionV>
            <wp:extent cx="1835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35"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Marc Stapley</w:t>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7"/>
          <w:szCs w:val="17"/>
          <w:i w:val="1"/>
          <w:iCs w:val="1"/>
          <w:color w:val="auto"/>
        </w:rPr>
        <w:t>Chief Executive Officer</w:t>
      </w:r>
    </w:p>
    <w:p>
      <w:pPr>
        <w:spacing w:after="0" w:line="42" w:lineRule="exact"/>
        <w:rPr>
          <w:sz w:val="20"/>
          <w:szCs w:val="20"/>
          <w:color w:val="auto"/>
        </w:rPr>
      </w:pPr>
    </w:p>
    <w:p>
      <w:pPr>
        <w:ind w:left="56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836"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32.2</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CERTIFICATION PURSUANT TO</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AS ADOPTED PURSUANT TO</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2" w:lineRule="exact"/>
        <w:rPr>
          <w:sz w:val="20"/>
          <w:szCs w:val="20"/>
          <w:color w:val="auto"/>
        </w:rPr>
      </w:pPr>
    </w:p>
    <w:p>
      <w:pPr>
        <w:ind w:firstLine="713"/>
        <w:spacing w:after="0" w:line="25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March 31,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5" w:lineRule="exact"/>
        <w:rPr>
          <w:sz w:val="20"/>
          <w:szCs w:val="20"/>
          <w:color w:val="auto"/>
        </w:rPr>
      </w:pPr>
    </w:p>
    <w:p>
      <w:pPr>
        <w:ind w:left="1340" w:hanging="289"/>
        <w:spacing w:after="0"/>
        <w:tabs>
          <w:tab w:leader="none" w:pos="13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9" w:lineRule="exact"/>
        <w:rPr>
          <w:rFonts w:ascii="Arial" w:cs="Arial" w:eastAsia="Arial" w:hAnsi="Arial"/>
          <w:sz w:val="17"/>
          <w:szCs w:val="17"/>
          <w:color w:val="auto"/>
        </w:rPr>
      </w:pPr>
    </w:p>
    <w:p>
      <w:pPr>
        <w:ind w:left="1340" w:hanging="289"/>
        <w:spacing w:after="0"/>
        <w:tabs>
          <w:tab w:leader="none" w:pos="13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Arial" w:cs="Arial" w:eastAsia="Arial" w:hAnsi="Arial"/>
                <w:sz w:val="17"/>
                <w:szCs w:val="17"/>
                <w:color w:val="auto"/>
              </w:rPr>
              <w:t>Date:</w:t>
            </w:r>
          </w:p>
        </w:tc>
        <w:tc>
          <w:tcPr>
            <w:tcW w:w="2060" w:type="dxa"/>
            <w:vAlign w:val="bottom"/>
          </w:tcPr>
          <w:p>
            <w:pPr>
              <w:ind w:left="1220"/>
              <w:spacing w:after="0"/>
              <w:rPr>
                <w:sz w:val="20"/>
                <w:szCs w:val="20"/>
                <w:color w:val="auto"/>
              </w:rPr>
            </w:pPr>
            <w:r>
              <w:rPr>
                <w:rFonts w:ascii="Arial" w:cs="Arial" w:eastAsia="Arial" w:hAnsi="Arial"/>
                <w:sz w:val="17"/>
                <w:szCs w:val="17"/>
                <w:color w:val="auto"/>
                <w:w w:val="87"/>
              </w:rPr>
              <w:t>May 3, 2022</w:t>
            </w:r>
          </w:p>
        </w:tc>
      </w:tr>
    </w:tbl>
    <w:p>
      <w:pPr>
        <w:spacing w:after="0" w:line="238"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26670</wp:posOffset>
            </wp:positionV>
            <wp:extent cx="23831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Rebecca Chambers</w:t>
      </w:r>
    </w:p>
    <w:p>
      <w:pPr>
        <w:spacing w:after="0" w:line="30" w:lineRule="exact"/>
        <w:rPr>
          <w:sz w:val="20"/>
          <w:szCs w:val="20"/>
          <w:color w:val="auto"/>
        </w:rPr>
      </w:pPr>
    </w:p>
    <w:p>
      <w:pPr>
        <w:ind w:left="4800"/>
        <w:spacing w:after="0"/>
        <w:rPr>
          <w:sz w:val="20"/>
          <w:szCs w:val="20"/>
          <w:color w:val="auto"/>
        </w:rPr>
      </w:pPr>
      <w:r>
        <w:rPr>
          <w:rFonts w:ascii="Arial" w:cs="Arial" w:eastAsia="Arial" w:hAnsi="Arial"/>
          <w:sz w:val="17"/>
          <w:szCs w:val="17"/>
          <w:i w:val="1"/>
          <w:iCs w:val="1"/>
          <w:color w:val="auto"/>
        </w:rPr>
        <w:t>Chief Financial Officer</w:t>
      </w:r>
    </w:p>
    <w:p>
      <w:pPr>
        <w:spacing w:after="0" w:line="42" w:lineRule="exact"/>
        <w:rPr>
          <w:sz w:val="20"/>
          <w:szCs w:val="20"/>
          <w:color w:val="auto"/>
        </w:rPr>
      </w:pPr>
    </w:p>
    <w:p>
      <w:pPr>
        <w:ind w:left="480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240"/>
      </w:cols>
      <w:pgMar w:left="320" w:top="8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1."/>
      <w:numFmt w:val="decimal"/>
      <w:start w:val="1"/>
    </w:lvl>
  </w:abstractNum>
  <w:abstractNum w:abstractNumId="34">
    <w:nsid w:val="60EF0119"/>
    <w:multiLevelType w:val="hybridMultilevel"/>
    <w:lvl w:ilvl="0">
      <w:lvlJc w:val="left"/>
      <w:lvlText w:val="1"/>
      <w:numFmt w:val="bullet"/>
      <w:start w:val="1"/>
    </w:lvl>
  </w:abstractNum>
  <w:abstractNum w:abstractNumId="35">
    <w:nsid w:val="26F324BA"/>
    <w:multiLevelType w:val="hybridMultilevel"/>
    <w:lvl w:ilvl="0">
      <w:lvlJc w:val="left"/>
      <w:lvlText w:val="%1."/>
      <w:numFmt w:val="decimal"/>
      <w:start w:val="5"/>
    </w:lvl>
  </w:abstractNum>
  <w:abstractNum w:abstractNumId="36">
    <w:nsid w:val="7F01579B"/>
    <w:multiLevelType w:val="hybridMultilevel"/>
    <w:lvl w:ilvl="0">
      <w:lvlJc w:val="left"/>
      <w:lvlText w:val="%1."/>
      <w:numFmt w:val="decimal"/>
      <w:start w:val="6"/>
    </w:lvl>
  </w:abstractNum>
  <w:abstractNum w:abstractNumId="37">
    <w:nsid w:val="49DA307D"/>
    <w:multiLevelType w:val="hybridMultilevel"/>
    <w:lvl w:ilvl="0">
      <w:lvlJc w:val="left"/>
      <w:lvlText w:val="%1."/>
      <w:numFmt w:val="decimal"/>
      <w:start w:val="8"/>
    </w:lvl>
  </w:abstractNum>
  <w:abstractNum w:abstractNumId="38">
    <w:nsid w:val="7055A5F5"/>
    <w:multiLevelType w:val="hybridMultilevel"/>
    <w:lvl w:ilvl="0">
      <w:lvlJc w:val="left"/>
      <w:lvlText w:val="%1."/>
      <w:numFmt w:val="decimal"/>
      <w:start w:val="9"/>
    </w:lvl>
    <w:lvl w:ilvl="1">
      <w:lvlJc w:val="left"/>
      <w:lvlText w:val="(%2)"/>
      <w:numFmt w:val="lowerLetter"/>
      <w:start w:val="1"/>
    </w:lvl>
  </w:abstractNum>
  <w:abstractNum w:abstractNumId="39">
    <w:nsid w:val="5FB8370B"/>
    <w:multiLevelType w:val="hybridMultilevel"/>
    <w:lvl w:ilvl="0">
      <w:lvlJc w:val="left"/>
      <w:lvlText w:val="%1."/>
      <w:numFmt w:val="decimal"/>
      <w:start w:val="13"/>
    </w:lvl>
  </w:abstractNum>
  <w:abstractNum w:abstractNumId="40">
    <w:nsid w:val="50801EE1"/>
    <w:multiLevelType w:val="hybridMultilevel"/>
    <w:lvl w:ilvl="0">
      <w:lvlJc w:val="left"/>
      <w:lvlText w:val="%1."/>
      <w:numFmt w:val="decimal"/>
      <w:start w:val="1"/>
    </w:lvl>
  </w:abstractNum>
  <w:abstractNum w:abstractNumId="41">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2">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3">
    <w:nsid w:val="6AA78F7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4">
    <w:nsid w:val="7672B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5">
    <w:nsid w:val="6FC75AF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6">
    <w:nsid w:val="6A5F702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7">
    <w:nsid w:val="7D5E18F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8">
    <w:nsid w:val="5F3534A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
    <w:nsid w:val="73A1821B"/>
    <w:multiLevelType w:val="hybridMultilevel"/>
    <w:lvl w:ilvl="0">
      <w:lvlJc w:val="left"/>
      <w:lvlText w:val="(%1)"/>
      <w:numFmt w:val="lowerRoman"/>
      <w:start w:val="2"/>
    </w:lvl>
  </w:abstractNum>
  <w:abstractNum w:abstractNumId="50">
    <w:nsid w:val="7DE6771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1">
    <w:nsid w:val="555C55B5"/>
    <w:multiLevelType w:val="hybridMultilevel"/>
    <w:lvl w:ilvl="0">
      <w:lvlJc w:val="left"/>
      <w:lvlText w:val="(%1)"/>
      <w:numFmt w:val="lowerRoman"/>
      <w:start w:val="3"/>
    </w:lvl>
  </w:abstractNum>
  <w:abstractNum w:abstractNumId="52">
    <w:nsid w:val="3FA62ACA"/>
    <w:multiLevelType w:val="hybridMultilevel"/>
    <w:lvl w:ilvl="0">
      <w:lvlJc w:val="left"/>
      <w:lvlText w:val="(%1)"/>
      <w:numFmt w:val="lowerRoman"/>
      <w:start w:val="4"/>
    </w:lvl>
  </w:abstractNum>
  <w:abstractNum w:abstractNumId="53">
    <w:nsid w:val="14FCE74E"/>
    <w:multiLevelType w:val="hybridMultilevel"/>
    <w:lvl w:ilvl="0">
      <w:lvlJc w:val="left"/>
      <w:lvlText w:val="(%1)"/>
      <w:numFmt w:val="lowerRoman"/>
      <w:start w:val="6"/>
    </w:lvl>
  </w:abstractNum>
  <w:abstractNum w:abstractNumId="54">
    <w:nsid w:val="6A3DD3E8"/>
    <w:multiLevelType w:val="hybridMultilevel"/>
    <w:lvl w:ilvl="0">
      <w:lvlJc w:val="left"/>
      <w:lvlText w:val="(%1)"/>
      <w:numFmt w:val="lowerRoman"/>
      <w:start w:val="1"/>
    </w:lvl>
  </w:abstractNum>
  <w:abstractNum w:abstractNumId="55">
    <w:nsid w:val="71C91298"/>
    <w:multiLevelType w:val="hybridMultilevel"/>
    <w:lvl w:ilvl="0">
      <w:lvlJc w:val="left"/>
      <w:lvlText w:val="(%1)"/>
      <w:numFmt w:val="lowerLetter"/>
      <w:start w:val="3"/>
    </w:lvl>
  </w:abstractNum>
  <w:abstractNum w:abstractNumId="56">
    <w:nsid w:val="9DAF63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7">
    <w:nsid w:val="53299938"/>
    <w:multiLevelType w:val="hybridMultilevel"/>
    <w:lvl w:ilvl="0">
      <w:lvlJc w:val="left"/>
      <w:lvlText w:val="(%1)"/>
      <w:numFmt w:val="decimal"/>
      <w:start w:val="45"/>
    </w:lvl>
    <w:lvl w:ilvl="1">
      <w:lvlJc w:val="left"/>
      <w:lvlText w:val="%2"/>
      <w:numFmt w:val="lowerLetter"/>
      <w:start w:val="1"/>
    </w:lvl>
    <w:lvl w:ilvl="2">
      <w:lvlJc w:val="left"/>
      <w:lvlText w:val="(%3)"/>
      <w:numFmt w:val="lowerRoman"/>
      <w:start w:val="1"/>
    </w:lvl>
  </w:abstractNum>
  <w:abstractNum w:abstractNumId="58">
    <w:nsid w:val="1FBFE8E0"/>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3"/>
    </w:lvl>
  </w:abstractNum>
  <w:abstractNum w:abstractNumId="59">
    <w:nsid w:val="5092CA7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60">
    <w:nsid w:val="1D545C4D"/>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abstractNum>
  <w:abstractNum w:abstractNumId="61">
    <w:nsid w:val="59ADEA3D"/>
    <w:multiLevelType w:val="hybridMultilevel"/>
    <w:lvl w:ilvl="0">
      <w:lvlJc w:val="left"/>
      <w:lvlText w:val="%1."/>
      <w:numFmt w:val="decimal"/>
      <w:start w:val="8"/>
    </w:lvl>
    <w:lvl w:ilvl="1">
      <w:lvlJc w:val="left"/>
      <w:lvlText w:val="(%2)"/>
      <w:numFmt w:val="lowerLetter"/>
      <w:start w:val="1"/>
    </w:lvl>
  </w:abstractNum>
  <w:abstractNum w:abstractNumId="62">
    <w:nsid w:val="288F1A34"/>
    <w:multiLevelType w:val="hybridMultilevel"/>
    <w:lvl w:ilvl="0">
      <w:lvlJc w:val="left"/>
      <w:lvlText w:val="%1"/>
      <w:numFmt w:val="decimal"/>
      <w:start w:val="1"/>
    </w:lvl>
    <w:lvl w:ilvl="1">
      <w:lvlJc w:val="left"/>
      <w:lvlText w:val="(%2)"/>
      <w:numFmt w:val="lowerLetter"/>
      <w:start w:val="4"/>
    </w:lvl>
  </w:abstractNum>
  <w:abstractNum w:abstractNumId="63">
    <w:nsid w:val="2A155DBC"/>
    <w:multiLevelType w:val="hybridMultilevel"/>
    <w:lvl w:ilvl="0">
      <w:lvlJc w:val="left"/>
      <w:lvlText w:val="%1."/>
      <w:numFmt w:val="decimal"/>
      <w:start w:val="11"/>
    </w:lvl>
    <w:lvl w:ilvl="1">
      <w:lvlJc w:val="left"/>
      <w:lvlText w:val="(%2)"/>
      <w:numFmt w:val="lowerLetter"/>
      <w:start w:val="1"/>
    </w:lvl>
  </w:abstractNum>
  <w:abstractNum w:abstractNumId="64">
    <w:nsid w:val="1D9F6E5F"/>
    <w:multiLevelType w:val="hybridMultilevel"/>
    <w:lvl w:ilvl="0">
      <w:lvlJc w:val="left"/>
      <w:lvlText w:val="(%1)"/>
      <w:numFmt w:val="lowerLetter"/>
      <w:start w:val="6"/>
    </w:lvl>
  </w:abstractNum>
  <w:abstractNum w:abstractNumId="65">
    <w:nsid w:val="97E1B4E"/>
    <w:multiLevelType w:val="hybridMultilevel"/>
    <w:lvl w:ilvl="0">
      <w:lvlJc w:val="left"/>
      <w:lvlText w:val="%1."/>
      <w:numFmt w:val="decimal"/>
      <w:start w:val="1"/>
    </w:lvl>
  </w:abstractNum>
  <w:abstractNum w:abstractNumId="66">
    <w:nsid w:val="51088277"/>
    <w:multiLevelType w:val="hybridMultilevel"/>
    <w:lvl w:ilvl="0">
      <w:lvlJc w:val="left"/>
      <w:lvlText w:val="(%1)"/>
      <w:numFmt w:val="lowerLetter"/>
      <w:start w:val="1"/>
    </w:lvl>
  </w:abstractNum>
  <w:abstractNum w:abstractNumId="67">
    <w:nsid w:val="1CA0C5FA"/>
    <w:multiLevelType w:val="hybridMultilevel"/>
    <w:lvl w:ilvl="0">
      <w:lvlJc w:val="left"/>
      <w:lvlText w:val="%1."/>
      <w:numFmt w:val="decimal"/>
      <w:start w:val="4"/>
    </w:lvl>
  </w:abstractNum>
  <w:abstractNum w:abstractNumId="68">
    <w:nsid w:val="53584BCB"/>
    <w:multiLevelType w:val="hybridMultilevel"/>
    <w:lvl w:ilvl="0">
      <w:lvlJc w:val="left"/>
      <w:lvlText w:val="1"/>
      <w:numFmt w:val="bullet"/>
      <w:start w:val="1"/>
    </w:lvl>
  </w:abstractNum>
  <w:abstractNum w:abstractNumId="69">
    <w:nsid w:val="415E286C"/>
    <w:multiLevelType w:val="hybridMultilevel"/>
    <w:lvl w:ilvl="0">
      <w:lvlJc w:val="left"/>
      <w:lvlText w:val="%1."/>
      <w:numFmt w:val="decimal"/>
      <w:start w:val="6"/>
    </w:lvl>
  </w:abstractNum>
  <w:abstractNum w:abstractNumId="70">
    <w:nsid w:val="7C58FD05"/>
    <w:multiLevelType w:val="hybridMultilevel"/>
    <w:lvl w:ilvl="0">
      <w:lvlJc w:val="left"/>
      <w:lvlText w:val="%1."/>
      <w:numFmt w:val="decimal"/>
      <w:start w:val="7"/>
    </w:lvl>
  </w:abstractNum>
  <w:abstractNum w:abstractNumId="71">
    <w:nsid w:val="23D86AAC"/>
    <w:multiLevelType w:val="hybridMultilevel"/>
    <w:lvl w:ilvl="0">
      <w:lvlJc w:val="left"/>
      <w:lvlText w:val="2"/>
      <w:numFmt w:val="bullet"/>
      <w:start w:val="1"/>
    </w:lvl>
  </w:abstractNum>
  <w:abstractNum w:abstractNumId="72">
    <w:nsid w:val="45E6D486"/>
    <w:multiLevelType w:val="hybridMultilevel"/>
    <w:lvl w:ilvl="0">
      <w:lvlJc w:val="left"/>
      <w:lvlText w:val="%1."/>
      <w:numFmt w:val="decimal"/>
      <w:start w:val="10"/>
    </w:lvl>
  </w:abstractNum>
  <w:abstractNum w:abstractNumId="73">
    <w:nsid w:val="5C10FE21"/>
    <w:multiLevelType w:val="hybridMultilevel"/>
    <w:lvl w:ilvl="0">
      <w:lvlJc w:val="left"/>
      <w:lvlText w:val="%1."/>
      <w:numFmt w:val="decimal"/>
      <w:start w:val="17"/>
    </w:lvl>
  </w:abstractNum>
  <w:abstractNum w:abstractNumId="74">
    <w:nsid w:val="E7FFA2B"/>
    <w:multiLevelType w:val="hybridMultilevel"/>
    <w:lvl w:ilvl="0">
      <w:lvlJc w:val="left"/>
      <w:lvlText w:val="4"/>
      <w:numFmt w:val="bullet"/>
      <w:start w:val="1"/>
    </w:lvl>
  </w:abstractNum>
  <w:abstractNum w:abstractNumId="75">
    <w:nsid w:val="3C5991AA"/>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76">
    <w:nsid w:val="4BD8591A"/>
    <w:multiLevelType w:val="hybridMultilevel"/>
    <w:lvl w:ilvl="0">
      <w:lvlJc w:val="left"/>
      <w:lvlText w:val="6"/>
      <w:numFmt w:val="bullet"/>
      <w:start w:val="1"/>
    </w:lvl>
  </w:abstractNum>
  <w:abstractNum w:abstractNumId="77">
    <w:nsid w:val="78DF6A55"/>
    <w:multiLevelType w:val="hybridMultilevel"/>
    <w:lvl w:ilvl="0">
      <w:lvlJc w:val="left"/>
      <w:lvlText w:val="7"/>
      <w:numFmt w:val="bullet"/>
      <w:start w:val="1"/>
    </w:lvl>
  </w:abstractNum>
  <w:abstractNum w:abstractNumId="78">
    <w:nsid w:val="39B7AAA2"/>
    <w:multiLevelType w:val="hybridMultilevel"/>
    <w:lvl w:ilvl="0">
      <w:lvlJc w:val="left"/>
      <w:lvlText w:val="%1."/>
      <w:numFmt w:val="decimal"/>
      <w:start w:val="1"/>
    </w:lvl>
  </w:abstractNum>
  <w:abstractNum w:abstractNumId="79">
    <w:nsid w:val="2B0D8DBE"/>
    <w:multiLevelType w:val="hybridMultilevel"/>
    <w:lvl w:ilvl="0">
      <w:lvlJc w:val="left"/>
      <w:lvlText w:val="%1."/>
      <w:numFmt w:val="decimal"/>
      <w:start w:val="2"/>
    </w:lvl>
  </w:abstractNum>
  <w:abstractNum w:abstractNumId="80">
    <w:nsid w:val="6C80EC70"/>
    <w:multiLevelType w:val="hybridMultilevel"/>
    <w:lvl w:ilvl="0">
      <w:lvlJc w:val="left"/>
      <w:lvlText w:val="%1."/>
      <w:numFmt w:val="decimal"/>
      <w:start w:val="5"/>
    </w:lvl>
  </w:abstractNum>
  <w:abstractNum w:abstractNumId="81">
    <w:nsid w:val="379E21B5"/>
    <w:multiLevelType w:val="hybridMultilevel"/>
    <w:lvl w:ilvl="0">
      <w:lvlJc w:val="left"/>
      <w:lvlText w:val="%1."/>
      <w:numFmt w:val="decimal"/>
      <w:start w:val="6"/>
    </w:lvl>
  </w:abstractNum>
  <w:abstractNum w:abstractNumId="82">
    <w:nsid w:val="69E373"/>
    <w:multiLevelType w:val="hybridMultilevel"/>
    <w:lvl w:ilvl="0">
      <w:lvlJc w:val="left"/>
      <w:lvlText w:val="%1."/>
      <w:numFmt w:val="decimal"/>
      <w:start w:val="1"/>
    </w:lvl>
  </w:abstractNum>
  <w:abstractNum w:abstractNumId="83">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4C9B090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85">
    <w:nsid w:val="6AA7B75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86">
    <w:nsid w:val="1DF029D3"/>
    <w:multiLevelType w:val="hybridMultilevel"/>
    <w:lvl w:ilvl="0">
      <w:lvlJc w:val="left"/>
      <w:lvlText w:val="%1"/>
      <w:numFmt w:val="decimal"/>
      <w:start w:val="1"/>
    </w:lvl>
    <w:lvl w:ilvl="1">
      <w:lvlJc w:val="left"/>
      <w:lvlText w:val="(%2)"/>
      <w:numFmt w:val="lowerRoman"/>
      <w:start w:val="2"/>
    </w:lvl>
  </w:abstractNum>
  <w:abstractNum w:abstractNumId="87">
    <w:nsid w:val="5675FF36"/>
    <w:multiLevelType w:val="hybridMultilevel"/>
    <w:lvl w:ilvl="0">
      <w:lvlJc w:val="left"/>
      <w:lvlText w:val="(%1)"/>
      <w:numFmt w:val="decimal"/>
      <w:start w:val="12"/>
    </w:lvl>
    <w:lvl w:ilvl="1">
      <w:lvlJc w:val="left"/>
      <w:lvlText w:val="(%2)"/>
      <w:numFmt w:val="lowerRoman"/>
      <w:start w:val="3"/>
    </w:lvl>
  </w:abstractNum>
  <w:abstractNum w:abstractNumId="88">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89">
    <w:nsid w:val="3DB012B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0">
    <w:nsid w:val="2708C9A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91">
    <w:nsid w:val="5B25ACE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2">
    <w:nsid w:val="175DFCF0"/>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3"/>
    </w:lvl>
  </w:abstractNum>
  <w:abstractNum w:abstractNumId="93">
    <w:nsid w:val="4F97E3E4"/>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4"/>
    </w:lvl>
  </w:abstractNum>
  <w:abstractNum w:abstractNumId="94">
    <w:nsid w:val="53B0A9E"/>
    <w:multiLevelType w:val="hybridMultilevel"/>
    <w:lvl w:ilvl="0">
      <w:lvlJc w:val="left"/>
      <w:lvlText w:val="%1"/>
      <w:numFmt w:val="lowerRoman"/>
      <w:start w:val="1"/>
    </w:lvl>
    <w:lvl w:ilvl="1">
      <w:lvlJc w:val="left"/>
      <w:lvlText w:val="%2."/>
      <w:numFmt w:val="decimal"/>
      <w:start w:val="5"/>
    </w:lvl>
    <w:lvl w:ilvl="2">
      <w:lvlJc w:val="left"/>
      <w:lvlText w:val="%3"/>
      <w:numFmt w:val="lowerRoman"/>
      <w:start w:val="1"/>
    </w:lvl>
  </w:abstractNum>
  <w:abstractNum w:abstractNumId="95">
    <w:nsid w:val="34FD6B4F"/>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96">
    <w:nsid w:val="5915FF32"/>
    <w:multiLevelType w:val="hybridMultilevel"/>
    <w:lvl w:ilvl="0">
      <w:lvlJc w:val="left"/>
      <w:lvlText w:val="(%1)"/>
      <w:numFmt w:val="lowerLetter"/>
      <w:start w:val="1"/>
    </w:lvl>
  </w:abstractNum>
  <w:abstractNum w:abstractNumId="97">
    <w:nsid w:val="56438D1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8">
    <w:nsid w:val="519E3149"/>
    <w:multiLevelType w:val="hybridMultilevel"/>
    <w:lvl w:ilvl="0">
      <w:lvlJc w:val="left"/>
      <w:lvlText w:val="(%1)"/>
      <w:numFmt w:val="lowerLetter"/>
      <w:start w:val="2"/>
    </w:lvl>
    <w:lvl w:ilvl="1">
      <w:lvlJc w:val="left"/>
      <w:lvlText w:val="(%2)"/>
      <w:numFmt w:val="lowerRoman"/>
      <w:start w:val="1"/>
    </w:lvl>
  </w:abstractNum>
  <w:abstractNum w:abstractNumId="99">
    <w:nsid w:val="2C6E4AFD"/>
    <w:multiLevelType w:val="hybridMultilevel"/>
    <w:lvl w:ilvl="0">
      <w:lvlJc w:val="left"/>
      <w:lvlText w:val="%1"/>
      <w:numFmt w:val="decimal"/>
      <w:start w:val="1"/>
    </w:lvl>
    <w:lvl w:ilvl="1">
      <w:lvlJc w:val="left"/>
      <w:lvlText w:val="(%2)"/>
      <w:numFmt w:val="lowerLetter"/>
      <w:start w:val="3"/>
    </w:lvl>
  </w:abstractNum>
  <w:abstractNum w:abstractNumId="100">
    <w:nsid w:val="17A1B582"/>
    <w:multiLevelType w:val="hybridMultilevel"/>
    <w:lvl w:ilvl="0">
      <w:lvlJc w:val="left"/>
      <w:lvlText w:val="(%1)"/>
      <w:numFmt w:val="decimal"/>
      <w:start w:val="12"/>
    </w:lvl>
    <w:lvl w:ilvl="1">
      <w:lvlJc w:val="left"/>
      <w:lvlText w:val="(%2)"/>
      <w:numFmt w:val="lowerLetter"/>
      <w:start w:val="4"/>
    </w:lvl>
  </w:abstractNum>
  <w:abstractNum w:abstractNumId="101">
    <w:nsid w:val="4DF72E4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02">
    <w:nsid w:val="5046B5A9"/>
    <w:multiLevelType w:val="hybridMultilevel"/>
    <w:lvl w:ilvl="0">
      <w:lvlJc w:val="left"/>
      <w:lvlText w:val="(%1)"/>
      <w:numFmt w:val="decimal"/>
      <w:start w:val="12"/>
    </w:lvl>
    <w:lvl w:ilvl="1">
      <w:lvlJc w:val="left"/>
      <w:lvlText w:val="(%2)"/>
      <w:numFmt w:val="lowerLetter"/>
      <w:start w:val="6"/>
    </w:lvl>
    <w:lvl w:ilvl="2">
      <w:lvlJc w:val="left"/>
      <w:lvlText w:val="(%3)"/>
      <w:numFmt w:val="lowerRoman"/>
      <w:start w:val="1"/>
    </w:lvl>
  </w:abstractNum>
  <w:abstractNum w:abstractNumId="103">
    <w:nsid w:val="5D888A08"/>
    <w:multiLevelType w:val="hybridMultilevel"/>
    <w:lvl w:ilvl="0">
      <w:lvlJc w:val="left"/>
      <w:lvlText w:val="%1"/>
      <w:numFmt w:val="decimal"/>
      <w:start w:val="1"/>
    </w:lvl>
    <w:lvl w:ilvl="1">
      <w:lvlJc w:val="left"/>
      <w:lvlText w:val="(%2)"/>
      <w:numFmt w:val="lowerLetter"/>
      <w:start w:val="8"/>
    </w:lvl>
  </w:abstractNum>
  <w:abstractNum w:abstractNumId="104">
    <w:nsid w:val="2A082C70"/>
    <w:multiLevelType w:val="hybridMultilevel"/>
    <w:lvl w:ilvl="0">
      <w:lvlJc w:val="left"/>
      <w:lvlText w:val="%1."/>
      <w:numFmt w:val="decimal"/>
      <w:start w:val="7"/>
    </w:lvl>
    <w:lvl w:ilvl="1">
      <w:lvlJc w:val="left"/>
      <w:lvlText w:val="%2"/>
      <w:numFmt w:val="lowerLetter"/>
      <w:start w:val="1"/>
    </w:lvl>
  </w:abstractNum>
  <w:abstractNum w:abstractNumId="105">
    <w:nsid w:val="5EC6AFD4"/>
    <w:multiLevelType w:val="hybridMultilevel"/>
    <w:lvl w:ilvl="0">
      <w:lvlJc w:val="left"/>
      <w:lvlText w:val="%1"/>
      <w:numFmt w:val="decimal"/>
      <w:start w:val="1"/>
    </w:lvl>
    <w:lvl w:ilvl="1">
      <w:lvlJc w:val="left"/>
      <w:lvlText w:val="(%2)"/>
      <w:numFmt w:val="lowerLetter"/>
      <w:start w:val="1"/>
    </w:lvl>
  </w:abstractNum>
  <w:abstractNum w:abstractNumId="106">
    <w:nsid w:val="19E21BB2"/>
    <w:multiLevelType w:val="hybridMultilevel"/>
    <w:lvl w:ilvl="0">
      <w:lvlJc w:val="left"/>
      <w:lvlText w:val="%1."/>
      <w:numFmt w:val="decimal"/>
      <w:start w:val="8"/>
    </w:lvl>
    <w:lvl w:ilvl="1">
      <w:lvlJc w:val="left"/>
      <w:lvlText w:val="(%2)"/>
      <w:numFmt w:val="lowerLetter"/>
      <w:start w:val="1"/>
    </w:lvl>
  </w:abstractNum>
  <w:abstractNum w:abstractNumId="107">
    <w:nsid w:val="75E0858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08">
    <w:nsid w:val="57A61A29"/>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09">
    <w:nsid w:val="5399C654"/>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110">
    <w:nsid w:val="20EE1348"/>
    <w:multiLevelType w:val="hybridMultilevel"/>
    <w:lvl w:ilvl="0">
      <w:lvlJc w:val="left"/>
      <w:lvlText w:val="(%1)"/>
      <w:numFmt w:val="lowerLetter"/>
      <w:start w:val="4"/>
    </w:lvl>
  </w:abstractNum>
  <w:abstractNum w:abstractNumId="111">
    <w:nsid w:val="4427069A"/>
    <w:multiLevelType w:val="hybridMultilevel"/>
    <w:lvl w:ilvl="0">
      <w:lvlJc w:val="left"/>
      <w:lvlText w:val="%1."/>
      <w:numFmt w:val="decimal"/>
      <w:start w:val="1"/>
    </w:lvl>
  </w:abstractNum>
  <w:abstractNum w:abstractNumId="112">
    <w:nsid w:val="B37E80A"/>
    <w:multiLevelType w:val="hybridMultilevel"/>
    <w:lvl w:ilvl="0">
      <w:lvlJc w:val="left"/>
      <w:lvlText w:val="(%1)"/>
      <w:numFmt w:val="lowerLetter"/>
      <w:start w:val="1"/>
    </w:lvl>
  </w:abstractNum>
  <w:abstractNum w:abstractNumId="113">
    <w:nsid w:val="2157F6BC"/>
    <w:multiLevelType w:val="hybridMultilevel"/>
    <w:lvl w:ilvl="0">
      <w:lvlJc w:val="left"/>
      <w:lvlText w:val="(%1)"/>
      <w:numFmt w:val="lowerLetter"/>
      <w:start w:val="2"/>
    </w:lvl>
  </w:abstractNum>
  <w:abstractNum w:abstractNumId="114">
    <w:nsid w:val="704E1DD5"/>
    <w:multiLevelType w:val="hybridMultilevel"/>
    <w:lvl w:ilvl="0">
      <w:lvlJc w:val="left"/>
      <w:lvlText w:val="1"/>
      <w:numFmt w:val="bullet"/>
      <w:start w:val="1"/>
    </w:lvl>
  </w:abstractNum>
  <w:abstractNum w:abstractNumId="115">
    <w:nsid w:val="57D2F10E"/>
    <w:multiLevelType w:val="hybridMultilevel"/>
    <w:lvl w:ilvl="0">
      <w:lvlJc w:val="left"/>
      <w:lvlText w:val="%1."/>
      <w:numFmt w:val="decimal"/>
      <w:start w:val="4"/>
    </w:lvl>
  </w:abstractNum>
  <w:abstractNum w:abstractNumId="116">
    <w:nsid w:val="BFFAE18"/>
    <w:multiLevelType w:val="hybridMultilevel"/>
    <w:lvl w:ilvl="0">
      <w:lvlJc w:val="left"/>
      <w:lvlText w:val="%1."/>
      <w:numFmt w:val="decimal"/>
      <w:start w:val="6"/>
    </w:lvl>
  </w:abstractNum>
  <w:abstractNum w:abstractNumId="117">
    <w:nsid w:val="E3E47A8"/>
    <w:multiLevelType w:val="hybridMultilevel"/>
    <w:lvl w:ilvl="0">
      <w:lvlJc w:val="left"/>
      <w:lvlText w:val="2"/>
      <w:numFmt w:val="bullet"/>
      <w:start w:val="1"/>
    </w:lvl>
  </w:abstractNum>
  <w:abstractNum w:abstractNumId="118">
    <w:nsid w:val="2E48F044"/>
    <w:multiLevelType w:val="hybridMultilevel"/>
    <w:lvl w:ilvl="0">
      <w:lvlJc w:val="left"/>
      <w:lvlText w:val="3"/>
      <w:numFmt w:val="bullet"/>
      <w:start w:val="1"/>
    </w:lvl>
  </w:abstractNum>
  <w:abstractNum w:abstractNumId="119">
    <w:nsid w:val="49D0FEAC"/>
    <w:multiLevelType w:val="hybridMultilevel"/>
    <w:lvl w:ilvl="0">
      <w:lvlJc w:val="left"/>
      <w:lvlText w:val="%1."/>
      <w:numFmt w:val="decimal"/>
      <w:start w:val="8"/>
    </w:lvl>
  </w:abstractNum>
  <w:abstractNum w:abstractNumId="120">
    <w:nsid w:val="4BEE5A5B"/>
    <w:multiLevelType w:val="hybridMultilevel"/>
    <w:lvl w:ilvl="0">
      <w:lvlJc w:val="left"/>
      <w:lvlText w:val="%1."/>
      <w:numFmt w:val="decimal"/>
      <w:start w:val="16"/>
    </w:lvl>
  </w:abstractNum>
  <w:abstractNum w:abstractNumId="121">
    <w:nsid w:val="5551B9F3"/>
    <w:multiLevelType w:val="hybridMultilevel"/>
    <w:lvl w:ilvl="0">
      <w:lvlJc w:val="left"/>
      <w:lvlText w:val="4"/>
      <w:numFmt w:val="bullet"/>
      <w:start w:val="1"/>
    </w:lvl>
  </w:abstractNum>
  <w:abstractNum w:abstractNumId="122">
    <w:nsid w:val="24F6AB8E"/>
    <w:multiLevelType w:val="hybridMultilevel"/>
    <w:lvl w:ilvl="0">
      <w:lvlJc w:val="left"/>
      <w:lvlText w:val="%1."/>
      <w:numFmt w:val="decimal"/>
      <w:start w:val="22"/>
    </w:lvl>
    <w:lvl w:ilvl="1">
      <w:lvlJc w:val="left"/>
      <w:lvlText w:val="(%2)"/>
      <w:numFmt w:val="lowerLetter"/>
      <w:start w:val="1"/>
    </w:lvl>
    <w:lvl w:ilvl="2">
      <w:lvlJc w:val="left"/>
      <w:lvlText w:val="*"/>
      <w:numFmt w:val="bullet"/>
      <w:start w:val="1"/>
    </w:lvl>
  </w:abstractNum>
  <w:abstractNum w:abstractNumId="123">
    <w:nsid w:val="634C574C"/>
    <w:multiLevelType w:val="hybridMultilevel"/>
    <w:lvl w:ilvl="0">
      <w:lvlJc w:val="left"/>
      <w:lvlText w:val="6"/>
      <w:numFmt w:val="bullet"/>
      <w:start w:val="1"/>
    </w:lvl>
  </w:abstractNum>
  <w:abstractNum w:abstractNumId="124">
    <w:nsid w:val="24E99DD7"/>
    <w:multiLevelType w:val="hybridMultilevel"/>
    <w:lvl w:ilvl="0">
      <w:lvlJc w:val="left"/>
      <w:lvlText w:val="7"/>
      <w:numFmt w:val="bullet"/>
      <w:start w:val="1"/>
    </w:lvl>
  </w:abstractNum>
  <w:abstractNum w:abstractNumId="125">
    <w:nsid w:val="2A31B62D"/>
    <w:multiLevelType w:val="hybridMultilevel"/>
    <w:lvl w:ilvl="0">
      <w:lvlJc w:val="left"/>
      <w:lvlText w:val="%1."/>
      <w:numFmt w:val="decimal"/>
      <w:start w:val="1"/>
    </w:lvl>
    <w:lvl w:ilvl="1">
      <w:lvlJc w:val="left"/>
      <w:lvlText w:val="%2."/>
      <w:numFmt w:val="lowerLetter"/>
      <w:start w:val="1"/>
    </w:lvl>
  </w:abstractNum>
  <w:abstractNum w:abstractNumId="126">
    <w:nsid w:val="1849C29B"/>
    <w:multiLevelType w:val="hybridMultilevel"/>
    <w:lvl w:ilvl="0">
      <w:lvlJc w:val="left"/>
      <w:lvlText w:val="%1."/>
      <w:numFmt w:val="lowerLetter"/>
      <w:start w:val="3"/>
    </w:lvl>
    <w:lvl w:ilvl="1">
      <w:lvlJc w:val="left"/>
      <w:lvlText w:val="%2."/>
      <w:numFmt w:val="lowerRoman"/>
      <w:start w:val="1"/>
    </w:lvl>
  </w:abstractNum>
  <w:abstractNum w:abstractNumId="127">
    <w:nsid w:val="7DFF9D09"/>
    <w:multiLevelType w:val="hybridMultilevel"/>
    <w:lvl w:ilvl="0">
      <w:lvlJc w:val="left"/>
      <w:lvlText w:val="%1."/>
      <w:numFmt w:val="decimal"/>
      <w:start w:val="3"/>
    </w:lvl>
  </w:abstractNum>
  <w:abstractNum w:abstractNumId="128">
    <w:nsid w:val="754342"/>
    <w:multiLevelType w:val="hybridMultilevel"/>
    <w:lvl w:ilvl="0">
      <w:lvlJc w:val="left"/>
      <w:lvlText w:val="%1."/>
      <w:numFmt w:val="decimal"/>
      <w:start w:val="6"/>
    </w:lvl>
  </w:abstractNum>
  <w:abstractNum w:abstractNumId="129">
    <w:nsid w:val="69E7F3E5"/>
    <w:multiLevelType w:val="hybridMultilevel"/>
    <w:lvl w:ilvl="0">
      <w:lvlJc w:val="left"/>
      <w:lvlText w:val="%1."/>
      <w:numFmt w:val="decimal"/>
      <w:start w:val="7"/>
    </w:lvl>
    <w:lvl w:ilvl="1">
      <w:lvlJc w:val="left"/>
      <w:lvlText w:val="%2"/>
      <w:numFmt w:val="lowerLetter"/>
      <w:start w:val="1"/>
    </w:lvl>
  </w:abstractNum>
  <w:abstractNum w:abstractNumId="130">
    <w:nsid w:val="2A6DE806"/>
    <w:multiLevelType w:val="hybridMultilevel"/>
    <w:lvl w:ilvl="0">
      <w:lvlJc w:val="left"/>
      <w:lvlText w:val="%1"/>
      <w:numFmt w:val="decimal"/>
      <w:start w:val="1"/>
    </w:lvl>
    <w:lvl w:ilvl="1">
      <w:lvlJc w:val="left"/>
      <w:lvlText w:val="%2."/>
      <w:numFmt w:val="lowerLetter"/>
      <w:start w:val="2"/>
    </w:lvl>
  </w:abstractNum>
  <w:abstractNum w:abstractNumId="131">
    <w:nsid w:val="1816F8C4"/>
    <w:multiLevelType w:val="hybridMultilevel"/>
    <w:lvl w:ilvl="0">
      <w:lvlJc w:val="left"/>
      <w:lvlText w:val="%1."/>
      <w:numFmt w:val="decimal"/>
      <w:start w:val="8"/>
    </w:lvl>
    <w:lvl w:ilvl="1">
      <w:lvlJc w:val="left"/>
      <w:lvlText w:val="%2."/>
      <w:numFmt w:val="lowerLetter"/>
      <w:start w:val="1"/>
    </w:lvl>
  </w:abstractNum>
  <w:abstractNum w:abstractNumId="132">
    <w:nsid w:val="37DF2233"/>
    <w:multiLevelType w:val="hybridMultilevel"/>
    <w:lvl w:ilvl="0">
      <w:lvlJc w:val="left"/>
      <w:lvlText w:val="%1."/>
      <w:numFmt w:val="decimal"/>
      <w:start w:val="10"/>
    </w:lvl>
  </w:abstractNum>
  <w:abstractNum w:abstractNumId="133">
    <w:nsid w:val="7AB49DAF"/>
    <w:multiLevelType w:val="hybridMultilevel"/>
    <w:lvl w:ilvl="0">
      <w:lvlJc w:val="left"/>
      <w:lvlText w:val="%1."/>
      <w:numFmt w:val="decimal"/>
      <w:start w:val="15"/>
    </w:lvl>
  </w:abstractNum>
  <w:abstractNum w:abstractNumId="134">
    <w:nsid w:val="759F82CD"/>
    <w:multiLevelType w:val="hybridMultilevel"/>
    <w:lvl w:ilvl="0">
      <w:lvlJc w:val="left"/>
      <w:lvlText w:val="%1."/>
      <w:numFmt w:val="decimal"/>
      <w:start w:val="1"/>
    </w:lvl>
  </w:abstractNum>
  <w:abstractNum w:abstractNumId="135">
    <w:nsid w:val="61E74EA3"/>
    <w:multiLevelType w:val="hybridMultilevel"/>
    <w:lvl w:ilvl="0">
      <w:lvlJc w:val="left"/>
      <w:lvlText w:val="%1."/>
      <w:numFmt w:val="decimal"/>
      <w:start w:val="4"/>
    </w:lvl>
    <w:lvl w:ilvl="1">
      <w:lvlJc w:val="left"/>
      <w:lvlText w:val="%2."/>
      <w:numFmt w:val="lowerLetter"/>
      <w:start w:val="1"/>
    </w:lvl>
  </w:abstractNum>
  <w:abstractNum w:abstractNumId="136">
    <w:nsid w:val="597B4D84"/>
    <w:multiLevelType w:val="hybridMultilevel"/>
    <w:lvl w:ilvl="0">
      <w:lvlJc w:val="left"/>
      <w:lvlText w:val="%1."/>
      <w:numFmt w:val="decimal"/>
      <w:start w:val="6"/>
    </w:lvl>
  </w:abstractNum>
  <w:abstractNum w:abstractNumId="137">
    <w:nsid w:val="F819E7F"/>
    <w:multiLevelType w:val="hybridMultilevel"/>
    <w:lvl w:ilvl="0">
      <w:lvlJc w:val="left"/>
      <w:lvlText w:val="%1."/>
      <w:numFmt w:val="decimal"/>
      <w:start w:val="1"/>
    </w:lvl>
  </w:abstractNum>
  <w:abstractNum w:abstractNumId="138">
    <w:nsid w:val="57C7D42D"/>
    <w:multiLevelType w:val="hybridMultilevel"/>
    <w:lvl w:ilvl="0">
      <w:lvlJc w:val="left"/>
      <w:lvlText w:val="%1."/>
      <w:numFmt w:val="decimal"/>
      <w:start w:val="2"/>
    </w:lvl>
    <w:lvl w:ilvl="1">
      <w:lvlJc w:val="left"/>
      <w:lvlText w:val="%2."/>
      <w:numFmt w:val="lowerLetter"/>
      <w:start w:val="1"/>
    </w:lvl>
  </w:abstractNum>
  <w:abstractNum w:abstractNumId="139">
    <w:nsid w:val="312167AD"/>
    <w:multiLevelType w:val="hybridMultilevel"/>
    <w:lvl w:ilvl="0">
      <w:lvlJc w:val="left"/>
      <w:lvlText w:val="%1."/>
      <w:numFmt w:val="decimal"/>
      <w:start w:val="4"/>
    </w:lvl>
  </w:abstractNum>
  <w:abstractNum w:abstractNumId="140">
    <w:nsid w:val="631B64D4"/>
    <w:multiLevelType w:val="hybridMultilevel"/>
    <w:lvl w:ilvl="0">
      <w:lvlJc w:val="left"/>
      <w:lvlText w:val="(%1)"/>
      <w:numFmt w:val="lowerRoman"/>
      <w:start w:val="10"/>
    </w:lvl>
  </w:abstractNum>
  <w:abstractNum w:abstractNumId="141">
    <w:nsid w:val="78B5E77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5"/>
    </w:lvl>
    <w:lvl w:ilvl="3">
      <w:lvlJc w:val="left"/>
      <w:lvlText w:val="%4"/>
      <w:numFmt w:val="lowerLetter"/>
      <w:start w:val="1"/>
    </w:lvl>
  </w:abstractNum>
  <w:abstractNum w:abstractNumId="142">
    <w:nsid w:val="75486E47"/>
    <w:multiLevelType w:val="hybridMultilevel"/>
    <w:lvl w:ilvl="0">
      <w:lvlJc w:val="left"/>
      <w:lvlText w:val="%1"/>
      <w:numFmt w:val="lowerLetter"/>
      <w:start w:val="1"/>
    </w:lvl>
    <w:lvl w:ilvl="1">
      <w:lvlJc w:val="left"/>
      <w:lvlText w:val="%2."/>
      <w:numFmt w:val="lowerLetter"/>
      <w:start w:val="35"/>
    </w:lvl>
  </w:abstractNum>
  <w:abstractNum w:abstractNumId="143">
    <w:nsid w:val="6E534CDE"/>
    <w:multiLevelType w:val="hybridMultilevel"/>
    <w:lvl w:ilvl="0">
      <w:lvlJc w:val="left"/>
      <w:lvlText w:val="%1."/>
      <w:numFmt w:val="lowerLetter"/>
      <w:start w:val="3"/>
    </w:lvl>
    <w:lvl w:ilvl="1">
      <w:lvlJc w:val="left"/>
      <w:lvlText w:val="%2"/>
      <w:numFmt w:val="lowerLetter"/>
      <w:start w:val="1"/>
    </w:lvl>
  </w:abstractNum>
  <w:abstractNum w:abstractNumId="144">
    <w:nsid w:val="1A0DDE32"/>
    <w:multiLevelType w:val="hybridMultilevel"/>
    <w:lvl w:ilvl="0">
      <w:lvlJc w:val="left"/>
      <w:lvlText w:val="%1."/>
      <w:numFmt w:val="decimal"/>
      <w:start w:val="9"/>
    </w:lvl>
  </w:abstractNum>
  <w:abstractNum w:abstractNumId="145">
    <w:nsid w:val="65968C1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46">
    <w:nsid w:val="46263DEC"/>
    <w:multiLevelType w:val="hybridMultilevel"/>
    <w:lvl w:ilvl="0">
      <w:lvlJc w:val="left"/>
      <w:lvlText w:val="%1."/>
      <w:numFmt w:val="lowerLetter"/>
      <w:start w:val="4"/>
    </w:lvl>
  </w:abstractNum>
  <w:abstractNum w:abstractNumId="147">
    <w:nsid w:val="260D8C4A"/>
    <w:multiLevelType w:val="hybridMultilevel"/>
    <w:lvl w:ilvl="0">
      <w:lvlJc w:val="left"/>
      <w:lvlText w:val="%1."/>
      <w:numFmt w:val="decimal"/>
      <w:start w:val="12"/>
    </w:lvl>
  </w:abstractNum>
  <w:abstractNum w:abstractNumId="148">
    <w:nsid w:val="73D4D3C4"/>
    <w:multiLevelType w:val="hybridMultilevel"/>
    <w:lvl w:ilvl="0">
      <w:lvlJc w:val="left"/>
      <w:lvlText w:val="%1."/>
      <w:numFmt w:val="decimal"/>
      <w:start w:val="13"/>
    </w:lvl>
    <w:lvl w:ilvl="1">
      <w:lvlJc w:val="left"/>
      <w:lvlText w:val="%2."/>
      <w:numFmt w:val="lowerLetter"/>
      <w:start w:val="1"/>
    </w:lvl>
  </w:abstractNum>
  <w:abstractNum w:abstractNumId="149">
    <w:nsid w:val="746F2E30"/>
    <w:multiLevelType w:val="hybridMultilevel"/>
    <w:lvl w:ilvl="0">
      <w:lvlJc w:val="left"/>
      <w:lvlText w:val="%1."/>
      <w:numFmt w:val="decimal"/>
      <w:start w:val="1"/>
    </w:lvl>
    <w:lvl w:ilvl="1">
      <w:lvlJc w:val="left"/>
      <w:lvlText w:val="%2)"/>
      <w:numFmt w:val="lowerLetter"/>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2022-05-04T05:29:34Z</dcterms:created>
  <dcterms:modified xsi:type="dcterms:W3CDTF">2022-05-04T05:29:34Z</dcterms:modified>
</cp:coreProperties>
</file>