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78740</wp:posOffset>
            </wp:positionV>
            <wp:extent cx="2220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165735</wp:posOffset>
            </wp:positionV>
            <wp:extent cx="222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380" w:hanging="33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3880" w:type="dxa"/>
        <w:tblCellMar>
          <w:top w:w="0" w:type="dxa"/>
          <w:left w:w="0" w:type="dxa"/>
          <w:bottom w:w="0" w:type="dxa"/>
          <w:right w:w="0" w:type="dxa"/>
        </w:tblCellMar>
      </w:tblP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25"/>
        </w:trPr>
        <w:tc>
          <w:tcPr>
            <w:tcW w:w="35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106"/>
        </w:trPr>
        <w:tc>
          <w:tcPr>
            <w:tcW w:w="26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365"/>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28"/>
                <w:szCs w:val="28"/>
                <w:b w:val="1"/>
                <w:bCs w:val="1"/>
                <w:color w:val="auto"/>
              </w:rPr>
              <w:t>VERACYTE, INC.</w:t>
            </w: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89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265"/>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620" w:type="dxa"/>
            <w:vAlign w:val="bottom"/>
          </w:tcPr>
          <w:p>
            <w:pPr>
              <w:spacing w:after="0"/>
              <w:rPr>
                <w:sz w:val="23"/>
                <w:szCs w:val="23"/>
                <w:color w:val="auto"/>
              </w:rPr>
            </w:pPr>
          </w:p>
        </w:tc>
      </w:tr>
      <w:tr>
        <w:trPr>
          <w:trHeight w:val="334"/>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40" w:type="dxa"/>
            <w:vAlign w:val="bottom"/>
            <w:gridSpan w:val="3"/>
          </w:tcPr>
          <w:p>
            <w:pPr>
              <w:jc w:val="center"/>
              <w:ind w:left="5231"/>
              <w:spacing w:after="0"/>
              <w:rPr>
                <w:sz w:val="20"/>
                <w:szCs w:val="20"/>
                <w:color w:val="auto"/>
              </w:rPr>
            </w:pPr>
            <w:r>
              <w:rPr>
                <w:rFonts w:ascii="Times New Roman" w:cs="Times New Roman" w:eastAsia="Times New Roman" w:hAnsi="Times New Roman"/>
                <w:sz w:val="18"/>
                <w:szCs w:val="18"/>
                <w:b w:val="1"/>
                <w:bCs w:val="1"/>
                <w:color w:val="auto"/>
                <w:w w:val="96"/>
              </w:rPr>
              <w:t>20-5455398</w:t>
            </w:r>
          </w:p>
        </w:tc>
      </w:tr>
      <w:tr>
        <w:trPr>
          <w:trHeight w:val="226"/>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2"/>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84"/>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6000 Shoreline Court, Suite 300</w:t>
            </w:r>
          </w:p>
        </w:tc>
      </w:tr>
      <w:tr>
        <w:trPr>
          <w:trHeight w:val="215"/>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 94080</w:t>
            </w:r>
          </w:p>
        </w:tc>
      </w:tr>
      <w:tr>
        <w:trPr>
          <w:trHeight w:val="232"/>
        </w:trPr>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20" w:type="dxa"/>
            <w:vAlign w:val="bottom"/>
            <w:gridSpan w:val="2"/>
          </w:tcPr>
          <w:p>
            <w:pPr>
              <w:jc w:val="center"/>
              <w:ind w:right="24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r>
      <w:tr>
        <w:trPr>
          <w:trHeight w:val="406"/>
        </w:trPr>
        <w:tc>
          <w:tcPr>
            <w:tcW w:w="2560" w:type="dxa"/>
            <w:vAlign w:val="bottom"/>
          </w:tcPr>
          <w:p>
            <w:pPr>
              <w:spacing w:after="0"/>
              <w:rPr>
                <w:sz w:val="24"/>
                <w:szCs w:val="24"/>
                <w:color w:val="auto"/>
              </w:rPr>
            </w:pPr>
          </w:p>
        </w:tc>
        <w:tc>
          <w:tcPr>
            <w:tcW w:w="402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rPr>
              <w:t>(650) 243-6300</w:t>
            </w:r>
          </w:p>
        </w:tc>
        <w:tc>
          <w:tcPr>
            <w:tcW w:w="2620" w:type="dxa"/>
            <w:vAlign w:val="bottom"/>
          </w:tcPr>
          <w:p>
            <w:pPr>
              <w:spacing w:after="0"/>
              <w:rPr>
                <w:sz w:val="24"/>
                <w:szCs w:val="24"/>
                <w:color w:val="auto"/>
              </w:rPr>
            </w:pP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9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176530</wp:posOffset>
            </wp:positionV>
            <wp:extent cx="2220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4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500" w:type="dxa"/>
            <w:vAlign w:val="bottom"/>
          </w:tcPr>
          <w:p>
            <w:pPr>
              <w:spacing w:after="0"/>
              <w:rPr>
                <w:sz w:val="20"/>
                <w:szCs w:val="20"/>
                <w:color w:val="auto"/>
              </w:rPr>
            </w:pPr>
          </w:p>
        </w:tc>
      </w:tr>
      <w:tr>
        <w:trPr>
          <w:trHeight w:val="544"/>
        </w:trPr>
        <w:tc>
          <w:tcPr>
            <w:tcW w:w="35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5"/>
        </w:trPr>
        <w:tc>
          <w:tcPr>
            <w:tcW w:w="3520" w:type="dxa"/>
            <w:vAlign w:val="bottom"/>
            <w:tcBorders>
              <w:top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82" w:lineRule="exact"/>
        <w:rPr>
          <w:sz w:val="24"/>
          <w:szCs w:val="24"/>
          <w:color w:val="auto"/>
        </w:rPr>
      </w:pPr>
    </w:p>
    <w:p>
      <w:pPr>
        <w:ind w:right="2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8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654685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224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266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3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2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7" w:lineRule="exact"/>
        <w:rPr>
          <w:sz w:val="20"/>
          <w:szCs w:val="20"/>
          <w:color w:val="auto"/>
        </w:rPr>
      </w:pPr>
    </w:p>
    <w:p>
      <w:pPr>
        <w:ind w:right="280" w:firstLine="35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60" w:right="228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May 1, 2026, there were 79,792,647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855345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4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00" w:type="dxa"/>
            <w:vAlign w:val="bottom"/>
            <w:gridSpan w:val="8"/>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20" w:type="dxa"/>
            <w:vAlign w:val="bottom"/>
            <w:gridSpan w:val="7"/>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20" w:type="dxa"/>
            <w:vAlign w:val="bottom"/>
            <w:gridSpan w:val="3"/>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3240" w:type="dxa"/>
            <w:vAlign w:val="bottom"/>
            <w:tcBorders>
              <w:bottom w:val="single" w:sz="8" w:color="0000FF"/>
            </w:tcBorders>
            <w:gridSpan w:val="14"/>
          </w:tcPr>
          <w:p>
            <w:pPr>
              <w:spacing w:after="0" w:line="171" w:lineRule="exact"/>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6120" w:type="dxa"/>
            <w:vAlign w:val="bottom"/>
            <w:gridSpan w:val="10"/>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Item 1. Condensed Consolidated Financial Statements (Unaudited)</w:t>
            </w:r>
          </w:p>
        </w:tc>
        <w:tc>
          <w:tcPr>
            <w:tcW w:w="4500" w:type="dxa"/>
            <w:vAlign w:val="bottom"/>
            <w:gridSpan w:val="8"/>
          </w:tcPr>
          <w:p>
            <w:pPr>
              <w:spacing w:after="0"/>
              <w:rPr>
                <w:sz w:val="17"/>
                <w:szCs w:val="17"/>
                <w:color w:val="auto"/>
              </w:rPr>
            </w:pPr>
          </w:p>
        </w:tc>
        <w:tc>
          <w:tcPr>
            <w:tcW w:w="172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 as of March 31, 2026 and December 31, 2025</w:t>
            </w:r>
          </w:p>
        </w:tc>
        <w:tc>
          <w:tcPr>
            <w:tcW w:w="2860" w:type="dxa"/>
            <w:vAlign w:val="bottom"/>
            <w:gridSpan w:val="6"/>
          </w:tcPr>
          <w:p>
            <w:pPr>
              <w:spacing w:after="0"/>
              <w:rPr>
                <w:sz w:val="19"/>
                <w:szCs w:val="19"/>
                <w:color w:val="auto"/>
              </w:rPr>
            </w:pPr>
          </w:p>
        </w:tc>
        <w:tc>
          <w:tcPr>
            <w:tcW w:w="172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40" w:type="dxa"/>
            <w:vAlign w:val="bottom"/>
            <w:gridSpan w:val="22"/>
          </w:tcPr>
          <w:p>
            <w:pPr>
              <w:spacing w:after="0" w:line="18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 Periods Ended March 31, 2026</w:t>
            </w:r>
          </w:p>
        </w:tc>
        <w:tc>
          <w:tcPr>
            <w:tcW w:w="1720" w:type="dxa"/>
            <w:vAlign w:val="bottom"/>
            <w:gridSpan w:val="2"/>
            <w:vMerge w:val="restart"/>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top w:val="single" w:sz="8" w:color="0000FF"/>
              <w:bottom w:val="single" w:sz="8" w:color="0000FF"/>
            </w:tcBorders>
          </w:tcPr>
          <w:p>
            <w:pPr>
              <w:spacing w:after="0" w:line="140" w:lineRule="exact"/>
              <w:rPr>
                <w:sz w:val="20"/>
                <w:szCs w:val="20"/>
                <w:color w:val="auto"/>
              </w:rPr>
            </w:pPr>
            <w:r>
              <w:rPr>
                <w:rFonts w:ascii="Times New Roman" w:cs="Times New Roman" w:eastAsia="Times New Roman" w:hAnsi="Times New Roman"/>
                <w:sz w:val="16"/>
                <w:szCs w:val="16"/>
                <w:color w:val="0000FF"/>
              </w:rPr>
              <w:t>and 2025</w:t>
            </w:r>
          </w:p>
        </w:tc>
        <w:tc>
          <w:tcPr>
            <w:tcW w:w="6660" w:type="dxa"/>
            <w:vAlign w:val="bottom"/>
            <w:tcBorders>
              <w:top w:val="single" w:sz="8" w:color="0000FF"/>
            </w:tcBorders>
            <w:gridSpan w:val="18"/>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40" w:type="dxa"/>
            <w:vAlign w:val="bottom"/>
            <w:gridSpan w:val="22"/>
          </w:tcPr>
          <w:p>
            <w:pPr>
              <w:spacing w:after="0" w:line="200"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 Periods Ended</w:t>
            </w:r>
          </w:p>
        </w:tc>
        <w:tc>
          <w:tcPr>
            <w:tcW w:w="1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60" w:type="dxa"/>
            <w:vAlign w:val="bottom"/>
            <w:tcBorders>
              <w:top w:val="single" w:sz="8" w:color="0000FF"/>
            </w:tcBorders>
            <w:gridSpan w:val="18"/>
          </w:tcPr>
          <w:p>
            <w:pPr>
              <w:spacing w:after="0" w:line="140" w:lineRule="exact"/>
              <w:rPr>
                <w:sz w:val="20"/>
                <w:szCs w:val="20"/>
                <w:color w:val="auto"/>
              </w:rPr>
            </w:pPr>
            <w:r>
              <w:rPr>
                <w:rFonts w:ascii="Times New Roman" w:cs="Times New Roman" w:eastAsia="Times New Roman" w:hAnsi="Times New Roman"/>
                <w:sz w:val="16"/>
                <w:szCs w:val="16"/>
                <w:color w:val="0000FF"/>
              </w:rPr>
              <w:t>March 31, 2026 and 2025</w:t>
            </w:r>
          </w:p>
        </w:tc>
        <w:tc>
          <w:tcPr>
            <w:tcW w:w="3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40" w:type="dxa"/>
            <w:vAlign w:val="bottom"/>
            <w:gridSpan w:val="22"/>
          </w:tcPr>
          <w:p>
            <w:pPr>
              <w:spacing w:after="0" w:line="200"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 Periods Ended March</w:t>
            </w:r>
          </w:p>
        </w:tc>
        <w:tc>
          <w:tcPr>
            <w:tcW w:w="172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Borders>
              <w:top w:val="single" w:sz="8" w:color="0000FF"/>
              <w:bottom w:val="single" w:sz="8" w:color="0000FF"/>
            </w:tcBorders>
            <w:gridSpan w:val="5"/>
          </w:tcPr>
          <w:p>
            <w:pPr>
              <w:spacing w:after="0" w:line="140" w:lineRule="exact"/>
              <w:rPr>
                <w:sz w:val="20"/>
                <w:szCs w:val="20"/>
                <w:color w:val="auto"/>
              </w:rPr>
            </w:pPr>
            <w:r>
              <w:rPr>
                <w:rFonts w:ascii="Times New Roman" w:cs="Times New Roman" w:eastAsia="Times New Roman" w:hAnsi="Times New Roman"/>
                <w:sz w:val="16"/>
                <w:szCs w:val="16"/>
                <w:color w:val="0000FF"/>
              </w:rPr>
              <w:t>31, 2026 and 2025</w:t>
            </w:r>
          </w:p>
        </w:tc>
        <w:tc>
          <w:tcPr>
            <w:tcW w:w="604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40" w:type="dxa"/>
            <w:vAlign w:val="bottom"/>
            <w:gridSpan w:val="22"/>
          </w:tcPr>
          <w:p>
            <w:pPr>
              <w:spacing w:after="0" w:line="200"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 Periods Ended March 31, 2026</w:t>
            </w:r>
          </w:p>
        </w:tc>
        <w:tc>
          <w:tcPr>
            <w:tcW w:w="172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0000FF"/>
              <w:bottom w:val="single" w:sz="8" w:color="0000FF"/>
            </w:tcBorders>
            <w:gridSpan w:val="2"/>
          </w:tcPr>
          <w:p>
            <w:pPr>
              <w:spacing w:after="0" w:line="140" w:lineRule="exact"/>
              <w:rPr>
                <w:sz w:val="20"/>
                <w:szCs w:val="20"/>
                <w:color w:val="auto"/>
              </w:rPr>
            </w:pPr>
            <w:r>
              <w:rPr>
                <w:rFonts w:ascii="Times New Roman" w:cs="Times New Roman" w:eastAsia="Times New Roman" w:hAnsi="Times New Roman"/>
                <w:sz w:val="16"/>
                <w:szCs w:val="16"/>
                <w:color w:val="0000FF"/>
              </w:rPr>
              <w:t>and 2025</w:t>
            </w:r>
          </w:p>
        </w:tc>
        <w:tc>
          <w:tcPr>
            <w:tcW w:w="6620" w:type="dxa"/>
            <w:vAlign w:val="bottom"/>
            <w:tcBorders>
              <w:top w:val="single" w:sz="8" w:color="0000FF"/>
            </w:tcBorders>
            <w:gridSpan w:val="19"/>
          </w:tcPr>
          <w:p>
            <w:pPr>
              <w:spacing w:after="0"/>
              <w:rPr>
                <w:sz w:val="13"/>
                <w:szCs w:val="13"/>
                <w:color w:val="auto"/>
              </w:rPr>
            </w:pPr>
          </w:p>
        </w:tc>
        <w:tc>
          <w:tcPr>
            <w:tcW w:w="166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7"/>
              </w:rPr>
              <w:t>Item 3. Quantitative and Qualitative Disclosures About Market Risk</w:t>
            </w:r>
          </w:p>
        </w:tc>
        <w:tc>
          <w:tcPr>
            <w:tcW w:w="2080" w:type="dxa"/>
            <w:vAlign w:val="bottom"/>
            <w:gridSpan w:val="2"/>
          </w:tcPr>
          <w:p>
            <w:pPr>
              <w:spacing w:after="0"/>
              <w:rPr>
                <w:sz w:val="17"/>
                <w:szCs w:val="17"/>
                <w:color w:val="auto"/>
              </w:rPr>
            </w:pPr>
          </w:p>
        </w:tc>
        <w:tc>
          <w:tcPr>
            <w:tcW w:w="2340" w:type="dxa"/>
            <w:vAlign w:val="bottom"/>
            <w:gridSpan w:val="5"/>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4420" w:type="dxa"/>
            <w:vAlign w:val="bottom"/>
            <w:tcBorders>
              <w:left w:val="single" w:sz="8" w:color="0000FF"/>
            </w:tcBorders>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Item 4. Controls and Procedures</w:t>
            </w:r>
          </w:p>
        </w:tc>
        <w:tc>
          <w:tcPr>
            <w:tcW w:w="2540" w:type="dxa"/>
            <w:vAlign w:val="bottom"/>
            <w:gridSpan w:val="6"/>
          </w:tcPr>
          <w:p>
            <w:pPr>
              <w:spacing w:after="0"/>
              <w:rPr>
                <w:sz w:val="17"/>
                <w:szCs w:val="17"/>
                <w:color w:val="auto"/>
              </w:rPr>
            </w:pPr>
          </w:p>
        </w:tc>
        <w:tc>
          <w:tcPr>
            <w:tcW w:w="4420" w:type="dxa"/>
            <w:vAlign w:val="bottom"/>
            <w:gridSpan w:val="7"/>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6"/>
              </w:rPr>
              <w:t>PART II. — OTHER INFORMATION</w:t>
            </w:r>
          </w:p>
        </w:tc>
        <w:tc>
          <w:tcPr>
            <w:tcW w:w="6420" w:type="dxa"/>
            <w:vAlign w:val="bottom"/>
            <w:gridSpan w:val="12"/>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5"/>
              </w:rPr>
              <w:t>Item 1. Legal Proceedings</w:t>
            </w:r>
          </w:p>
        </w:tc>
        <w:tc>
          <w:tcPr>
            <w:tcW w:w="7400" w:type="dxa"/>
            <w:vAlign w:val="bottom"/>
            <w:gridSpan w:val="15"/>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400" w:type="dxa"/>
            <w:vAlign w:val="bottom"/>
            <w:gridSpan w:val="15"/>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442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Item 3. Defaults Upon Senior Securities</w:t>
            </w:r>
          </w:p>
        </w:tc>
        <w:tc>
          <w:tcPr>
            <w:tcW w:w="1980" w:type="dxa"/>
            <w:vAlign w:val="bottom"/>
            <w:gridSpan w:val="4"/>
          </w:tcPr>
          <w:p>
            <w:pPr>
              <w:spacing w:after="0"/>
              <w:rPr>
                <w:sz w:val="17"/>
                <w:szCs w:val="17"/>
                <w:color w:val="auto"/>
              </w:rPr>
            </w:pPr>
          </w:p>
        </w:tc>
        <w:tc>
          <w:tcPr>
            <w:tcW w:w="4420" w:type="dxa"/>
            <w:vAlign w:val="bottom"/>
            <w:gridSpan w:val="7"/>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400" w:type="dxa"/>
            <w:vAlign w:val="bottom"/>
            <w:gridSpan w:val="11"/>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6960" w:type="dxa"/>
            <w:vAlign w:val="bottom"/>
            <w:gridSpan w:val="1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Item 5. Other Information</w:t>
            </w:r>
          </w:p>
        </w:tc>
        <w:tc>
          <w:tcPr>
            <w:tcW w:w="440" w:type="dxa"/>
            <w:vAlign w:val="bottom"/>
            <w:gridSpan w:val="2"/>
          </w:tcPr>
          <w:p>
            <w:pPr>
              <w:spacing w:after="0"/>
              <w:rPr>
                <w:sz w:val="17"/>
                <w:szCs w:val="17"/>
                <w:color w:val="auto"/>
              </w:rPr>
            </w:pPr>
          </w:p>
        </w:tc>
        <w:tc>
          <w:tcPr>
            <w:tcW w:w="6960" w:type="dxa"/>
            <w:vAlign w:val="bottom"/>
            <w:gridSpan w:val="13"/>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400" w:type="dxa"/>
            <w:vAlign w:val="bottom"/>
            <w:gridSpan w:val="1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Item 6. Exhibits</w:t>
            </w:r>
          </w:p>
        </w:tc>
        <w:tc>
          <w:tcPr>
            <w:tcW w:w="700" w:type="dxa"/>
            <w:vAlign w:val="bottom"/>
            <w:gridSpan w:val="3"/>
          </w:tcPr>
          <w:p>
            <w:pPr>
              <w:spacing w:after="0"/>
              <w:rPr>
                <w:sz w:val="17"/>
                <w:szCs w:val="17"/>
                <w:color w:val="auto"/>
              </w:rPr>
            </w:pPr>
          </w:p>
        </w:tc>
        <w:tc>
          <w:tcPr>
            <w:tcW w:w="7400" w:type="dxa"/>
            <w:vAlign w:val="bottom"/>
            <w:gridSpan w:val="15"/>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100" w:type="dxa"/>
            <w:vAlign w:val="bottom"/>
            <w:gridSpan w:val="18"/>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9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7"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This Quarterly Report on Form 10-Q, or this report, contains forward-looking statements within the meaning of the Private Securities Litigation Reform Act of 1995. All statements contained in this report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“expect,” “estimate,” “continue,” “ongoing,” “anticipate,” “intend,” “could,” “would,” “project,” “plan,” “expect” or the negative of these terms or similar expressions that convey uncertainty of future events or outcomes, although not all forward-looking statements contain these words. These are statements that relate to future events and include, but are not limited to, statements about:</w:t>
      </w:r>
    </w:p>
    <w:p>
      <w:pPr>
        <w:spacing w:after="0" w:line="194"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total revenue and total test volume;</w:t>
      </w:r>
    </w:p>
    <w:p>
      <w:pPr>
        <w:spacing w:after="0" w:line="32"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future research and development, general and administrative and selling and marketing expenses and the anticipated uses of our funds;</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5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macroeconomic conditions, including inflation, volatile interest rates and foreign exchange fluctuations; geopolitical developments, including regional and global conflicts, such as the ongoing conflict in the Middle East and the war in Ukraine; and government actions, including evolving policies and legislation, tariffs, energy, trade and supply chain disruptions, and market volatility resulting from the above on our business;</w:t>
      </w:r>
    </w:p>
    <w:p>
      <w:pPr>
        <w:spacing w:after="0" w:line="5" w:lineRule="exact"/>
        <w:rPr>
          <w:rFonts w:ascii="Times New Roman" w:cs="Times New Roman" w:eastAsia="Times New Roman" w:hAnsi="Times New Roman"/>
          <w:sz w:val="17"/>
          <w:szCs w:val="17"/>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Percepta Nasal Swab classifier for early lung cancer classification and the Prosigna breast cancer test as a laboratory developed test, or LDT;</w:t>
      </w:r>
    </w:p>
    <w:p>
      <w:pPr>
        <w:spacing w:after="0" w:line="17"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launch of the TrueMRD platform and the addition of minimal residual detection capabilities to our diagnostics platform;</w:t>
      </w:r>
    </w:p>
    <w:p>
      <w:pPr>
        <w:spacing w:after="0" w:line="17"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 of our transition to offering more of our tests as in vitro diagnostic, or IVD, tests on multiple platforms worldwide;</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receive quality reagents and other raw materials from certain single-source suppliers;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launch tests, and enter into supply agreements, with manufacturers of alternative systems;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partnerships and agreements;</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capital expenditures, our anticipated cash needs and our estimates regarding our capital requirements and profitability;</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ability to execute on our strategy;</w:t>
      </w:r>
    </w:p>
    <w:p>
      <w:pPr>
        <w:spacing w:after="0" w:line="45"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Medicare, other government payer, and other commercial third-party payer reimbursement at acceptable levels and our expectations regarding the timing of reimbursement and changes or implementation of government regulations or reimbursement policies;</w:t>
      </w:r>
    </w:p>
    <w:p>
      <w:pPr>
        <w:spacing w:after="0" w:line="17" w:lineRule="exact"/>
        <w:rPr>
          <w:rFonts w:ascii="Times New Roman" w:cs="Times New Roman" w:eastAsia="Times New Roman" w:hAnsi="Times New Roman"/>
          <w:sz w:val="18"/>
          <w:szCs w:val="18"/>
          <w:color w:val="auto"/>
        </w:rPr>
      </w:pPr>
    </w:p>
    <w:p>
      <w:pPr>
        <w:ind w:left="640" w:hanging="315"/>
        <w:spacing w:after="0" w:line="25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estimated number of patients eligible for our tests and the attributes and potential benefits of our tests and any future tests we may develop to patients, physicians, and payers;</w:t>
      </w: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on our ability to drive demand for and reimbursement of our tests;</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3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policies, guidance agency interpretations and judicial decisions; and</w:t>
      </w:r>
    </w:p>
    <w:p>
      <w:pPr>
        <w:spacing w:after="0" w:line="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in our competitive position.</w:t>
      </w:r>
    </w:p>
    <w:p>
      <w:pPr>
        <w:spacing w:after="0" w:line="298"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report. 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report and are subject to a number of risks, uncertainties and assumptions described in the section titled “Risk Factors” in Part I, Item 1A of our Annual Report on Form 10-K for the year ended December 31, 2025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Statements-(Unaudited)</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09"/>
        </w:trPr>
        <w:tc>
          <w:tcPr>
            <w:tcW w:w="7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362,578</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44,660</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Supplies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20,546</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10,281</w:t>
            </w:r>
          </w:p>
        </w:tc>
        <w:tc>
          <w:tcPr>
            <w:tcW w:w="0" w:type="dxa"/>
            <w:vAlign w:val="bottom"/>
          </w:tcPr>
          <w:p>
            <w:pPr>
              <w:spacing w:after="0"/>
              <w:rPr>
                <w:sz w:val="1"/>
                <w:szCs w:val="1"/>
                <w:color w:val="auto"/>
              </w:rPr>
            </w:pPr>
          </w:p>
        </w:tc>
      </w:tr>
      <w:tr>
        <w:trPr>
          <w:trHeight w:val="204"/>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522,175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488,376</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22,192</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36,599</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89,148</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767,154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0" w:type="dxa"/>
            <w:vAlign w:val="bottom"/>
          </w:tcPr>
          <w:p>
            <w:pPr>
              <w:spacing w:after="0"/>
              <w:rPr>
                <w:sz w:val="1"/>
                <w:szCs w:val="1"/>
                <w:color w:val="auto"/>
              </w:rPr>
            </w:pPr>
          </w:p>
        </w:tc>
      </w:tr>
      <w:tr>
        <w:trPr>
          <w:trHeight w:val="233"/>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1,436,400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1,406,019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3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48,801</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35,603</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96,443</w:t>
            </w:r>
          </w:p>
        </w:tc>
        <w:tc>
          <w:tcPr>
            <w:tcW w:w="0" w:type="dxa"/>
            <w:vAlign w:val="bottom"/>
          </w:tcPr>
          <w:p>
            <w:pPr>
              <w:spacing w:after="0"/>
              <w:rPr>
                <w:sz w:val="1"/>
                <w:szCs w:val="1"/>
                <w:color w:val="auto"/>
              </w:rPr>
            </w:pPr>
          </w:p>
        </w:tc>
      </w:tr>
      <w:tr>
        <w:trPr>
          <w:trHeight w:val="19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38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w:t>
            </w:r>
          </w:p>
        </w:tc>
        <w:tc>
          <w:tcPr>
            <w:tcW w:w="240" w:type="dxa"/>
            <w:vAlign w:val="bottom"/>
          </w:tcPr>
          <w:p>
            <w:pPr>
              <w:spacing w:after="0"/>
              <w:rPr>
                <w:sz w:val="13"/>
                <w:szCs w:val="13"/>
                <w:color w:val="auto"/>
              </w:rPr>
            </w:pPr>
          </w:p>
        </w:tc>
        <w:tc>
          <w:tcPr>
            <w:tcW w:w="1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31, 2026 and December 31, 2025</w:t>
            </w:r>
          </w:p>
        </w:tc>
        <w:tc>
          <w:tcPr>
            <w:tcW w:w="24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 $0.001 par value; 125,000,000 shares authorized, 79,791,856 and 79,359,005 shares issued and</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outstanding as of March 31, 2026 and December 31, 2025, respectively</w:t>
            </w:r>
          </w:p>
        </w:tc>
        <w:tc>
          <w:tcPr>
            <w:tcW w:w="24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1,701,470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1,695,339</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(377,630)</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(8,212)</w:t>
            </w:r>
          </w:p>
        </w:tc>
        <w:tc>
          <w:tcPr>
            <w:tcW w:w="0" w:type="dxa"/>
            <w:vAlign w:val="bottom"/>
          </w:tcPr>
          <w:p>
            <w:pPr>
              <w:spacing w:after="0"/>
              <w:rPr>
                <w:sz w:val="1"/>
                <w:szCs w:val="1"/>
                <w:color w:val="auto"/>
              </w:rPr>
            </w:pPr>
          </w:p>
        </w:tc>
      </w:tr>
      <w:tr>
        <w:trPr>
          <w:trHeight w:val="20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1,344,406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1,309,576</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1,436,400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1,406,019</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1" w:lineRule="exact"/>
        <w:rPr>
          <w:sz w:val="20"/>
          <w:szCs w:val="20"/>
          <w:color w:val="auto"/>
        </w:rPr>
      </w:pPr>
    </w:p>
    <w:tbl>
      <w:tblPr>
        <w:tblLayout w:type="fixed"/>
        <w:tblInd w:w="1680" w:type="dxa"/>
        <w:tblCellMar>
          <w:top w:w="0" w:type="dxa"/>
          <w:left w:w="0" w:type="dxa"/>
          <w:bottom w:w="0" w:type="dxa"/>
          <w:right w:w="0" w:type="dxa"/>
        </w:tblCellMar>
      </w:tblPr>
      <w:tr>
        <w:trPr>
          <w:trHeight w:val="213"/>
        </w:trPr>
        <w:tc>
          <w:tcPr>
            <w:tcW w:w="44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7"/>
        </w:trPr>
        <w:tc>
          <w:tcPr>
            <w:tcW w:w="44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7"/>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135,091</w:t>
            </w:r>
          </w:p>
        </w:tc>
        <w:tc>
          <w:tcPr>
            <w:tcW w:w="100" w:type="dxa"/>
            <w:vAlign w:val="bottom"/>
          </w:tcPr>
          <w:p>
            <w:pPr>
              <w:spacing w:after="0"/>
              <w:rPr>
                <w:sz w:val="18"/>
                <w:szCs w:val="18"/>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107,309</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139,071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114,473</w:t>
            </w:r>
          </w:p>
        </w:tc>
        <w:tc>
          <w:tcPr>
            <w:tcW w:w="0" w:type="dxa"/>
            <w:vAlign w:val="bottom"/>
          </w:tcPr>
          <w:p>
            <w:pPr>
              <w:spacing w:after="0"/>
              <w:rPr>
                <w:sz w:val="1"/>
                <w:szCs w:val="1"/>
                <w:color w:val="auto"/>
              </w:rPr>
            </w:pPr>
          </w:p>
        </w:tc>
      </w:tr>
      <w:tr>
        <w:trPr>
          <w:trHeight w:val="190"/>
        </w:trPr>
        <w:tc>
          <w:tcPr>
            <w:tcW w:w="4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28,260</w:t>
            </w:r>
          </w:p>
        </w:tc>
        <w:tc>
          <w:tcPr>
            <w:tcW w:w="0" w:type="dxa"/>
            <w:vAlign w:val="bottom"/>
          </w:tcPr>
          <w:p>
            <w:pPr>
              <w:spacing w:after="0"/>
              <w:rPr>
                <w:sz w:val="1"/>
                <w:szCs w:val="1"/>
                <w:color w:val="auto"/>
              </w:rPr>
            </w:pPr>
          </w:p>
        </w:tc>
      </w:tr>
      <w:tr>
        <w:trPr>
          <w:trHeight w:val="21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cost of revenue</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34,965</w:t>
            </w:r>
          </w:p>
        </w:tc>
        <w:tc>
          <w:tcPr>
            <w:tcW w:w="0" w:type="dxa"/>
            <w:vAlign w:val="bottom"/>
          </w:tcPr>
          <w:p>
            <w:pPr>
              <w:spacing w:after="0"/>
              <w:rPr>
                <w:sz w:val="1"/>
                <w:szCs w:val="1"/>
                <w:color w:val="auto"/>
              </w:rPr>
            </w:pPr>
          </w:p>
        </w:tc>
      </w:tr>
      <w:tr>
        <w:trPr>
          <w:trHeight w:val="204"/>
        </w:trPr>
        <w:tc>
          <w:tcPr>
            <w:tcW w:w="4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101,159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79,508</w:t>
            </w:r>
          </w:p>
        </w:tc>
        <w:tc>
          <w:tcPr>
            <w:tcW w:w="0" w:type="dxa"/>
            <w:vAlign w:val="bottom"/>
          </w:tcPr>
          <w:p>
            <w:pPr>
              <w:spacing w:after="0"/>
              <w:rPr>
                <w:sz w:val="1"/>
                <w:szCs w:val="1"/>
                <w:color w:val="auto"/>
              </w:rPr>
            </w:pPr>
          </w:p>
        </w:tc>
      </w:tr>
      <w:tr>
        <w:trPr>
          <w:trHeight w:val="19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17,720</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24,454</w:t>
            </w:r>
          </w:p>
        </w:tc>
        <w:tc>
          <w:tcPr>
            <w:tcW w:w="0" w:type="dxa"/>
            <w:vAlign w:val="bottom"/>
          </w:tcPr>
          <w:p>
            <w:pPr>
              <w:spacing w:after="0"/>
              <w:rPr>
                <w:sz w:val="1"/>
                <w:szCs w:val="1"/>
                <w:color w:val="auto"/>
              </w:rPr>
            </w:pPr>
          </w:p>
        </w:tc>
      </w:tr>
      <w:tr>
        <w:trPr>
          <w:trHeight w:val="210"/>
        </w:trPr>
        <w:tc>
          <w:tcPr>
            <w:tcW w:w="4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33,808</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204"/>
        </w:trPr>
        <w:tc>
          <w:tcPr>
            <w:tcW w:w="4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76,604</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0" w:type="dxa"/>
            <w:vAlign w:val="bottom"/>
          </w:tcPr>
          <w:p>
            <w:pPr>
              <w:spacing w:after="0"/>
              <w:rPr>
                <w:sz w:val="1"/>
                <w:szCs w:val="1"/>
                <w:color w:val="auto"/>
              </w:rPr>
            </w:pPr>
          </w:p>
        </w:tc>
      </w:tr>
      <w:tr>
        <w:trPr>
          <w:trHeight w:val="208"/>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7,428</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33"/>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6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Pr>
          <w:p>
            <w:pPr>
              <w:spacing w:after="0"/>
              <w:rPr>
                <w:sz w:val="18"/>
                <w:szCs w:val="18"/>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to compute earnings per common share: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79,536,601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78,028,254</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81,313,588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80,056,024</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1" w:lineRule="exact"/>
        <w:rPr>
          <w:sz w:val="20"/>
          <w:szCs w:val="20"/>
          <w:color w:val="auto"/>
        </w:rPr>
      </w:pPr>
    </w:p>
    <w:tbl>
      <w:tblPr>
        <w:tblLayout w:type="fixed"/>
        <w:tblInd w:w="162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07"/>
        </w:trPr>
        <w:tc>
          <w:tcPr>
            <w:tcW w:w="45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r>
      <w:tr>
        <w:trPr>
          <w:trHeight w:val="207"/>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r>
      <w:tr>
        <w:trPr>
          <w:trHeight w:val="210"/>
        </w:trPr>
        <w:tc>
          <w:tcPr>
            <w:tcW w:w="4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currency translation adjustments</w:t>
            </w: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w:t>
            </w:r>
          </w:p>
        </w:tc>
      </w:tr>
      <w:tr>
        <w:trPr>
          <w:trHeight w:val="206"/>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8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28,698</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14,496</w:t>
            </w:r>
          </w:p>
        </w:tc>
      </w:tr>
      <w:tr>
        <w:trPr>
          <w:trHeight w:val="20"/>
        </w:trPr>
        <w:tc>
          <w:tcPr>
            <w:tcW w:w="4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79,359</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1,695,339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(377,630)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1,309,576</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plan (ESPP)</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(9,364)</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12,384</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28,707</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3"/>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1,344,406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77,773</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1,655,961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1,175,966</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(9,451)</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10,753</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0" w:type="dxa"/>
            <w:vAlign w:val="bottom"/>
          </w:tcPr>
          <w:p>
            <w:pPr>
              <w:spacing w:after="0"/>
              <w:rPr>
                <w:sz w:val="1"/>
                <w:szCs w:val="1"/>
                <w:color w:val="auto"/>
              </w:rPr>
            </w:pPr>
          </w:p>
        </w:tc>
      </w:tr>
      <w:tr>
        <w:trPr>
          <w:trHeight w:val="233"/>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1,660,435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1,194,936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60" w:type="dxa"/>
            <w:vAlign w:val="bottom"/>
            <w:gridSpan w:val="4"/>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28,707</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7,047</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10,958</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discount on short-term investments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(7,053)</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7,120</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(49,999)</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(127,961)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(51,818)</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(9,451)</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w:t>
            </w: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(6,484)</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Decrease in cash, cash equivalents and restricted cash</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(52,940)</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(52,866)</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364,226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240,631</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0" w:type="dxa"/>
            <w:vAlign w:val="bottom"/>
          </w:tcPr>
          <w:p>
            <w:pPr>
              <w:spacing w:after="0"/>
              <w:rPr>
                <w:sz w:val="12"/>
                <w:szCs w:val="12"/>
                <w:color w:val="auto"/>
              </w:rPr>
            </w:pPr>
          </w:p>
        </w:tc>
        <w:tc>
          <w:tcPr>
            <w:tcW w:w="7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 and accrued liability</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310"/>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8"/>
                <w:szCs w:val="18"/>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362,578</w:t>
            </w: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264,793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Summary of Significant Accounting Policies</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provides clinicians with tests for patients with, or potentially facing, a cancer diagnosis. Veracyte's tests are used by clinicians for diagnostic, prognostic, predictive and treatment decisions, as well as the detection of disease recurrence.</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headquarters are in South San Francisco, California, and it has operations in San Diego, California, Austin, Texas, and Haifa, Israel.</w:t>
      </w:r>
    </w:p>
    <w:p>
      <w:pPr>
        <w:spacing w:after="0" w:line="24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currently offers tests in prostate cancer (Decipher Prostate); thyroid cancer (Afirma); breast cancer (Prosigna); and bladder cancer (Decipher Bladder).</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in vitro diagnostic, or IVD, test.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March 31, 2026, the condensed consolidated statements of operations for the three months ended March 31, 2026 and 2025, the condensed consolidated statements of comprehensive income for the three months ended March 31, 2026 and 2025, the condensed consolidated statements of stockholders' equity for the three months ended March 31, 2026 and 2025, and the condensed consolidated statements of cash flows for the three months ended March 31, 2026 and 2025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2025 has been derived from audited financial statements. The results for the three months ended March 31, 2026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21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Effective August 1, 2025, the Company ceased to have a controlling financial interest in its wholly-owned French subsidiary, Veracyte SAS. Accordingly, the Company derecognized the related assets and liabilities from its condensed consolidated financial statements. Prior to deconsolidation, the operating results and cash flows of Veracyte SAS were included in the Company’s condensed consolidated financial statements.</w:t>
      </w:r>
    </w:p>
    <w:p>
      <w:pPr>
        <w:spacing w:after="0" w:line="17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current period presentation of the Company’s condensed consolidated financial statements and accompanying notes. Such reclassifications have no effect on previously reported results of operations, accumulated deficit, subtotals of operating, investing or financing cash flows or consolidated balance sheet totals; however, for the three months ended March 31, 2025, the Company reclassified $0.9 million of amortization of discount on short-term investments from the changes in other assets caption in the condensed consolidated statements of cash flow to a separate caption, amortization of discount on short-term investments, within the operating activities section.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U.S.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the estimation of the fair value of intangible assets and contingent consideration; stock-based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three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CLIA test reagents, IVD products and associated systems, as well as the systems service and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Through March 31, 2026, the Company has derived most of its revenue from the sale of Decipher Prostate and Afirma testing. To date, Decipher Prostate and Afirma testing have been delivered primarily to physicians in the United States.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as of March 31, 2026.</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total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180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354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4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31"/>
        </w:trPr>
        <w:tc>
          <w:tcPr>
            <w:tcW w:w="4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right="20" w:firstLine="399"/>
        <w:spacing w:after="0" w:line="275" w:lineRule="auto"/>
        <w:rPr>
          <w:sz w:val="20"/>
          <w:szCs w:val="20"/>
          <w:color w:val="auto"/>
        </w:rPr>
      </w:pPr>
      <w:r>
        <w:rPr>
          <w:rFonts w:ascii="Times New Roman" w:cs="Times New Roman" w:eastAsia="Times New Roman" w:hAnsi="Times New Roman"/>
          <w:sz w:val="18"/>
          <w:szCs w:val="18"/>
          <w:color w:val="auto"/>
        </w:rPr>
        <w:t>In the above table, Medicare Advantage plans are included with their associated private payer amounts and Medicare amounts do not include Medicare Advantage.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8"/>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maturities at the time of purchase of three months or less to be cash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2" w:lineRule="exact"/>
        <w:rPr>
          <w:sz w:val="20"/>
          <w:szCs w:val="20"/>
          <w:color w:val="auto"/>
        </w:rPr>
      </w:pPr>
    </w:p>
    <w:p>
      <w:pPr>
        <w:jc w:val="both"/>
        <w:ind w:firstLine="319"/>
        <w:spacing w:after="0" w:line="270" w:lineRule="auto"/>
        <w:rPr>
          <w:sz w:val="20"/>
          <w:szCs w:val="20"/>
          <w:color w:val="auto"/>
        </w:rPr>
      </w:pPr>
      <w:r>
        <w:rPr>
          <w:rFonts w:ascii="Times New Roman" w:cs="Times New Roman" w:eastAsia="Times New Roman" w:hAnsi="Times New Roman"/>
          <w:sz w:val="17"/>
          <w:szCs w:val="17"/>
          <w:color w:val="auto"/>
        </w:rPr>
        <w:t>The Company's short-term investments consist of United States treasury securities and certificates of deposit with maturities at the time of purchase that were between three months and one year. The Company classifies these investments as held-to-maturity debt securities, which are reported at amortized cost. Discounts or premiums from the purchase of the securities are recognized as a component of interest income in other income, net in the consolidated statements of operations. Investments are initially recorded net of an allowance for expected credit losses, if any, which are remeasured each period and any impairments are recognized as an expense. Unrealized gains and losses are not recognized in income. As of both March 31, 2026 and December 31, 2025, no allowances for expected credit losses had been recorded and there have been no impairment or credit losses on the Company's short-term investments.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had deposits of $1.7 million and $1.6 million included in long-term assets as of March 31, 2026 and December 31, 2025, respectively, restricted from withdrawal and held by banks in the form of collateral for irrevocable standby letters of credit held as security for the Company's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the Financial Accounting Standards Board, or FASB, Accounting Standards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3"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recognizes testing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order the test. The Company identifies each sale of its test to a customer as a single performance obligation. A stated contract price does not exist and the transaction price for each implied contract with a customer represents variable consideration. The Company uses the expected value method of estimating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three months ended March 31, 2026 and 2025, the Company recorded $4.2 million and $0.4 million, respectively, resulting from cash collections exceeding the estimated variable consideration related to tests reported in previous years, including revenue received from successful appeals of reimbursement denials, net of recoupments.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3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Company's product revenue primarily consists of the Prosigna IVD breast cancer assay, as well as to a much lesser extent, related diagnostic kits and services. Product revenue from diagnostic kits is generally recognized upon shipment from the contract manufacturer. Shipping and handling costs incurred for product shipments are included in product revenue. Revenue is presented net of the taxes that are collected from customers and remitted to governmental authorities.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$1.1 million at March 31, 2026 and $3.6 million at December 31, 2025. Deferred revenue related to these agreements was $0.7 million at March 31, 2026 and $1.2 million at December 31, 2025. Following the restructuring proceedings affecting Veracyte SAS, as of August 2025 Veracyte SAS no longer provides biopharmaceutical services, contract manufacturing or contract development services. Revenue included in biopharmaceutical and other revenue for the three months ended March 31, 2026 and 2025 was as follows (in thousands of dollars):</w:t>
      </w:r>
    </w:p>
    <w:p>
      <w:pPr>
        <w:spacing w:after="0" w:line="254" w:lineRule="exact"/>
        <w:rPr>
          <w:sz w:val="20"/>
          <w:szCs w:val="20"/>
          <w:color w:val="auto"/>
        </w:rPr>
      </w:pPr>
    </w:p>
    <w:tbl>
      <w:tblPr>
        <w:tblLayout w:type="fixed"/>
        <w:tblInd w:w="178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07"/>
        </w:trPr>
        <w:tc>
          <w:tcPr>
            <w:tcW w:w="42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r>
      <w:tr>
        <w:trPr>
          <w:trHeight w:val="20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Biopharmaceutical revenue</w:t>
            </w:r>
          </w:p>
        </w:tc>
        <w:tc>
          <w:tcPr>
            <w:tcW w:w="1180" w:type="dxa"/>
            <w:vAlign w:val="bottom"/>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w:t>
            </w:r>
          </w:p>
        </w:tc>
      </w:tr>
      <w:tr>
        <w:trPr>
          <w:trHeight w:val="210"/>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11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r>
      <w:tr>
        <w:trPr>
          <w:trHeight w:val="233"/>
        </w:trPr>
        <w:tc>
          <w:tcPr>
            <w:tcW w:w="4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components of the Company's cost of testing revenue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product revenue consists primarily of costs of diagnostic kit components and reagents, labor, delivery costs and royalties for licensed technologies included in the Company's products. Subsequent to the restructuring proceedings affecting Veracyte SAS in August 2025, the costs of diagnostic kit components and reagents and labor costs are paid to a third-party contract manufacturer. The cost of the finished product is recognized in the period the related revenue is recognized.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license or provide access to its assets or laboratory testing services, as well as costs incurred in providing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contracted research and development and manufacturing activities. These costs are mainly composed of compensation, manufacturing and laboratory supplies, and pass-through costs. Following the restructuring proceedings affecting Veracyte SAS, as of August 2025 Veracyte SAS no longer provides biopharmaceutical services, contract manufacturing or contract development services.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or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Disclosures (Subtopic 220-40): Disaggregation of Income Statement Expenses. </w:t>
      </w:r>
      <w:r>
        <w:rPr>
          <w:rFonts w:ascii="Times New Roman" w:cs="Times New Roman" w:eastAsia="Times New Roman" w:hAnsi="Times New Roman"/>
          <w:sz w:val="18"/>
          <w:szCs w:val="18"/>
          <w:color w:val="auto"/>
        </w:rPr>
        <w:t>ASU 2024-03 will require public business entities to disclose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ASU 2024-03 is effective for annual reporting periods beginning after December 15, 2026, and interim reporting periods beginning after December 15, 2027, and may be applied either prospectively or retrospectively. Early adoption is permitted. The Company is currently evaluating the impact of adopting this guidance on the consolidated financial statements.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Income Per Common Share</w:t>
      </w:r>
    </w:p>
    <w:p>
      <w:pPr>
        <w:spacing w:after="0" w:line="2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Basic earnings per share, or EPS, is computed based on the weighted average number of common shares outstanding during the period. Diluted EPS is computed based on the sum of the weighted average number of common shares and potentially dilutive common shares outstanding during the period. In loss periods, basic and diluted loss per share are identical since the effect of potentially dilutive common shares is antidilutive and therefore excluded. Potentially dilutive common shares from equity awards are determined using the average share price for each period under the treasury stock method. In addition, proceeds from exercises of equity awards and the average amount of unrecognized compensation expense for equity awards are assumed to be used to repurchase shares. The following table sets forth the computation of basic and diluted EPS (in thousands, except per-share amounts):</w:t>
      </w:r>
    </w:p>
    <w:p>
      <w:pPr>
        <w:spacing w:after="0" w:line="254" w:lineRule="exact"/>
        <w:rPr>
          <w:sz w:val="20"/>
          <w:szCs w:val="20"/>
          <w:color w:val="auto"/>
        </w:rPr>
      </w:pPr>
    </w:p>
    <w:tbl>
      <w:tblPr>
        <w:tblLayout w:type="fixed"/>
        <w:tblInd w:w="1460" w:type="dxa"/>
        <w:tblCellMar>
          <w:top w:w="0" w:type="dxa"/>
          <w:left w:w="0" w:type="dxa"/>
          <w:bottom w:w="0" w:type="dxa"/>
          <w:right w:w="0" w:type="dxa"/>
        </w:tblCellMar>
      </w:tblPr>
      <w:tr>
        <w:trPr>
          <w:trHeight w:val="213"/>
        </w:trPr>
        <w:tc>
          <w:tcPr>
            <w:tcW w:w="5280" w:type="dxa"/>
            <w:vAlign w:val="bottom"/>
          </w:tcPr>
          <w:p>
            <w:pPr>
              <w:spacing w:after="0"/>
              <w:rPr>
                <w:sz w:val="18"/>
                <w:szCs w:val="18"/>
                <w:color w:val="auto"/>
              </w:rPr>
            </w:pPr>
          </w:p>
        </w:tc>
        <w:tc>
          <w:tcPr>
            <w:tcW w:w="306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 for basic and diluted EPS — net income (A)</w:t>
            </w: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 for basic EPS — weighted average shares (B)</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78,028</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potentially dilutive common stock from:</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stock units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8"/>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0" w:type="dxa"/>
            <w:vAlign w:val="bottom"/>
          </w:tcPr>
          <w:p>
            <w:pPr>
              <w:spacing w:after="0"/>
              <w:rPr>
                <w:sz w:val="1"/>
                <w:szCs w:val="1"/>
                <w:color w:val="auto"/>
              </w:rPr>
            </w:pPr>
          </w:p>
        </w:tc>
      </w:tr>
      <w:tr>
        <w:trPr>
          <w:trHeight w:val="140"/>
        </w:trPr>
        <w:tc>
          <w:tcPr>
            <w:tcW w:w="5280" w:type="dxa"/>
            <w:vAlign w:val="bottom"/>
          </w:tcPr>
          <w:p>
            <w:pPr>
              <w:ind w:left="20"/>
              <w:spacing w:after="0" w:line="140" w:lineRule="exact"/>
              <w:rPr>
                <w:sz w:val="20"/>
                <w:szCs w:val="20"/>
                <w:color w:val="auto"/>
              </w:rPr>
            </w:pPr>
            <w:r>
              <w:rPr>
                <w:rFonts w:ascii="Times New Roman" w:cs="Times New Roman" w:eastAsia="Times New Roman" w:hAnsi="Times New Roman"/>
                <w:sz w:val="16"/>
                <w:szCs w:val="16"/>
                <w:color w:val="auto"/>
              </w:rPr>
              <w:t>Denominator for diluted EPS — adjusted weighted average shares and assumed</w:t>
            </w:r>
          </w:p>
        </w:tc>
        <w:tc>
          <w:tcPr>
            <w:tcW w:w="94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81,314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80,056</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conversions (C)</w:t>
            </w:r>
          </w:p>
        </w:tc>
        <w:tc>
          <w:tcPr>
            <w:tcW w:w="9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 (A / B)</w:t>
            </w:r>
          </w:p>
        </w:tc>
        <w:tc>
          <w:tcPr>
            <w:tcW w:w="94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 (A / C)</w:t>
            </w: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equivalent shares excluded from the dilutive calculation due to</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effect: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5"/>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stock units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6"/>
        </w:trPr>
        <w:tc>
          <w:tcPr>
            <w:tcW w:w="5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Anti-dilutive potential common shares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Goodwill was $767.2 million as of both March 31, 2026 and December 31, 2025. The Company has not recorded any impairment related to goodwill.</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4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3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126"/>
        </w:trPr>
        <w:tc>
          <w:tcPr>
            <w:tcW w:w="3220" w:type="dxa"/>
            <w:vAlign w:val="bottom"/>
          </w:tcPr>
          <w:p>
            <w:pPr>
              <w:spacing w:after="0"/>
              <w:rPr>
                <w:sz w:val="10"/>
                <w:szCs w:val="10"/>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86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0"/>
                <w:szCs w:val="10"/>
                <w:color w:val="auto"/>
              </w:rPr>
            </w:pPr>
          </w:p>
        </w:tc>
        <w:tc>
          <w:tcPr>
            <w:tcW w:w="96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3"/>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13"/>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87"/>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2,449</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8.7</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53,742</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6.3</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C2i developed technology</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25,300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22,067</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12.8</w:t>
            </w:r>
          </w:p>
        </w:tc>
        <w:tc>
          <w:tcPr>
            <w:tcW w:w="0" w:type="dxa"/>
            <w:vAlign w:val="bottom"/>
          </w:tcPr>
          <w:p>
            <w:pPr>
              <w:spacing w:after="0"/>
              <w:rPr>
                <w:sz w:val="1"/>
                <w:szCs w:val="1"/>
                <w:color w:val="auto"/>
              </w:rPr>
            </w:pPr>
          </w:p>
        </w:tc>
      </w:tr>
      <w:tr>
        <w:trPr>
          <w:trHeight w:val="204"/>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finite-lived intangibles</w:t>
            </w:r>
          </w:p>
        </w:tc>
        <w:tc>
          <w:tcPr>
            <w:tcW w:w="20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146,720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146,720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82,948</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8.0</w:t>
            </w:r>
          </w:p>
        </w:tc>
        <w:tc>
          <w:tcPr>
            <w:tcW w:w="0" w:type="dxa"/>
            <w:vAlign w:val="bottom"/>
          </w:tcPr>
          <w:p>
            <w:pPr>
              <w:spacing w:after="0"/>
              <w:rPr>
                <w:sz w:val="1"/>
                <w:szCs w:val="1"/>
                <w:color w:val="auto"/>
              </w:rPr>
            </w:pPr>
          </w:p>
        </w:tc>
      </w:tr>
      <w:tr>
        <w:trPr>
          <w:trHeight w:val="21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152,920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(67,057)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85,863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152,920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(63,772)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89,148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Acquisition-related intangibles are generally finite-lived and are carried at cost less accumulated amortization. Amortization of the finite-lived intangible assets is recognized on a straight-line basis over their estimated lives, which approximates the pattern in which the economic benefits of the intangible assets are expected to be realized.</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Amortization expense of $3.3 million and $3.2 million was recognized for the three months ended March 31, 2026 and 2025, respectively.</w:t>
      </w:r>
    </w:p>
    <w:p>
      <w:pPr>
        <w:spacing w:after="0" w:line="2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March 31, 2026 is as follows (in thousands of dollars):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remainder of year</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9,386</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12,515</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12,515</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12,515</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11,715</w:t>
            </w:r>
          </w:p>
        </w:tc>
      </w:tr>
      <w:tr>
        <w:trPr>
          <w:trHeight w:val="21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21,017</w:t>
            </w:r>
          </w:p>
        </w:tc>
      </w:tr>
      <w:tr>
        <w:trPr>
          <w:trHeight w:val="23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79,663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27,459</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21,342</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48,801</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84455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2" w:lineRule="exact"/>
        <w:rPr>
          <w:rFonts w:ascii="Times New Roman" w:cs="Times New Roman" w:eastAsia="Times New Roman" w:hAnsi="Times New Roman"/>
          <w:sz w:val="18"/>
          <w:szCs w:val="18"/>
          <w:color w:val="auto"/>
        </w:rPr>
      </w:pPr>
    </w:p>
    <w:p>
      <w:pPr>
        <w:jc w:val="both"/>
        <w:ind w:left="800" w:hanging="315"/>
        <w:spacing w:after="0" w:line="261"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69"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5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 treasury bills, money market funds and deposits for leases of the Company's facilities. As of March 31, 2026 and December 31, 2025, the Company had the following financial instruments measured at fair value (in thousands of dollars):</w:t>
      </w:r>
    </w:p>
    <w:p>
      <w:pPr>
        <w:sectPr>
          <w:pgSz w:w="11900" w:h="16838" w:orient="portrait"/>
          <w:cols w:equalWidth="0" w:num="1">
            <w:col w:w="11240"/>
          </w:cols>
          <w:pgMar w:left="320" w:top="121" w:right="339" w:bottom="1440" w:gutter="0" w:footer="0" w:header="0"/>
        </w:sect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31, 2026</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Assets</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Money market funds</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Treasury bills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Certificates of deposit</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Deposits for the leases</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assets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Liabilities</w:t>
      </w:r>
    </w:p>
    <w:p>
      <w:pPr>
        <w:spacing w:after="0" w:line="29" w:lineRule="exact"/>
        <w:rPr>
          <w:sz w:val="20"/>
          <w:szCs w:val="20"/>
          <w:color w:val="auto"/>
        </w:rPr>
      </w:pPr>
    </w:p>
    <w:p>
      <w:pPr>
        <w:ind w:left="140"/>
        <w:spacing w:after="0" w:line="239" w:lineRule="auto"/>
        <w:rPr>
          <w:sz w:val="20"/>
          <w:szCs w:val="20"/>
          <w:color w:val="auto"/>
        </w:rPr>
      </w:pPr>
      <w:r>
        <w:rPr>
          <w:rFonts w:ascii="Times New Roman" w:cs="Times New Roman" w:eastAsia="Times New Roman" w:hAnsi="Times New Roman"/>
          <w:sz w:val="16"/>
          <w:szCs w:val="16"/>
          <w:color w:val="auto"/>
        </w:rPr>
        <w:t>Acquisition-related contingent consideration</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Assets</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Money market funds</w:t>
      </w: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Treasury bills</w:t>
      </w:r>
    </w:p>
    <w:p>
      <w:pPr>
        <w:spacing w:after="0" w:line="1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Treasury bills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Deposits for the leases</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Total assets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Liabilities</w:t>
      </w:r>
    </w:p>
    <w:p>
      <w:pPr>
        <w:spacing w:after="0" w:line="29" w:lineRule="exact"/>
        <w:rPr>
          <w:sz w:val="20"/>
          <w:szCs w:val="20"/>
          <w:color w:val="auto"/>
        </w:rPr>
      </w:pPr>
    </w:p>
    <w:p>
      <w:pPr>
        <w:ind w:left="140"/>
        <w:spacing w:after="0" w:line="239" w:lineRule="auto"/>
        <w:rPr>
          <w:sz w:val="20"/>
          <w:szCs w:val="20"/>
          <w:color w:val="auto"/>
        </w:rPr>
      </w:pPr>
      <w:r>
        <w:rPr>
          <w:rFonts w:ascii="Times New Roman" w:cs="Times New Roman" w:eastAsia="Times New Roman" w:hAnsi="Times New Roman"/>
          <w:sz w:val="16"/>
          <w:szCs w:val="16"/>
          <w:color w:val="auto"/>
        </w:rPr>
        <w:t>Acquisition-related contingent consideration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Sheet Line</w:t>
            </w:r>
          </w:p>
        </w:tc>
        <w:tc>
          <w:tcPr>
            <w:tcW w:w="200" w:type="dxa"/>
            <w:vAlign w:val="bottom"/>
          </w:tcPr>
          <w:p>
            <w:pPr>
              <w:spacing w:after="0"/>
              <w:rPr>
                <w:sz w:val="18"/>
                <w:szCs w:val="18"/>
                <w:color w:val="auto"/>
              </w:rPr>
            </w:pP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Recorded Method</w:t>
            </w:r>
          </w:p>
        </w:tc>
        <w:tc>
          <w:tcPr>
            <w:tcW w:w="0" w:type="dxa"/>
            <w:vAlign w:val="bottom"/>
          </w:tcPr>
          <w:p>
            <w:pPr>
              <w:spacing w:after="0"/>
              <w:rPr>
                <w:sz w:val="1"/>
                <w:szCs w:val="1"/>
                <w:color w:val="auto"/>
              </w:rPr>
            </w:pPr>
          </w:p>
        </w:tc>
      </w:tr>
      <w:tr>
        <w:trPr>
          <w:trHeight w:val="368"/>
        </w:trPr>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29,659</w:t>
            </w:r>
          </w:p>
        </w:tc>
        <w:tc>
          <w:tcPr>
            <w:tcW w:w="2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29,659</w:t>
            </w:r>
          </w:p>
        </w:tc>
        <w:tc>
          <w:tcPr>
            <w:tcW w:w="20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28"/>
        </w:trPr>
        <w:tc>
          <w:tcPr>
            <w:tcW w:w="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100,924</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204"/>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132,240</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207,240</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200" w:type="dxa"/>
            <w:vAlign w:val="bottom"/>
          </w:tcPr>
          <w:p>
            <w:pPr>
              <w:spacing w:after="0"/>
              <w:rPr>
                <w:sz w:val="24"/>
                <w:szCs w:val="24"/>
                <w:color w:val="auto"/>
              </w:rPr>
            </w:pP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20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Acquisition-related</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28"/>
        </w:trPr>
        <w:tc>
          <w:tcPr>
            <w:tcW w:w="1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-916940</wp:posOffset>
            </wp:positionV>
            <wp:extent cx="6982460" cy="135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2460" cy="135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-646430</wp:posOffset>
            </wp:positionV>
            <wp:extent cx="6982460" cy="135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82460" cy="135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-367665</wp:posOffset>
            </wp:positionV>
            <wp:extent cx="6982460"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82460" cy="135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-1296670</wp:posOffset>
            </wp:positionV>
            <wp:extent cx="6982460" cy="143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2460" cy="143510"/>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Sheet Line</w:t>
            </w:r>
          </w:p>
        </w:tc>
        <w:tc>
          <w:tcPr>
            <w:tcW w:w="200" w:type="dxa"/>
            <w:vAlign w:val="bottom"/>
          </w:tcPr>
          <w:p>
            <w:pPr>
              <w:spacing w:after="0"/>
              <w:rPr>
                <w:sz w:val="18"/>
                <w:szCs w:val="18"/>
                <w:color w:val="auto"/>
              </w:rPr>
            </w:pP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Recorded Method</w:t>
            </w:r>
          </w:p>
        </w:tc>
        <w:tc>
          <w:tcPr>
            <w:tcW w:w="0" w:type="dxa"/>
            <w:vAlign w:val="bottom"/>
          </w:tcPr>
          <w:p>
            <w:pPr>
              <w:spacing w:after="0"/>
              <w:rPr>
                <w:sz w:val="1"/>
                <w:szCs w:val="1"/>
                <w:color w:val="auto"/>
              </w:rPr>
            </w:pPr>
          </w:p>
        </w:tc>
      </w:tr>
      <w:tr>
        <w:trPr>
          <w:trHeight w:val="368"/>
        </w:trPr>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29,300</w:t>
            </w:r>
          </w:p>
        </w:tc>
        <w:tc>
          <w:tcPr>
            <w:tcW w:w="2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29,300</w:t>
            </w:r>
          </w:p>
        </w:tc>
        <w:tc>
          <w:tcPr>
            <w:tcW w:w="20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28"/>
        </w:trPr>
        <w:tc>
          <w:tcPr>
            <w:tcW w:w="1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50,300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50,300</w:t>
            </w:r>
          </w:p>
        </w:tc>
        <w:tc>
          <w:tcPr>
            <w:tcW w:w="200" w:type="dxa"/>
            <w:vAlign w:val="bottom"/>
          </w:tcPr>
          <w:p>
            <w:pPr>
              <w:spacing w:after="0"/>
              <w:rPr>
                <w:sz w:val="14"/>
                <w:szCs w:val="14"/>
                <w:color w:val="auto"/>
              </w:rPr>
            </w:pPr>
          </w:p>
        </w:tc>
        <w:tc>
          <w:tcPr>
            <w:tcW w:w="184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auto"/>
              </w:rPr>
              <w:t>Cash and cash</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equivalents</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50,311</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20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204"/>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131,559</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131,559</w:t>
            </w: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7"/>
        </w:trPr>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200" w:type="dxa"/>
            <w:vAlign w:val="bottom"/>
          </w:tcPr>
          <w:p>
            <w:pPr>
              <w:spacing w:after="0"/>
              <w:rPr>
                <w:sz w:val="24"/>
                <w:szCs w:val="24"/>
                <w:color w:val="auto"/>
              </w:rPr>
            </w:pPr>
          </w:p>
        </w:tc>
        <w:tc>
          <w:tcPr>
            <w:tcW w:w="2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20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Acquisition-related</w:t>
            </w:r>
          </w:p>
        </w:tc>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0" w:type="dxa"/>
            <w:vAlign w:val="bottom"/>
          </w:tcPr>
          <w:p>
            <w:pPr>
              <w:spacing w:after="0"/>
              <w:rPr>
                <w:sz w:val="1"/>
                <w:szCs w:val="1"/>
                <w:color w:val="auto"/>
              </w:rPr>
            </w:pPr>
          </w:p>
        </w:tc>
      </w:tr>
      <w:tr>
        <w:trPr>
          <w:trHeight w:val="128"/>
        </w:trPr>
        <w:tc>
          <w:tcPr>
            <w:tcW w:w="18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-1017905</wp:posOffset>
            </wp:positionV>
            <wp:extent cx="6982460" cy="236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2460" cy="2362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-646430</wp:posOffset>
            </wp:positionV>
            <wp:extent cx="6982460" cy="135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82460" cy="135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-367665</wp:posOffset>
            </wp:positionV>
            <wp:extent cx="6982460" cy="13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82460" cy="13525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-1398270</wp:posOffset>
            </wp:positionV>
            <wp:extent cx="6982460" cy="143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2460" cy="143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660"/>
            <w:col w:w="85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transfers between Levels 1, 2 or 3 for the three months ended March 31, 2026 and 2025.</w:t>
      </w:r>
    </w:p>
    <w:p>
      <w:pPr>
        <w:spacing w:after="0" w:line="218"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of March 31, 2026 and December 31, 2025, the contingent consideration related to the acquisition of the exclusive global diagnostic license to the nCounter Analysis System was remeasured to $1.2 million and $1.6 million, respectively. For the three months ended March 31, 2026 and 2025, reversal of expense of $0.4 million and zero, respectively, was recorded. As of March 31, 2026, the achievement of one of the milestones is forecasted to occur within the next 12 months. As a result, $1.0 million of the contingent consideration is included in short term liabilities at March 31, 2026.</w:t>
      </w:r>
    </w:p>
    <w:p>
      <w:pPr>
        <w:spacing w:after="0" w:line="20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fair value of contingent consideration includes inputs that are not observable in the market.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March 31, 2026 and December 31, 2025, the Company calculated the estimated fair value of the milestones using the following significant unobservable inputs: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10"/>
        </w:trPr>
        <w:tc>
          <w:tcPr>
            <w:tcW w:w="742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7"/>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4.8%</w:t>
            </w:r>
          </w:p>
        </w:tc>
      </w:tr>
      <w:tr>
        <w:trPr>
          <w:trHeight w:val="20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4% - 30% (25%)</w:t>
            </w:r>
          </w:p>
        </w:tc>
        <w:tc>
          <w:tcPr>
            <w:tcW w:w="100" w:type="dxa"/>
            <w:vAlign w:val="bottom"/>
          </w:tcPr>
          <w:p>
            <w:pPr>
              <w:spacing w:after="0"/>
              <w:rPr>
                <w:sz w:val="18"/>
                <w:szCs w:val="18"/>
                <w:color w:val="auto"/>
              </w:rPr>
            </w:pPr>
          </w:p>
        </w:tc>
        <w:tc>
          <w:tcPr>
            <w:tcW w:w="18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4% - 40% (34%)</w:t>
            </w:r>
          </w:p>
        </w:tc>
      </w:tr>
    </w:tbl>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 Held-to-Maturity</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Company's short-term investments consist of United States treasury securities and certificates of deposit with maturities, at the time of purchase, that were between three months and one year. Based upon the Company's intent and ability to hold its short-term investments to maturity, the Company classified these investments as held-to-maturity and recorded them at amortized cost. As of March 31, 2026 and December 31, 2025, the Company had the following short-term investments (in thousands of dollars):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120" w:type="dxa"/>
            <w:vAlign w:val="bottom"/>
          </w:tcPr>
          <w:p>
            <w:pPr>
              <w:spacing w:after="0"/>
              <w:rPr>
                <w:sz w:val="13"/>
                <w:szCs w:val="13"/>
                <w:color w:val="auto"/>
              </w:rPr>
            </w:pPr>
          </w:p>
        </w:tc>
        <w:tc>
          <w:tcPr>
            <w:tcW w:w="15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260" w:type="dxa"/>
            <w:vAlign w:val="bottom"/>
          </w:tcPr>
          <w:p>
            <w:pPr>
              <w:spacing w:after="0"/>
              <w:rPr>
                <w:sz w:val="13"/>
                <w:szCs w:val="13"/>
                <w:color w:val="auto"/>
              </w:rPr>
            </w:pPr>
          </w:p>
        </w:tc>
        <w:tc>
          <w:tcPr>
            <w:tcW w:w="136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Holding Gains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bills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100,981</w:t>
            </w:r>
          </w:p>
        </w:tc>
        <w:tc>
          <w:tcPr>
            <w:tcW w:w="0" w:type="dxa"/>
            <w:vAlign w:val="bottom"/>
          </w:tcPr>
          <w:p>
            <w:pPr>
              <w:spacing w:after="0"/>
              <w:rPr>
                <w:sz w:val="1"/>
                <w:szCs w:val="1"/>
                <w:color w:val="auto"/>
              </w:rPr>
            </w:pP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Certificates of deposit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74,875</w:t>
            </w:r>
          </w:p>
        </w:tc>
        <w:tc>
          <w:tcPr>
            <w:tcW w:w="0" w:type="dxa"/>
            <w:vAlign w:val="bottom"/>
          </w:tcPr>
          <w:p>
            <w:pPr>
              <w:spacing w:after="0"/>
              <w:rPr>
                <w:sz w:val="1"/>
                <w:szCs w:val="1"/>
                <w:color w:val="auto"/>
              </w:rPr>
            </w:pPr>
          </w:p>
        </w:tc>
      </w:tr>
      <w:tr>
        <w:trPr>
          <w:trHeight w:val="208"/>
        </w:trPr>
        <w:tc>
          <w:tcPr>
            <w:tcW w:w="4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175,924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175,856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jc w:val="right"/>
              <w:ind w:right="12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120" w:type="dxa"/>
            <w:vAlign w:val="bottom"/>
          </w:tcPr>
          <w:p>
            <w:pPr>
              <w:spacing w:after="0"/>
              <w:rPr>
                <w:sz w:val="13"/>
                <w:szCs w:val="13"/>
                <w:color w:val="auto"/>
              </w:rPr>
            </w:pPr>
          </w:p>
        </w:tc>
        <w:tc>
          <w:tcPr>
            <w:tcW w:w="1760" w:type="dxa"/>
            <w:vAlign w:val="bottom"/>
            <w:gridSpan w:val="3"/>
          </w:tcPr>
          <w:p>
            <w:pPr>
              <w:jc w:val="center"/>
              <w:ind w:right="4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1360" w:type="dxa"/>
            <w:vAlign w:val="bottom"/>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1"/>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Holding Gains</w:t>
            </w:r>
          </w:p>
        </w:tc>
        <w:tc>
          <w:tcPr>
            <w:tcW w:w="12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Holding Losses</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bills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 leases office and laboratory facilities in the U.S., including in South San Francisco and San Diego, California and Austin, Texas, and, prior to August 2025, in Marseille, France. Effective August 2025, in connection with the restructuring proceeding in Veracyte SAS, the Company is no longer a party to the lease in Marseille, France. The lease terms of the Company’s leases as of March 31, 2026 extend to March 2040 and contain extension of lease terms and expansion options. The leases have a weighted average remaining lease term of 11.0 years as of March 31, 2026. The Company had deposits of $1.7 million and $1.6 million included in long-term assets as of March 31, 2026 and December 31,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restricted from withdrawal and held by banks in the form of collateral for irrevocable standby letters of credit held as security for the leases.</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its operating lease liabilities using payments through their current expiration dates and a weighted average discount rate of 11.4%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the Company classified its deferred rent for tenant improvements with its operating lease right-of-use assets on the consolidated balance sheets.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March 31, 2026 are as follows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6,999</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7,055</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40,405</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71,442</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32,109</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39,333</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short-term lease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4,347</w:t>
            </w:r>
          </w:p>
        </w:tc>
      </w:tr>
      <w:tr>
        <w:trPr>
          <w:trHeight w:val="233"/>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34,986</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160"/>
        </w:trPr>
        <w:tc>
          <w:tcPr>
            <w:tcW w:w="440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Cash paid for amounts included in the measurement of lease</w:t>
            </w:r>
          </w:p>
        </w:tc>
        <w:tc>
          <w:tcPr>
            <w:tcW w:w="32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tcPr>
          <w:p>
            <w:pPr>
              <w:spacing w:after="0"/>
              <w:rPr>
                <w:sz w:val="13"/>
                <w:szCs w:val="13"/>
                <w:color w:val="auto"/>
              </w:rPr>
            </w:pPr>
          </w:p>
        </w:tc>
        <w:tc>
          <w:tcPr>
            <w:tcW w:w="38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0" w:type="dxa"/>
            <w:vAlign w:val="bottom"/>
          </w:tcPr>
          <w:p>
            <w:pPr>
              <w:spacing w:after="0"/>
              <w:rPr>
                <w:sz w:val="1"/>
                <w:szCs w:val="1"/>
                <w:color w:val="auto"/>
              </w:rPr>
            </w:pPr>
          </w:p>
        </w:tc>
      </w:tr>
      <w:tr>
        <w:trPr>
          <w:trHeight w:val="208"/>
        </w:trPr>
        <w:tc>
          <w:tcPr>
            <w:tcW w:w="4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liabilities</w:t>
            </w:r>
          </w:p>
        </w:tc>
        <w:tc>
          <w:tcPr>
            <w:tcW w:w="32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49"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various legal proceedings and claims arising in the ordinary course of business. Although the outcomes of such matters cannot be predicted with certainty, the Company believes there is no litigation pending that could have, either individually or in the aggregate, a material adverse impact on the Company's consolidated financial statements.</w:t>
      </w:r>
    </w:p>
    <w:p>
      <w:pPr>
        <w:spacing w:after="0" w:line="202" w:lineRule="exact"/>
        <w:rPr>
          <w:sz w:val="20"/>
          <w:szCs w:val="20"/>
          <w:color w:val="auto"/>
        </w:rPr>
      </w:pPr>
    </w:p>
    <w:p>
      <w:pPr>
        <w:jc w:val="both"/>
        <w:ind w:firstLine="439"/>
        <w:spacing w:after="0" w:line="253" w:lineRule="auto"/>
        <w:rPr>
          <w:sz w:val="20"/>
          <w:szCs w:val="20"/>
          <w:color w:val="auto"/>
        </w:rPr>
      </w:pPr>
      <w:r>
        <w:rPr>
          <w:rFonts w:ascii="Times New Roman" w:cs="Times New Roman" w:eastAsia="Times New Roman" w:hAnsi="Times New Roman"/>
          <w:sz w:val="18"/>
          <w:szCs w:val="18"/>
          <w:color w:val="auto"/>
        </w:rPr>
        <w:t>On May 1, 2025, the Company filed a complaint in federal court in the Eastern District of Texas alleging that Sonic Healthcare USA, Inc., the healthcare company that is believed to offer ThyroSeq v3, is infringing three of the Company’s patents related to molecular testing of thyroid nodules. The complaint seeks treble damages, attorneys’ fees and costs as well as injunctive relief. On June 4, 2025, the Company filed an amended complaint asserting two additional patents. On July 21, 2025, Sonic Healthcare USA, Inc. filed an answer and a motion to dismiss. The court denied Sonic Healthcare USA, Inc.’s motion to dismiss on January 20, 2026. The jury trial is currently scheduled for the first quarter of next year.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5,620,597</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4,806,993</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9,704,039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10,937,821</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798,732</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895,255</w:t>
            </w:r>
          </w:p>
        </w:tc>
      </w:tr>
      <w:tr>
        <w:trPr>
          <w:trHeight w:val="208"/>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16,123,368</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16,640,069</w:t>
            </w:r>
          </w:p>
        </w:tc>
      </w:tr>
      <w:tr>
        <w:trPr>
          <w:trHeight w:val="20"/>
        </w:trPr>
        <w:tc>
          <w:tcPr>
            <w:tcW w:w="7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Components of Other Income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287" w:lineRule="exact"/>
        <w:rPr>
          <w:sz w:val="20"/>
          <w:szCs w:val="20"/>
          <w:color w:val="auto"/>
        </w:rPr>
      </w:pPr>
    </w:p>
    <w:tbl>
      <w:tblPr>
        <w:tblLayout w:type="fixed"/>
        <w:tblInd w:w="170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07"/>
        </w:trPr>
        <w:tc>
          <w:tcPr>
            <w:tcW w:w="44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10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escrow claims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Gain (loss) on currency revaluation</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08"/>
        </w:trPr>
        <w:tc>
          <w:tcPr>
            <w:tcW w:w="4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w:t>
            </w:r>
          </w:p>
        </w:tc>
      </w:tr>
      <w:tr>
        <w:trPr>
          <w:trHeight w:val="20"/>
        </w:trPr>
        <w:tc>
          <w:tcPr>
            <w:tcW w:w="4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Segment</w:t>
      </w:r>
    </w:p>
    <w:p>
      <w:pPr>
        <w:spacing w:after="0" w:line="247" w:lineRule="exact"/>
        <w:rPr>
          <w:sz w:val="20"/>
          <w:szCs w:val="20"/>
          <w:color w:val="auto"/>
        </w:rPr>
      </w:pPr>
    </w:p>
    <w:p>
      <w:pPr>
        <w:jc w:val="both"/>
        <w:ind w:firstLine="439"/>
        <w:spacing w:after="0" w:line="265" w:lineRule="auto"/>
        <w:rPr>
          <w:sz w:val="20"/>
          <w:szCs w:val="20"/>
          <w:color w:val="auto"/>
        </w:rPr>
      </w:pPr>
      <w:r>
        <w:rPr>
          <w:rFonts w:ascii="Times New Roman" w:cs="Times New Roman" w:eastAsia="Times New Roman" w:hAnsi="Times New Roman"/>
          <w:sz w:val="17"/>
          <w:szCs w:val="17"/>
          <w:color w:val="auto"/>
        </w:rPr>
        <w:t>The chief operating decision maker for the Company is the Chief Executive Officer, who reviews financial information presented on a consolidated basis for purposes of allocating resources and assessing financial performance. The Company has a single reporting unit associated with the development and commercialization of diagnostic tests and biopharmaceutical services. The accounting policies of the Company's single segment are the same as those described in the summary of significant accounting policies in Note 1, Organization, Description of Business and Summary of Significant Accounting Policies. The chief operating decision maker assesses performance of the Company's single segment and decides how to allocate resources based on consolidated net income. Under the current organizational structure, this measure is not discretely available or required individually for any of the Company’s business activities and is only available at the consolidated level. The monitoring of budgeted versus actual results are used in assessing performance of the Company's single segment, allocating resources and in establishing management’s compensation. The Company's chief operating decision maker intends for all revenue generating activities to rely on cross-functional activities across the consolidated entity in order to operate. No individual besides the chief operating decision maker has been tasked with reviewing discrete operating results of the business activities, nor is there any intent to bifurcate the overall business review process to produce discrete operating results specific to any of the Company's business activities. The measure of segment assets is reported on the consolidated balance sheet as total consolidated assets. Consolidated revenue does not include any inter-segment sales or transfers.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439"/>
        <w:spacing w:after="0" w:line="275" w:lineRule="auto"/>
        <w:rPr>
          <w:sz w:val="20"/>
          <w:szCs w:val="20"/>
          <w:color w:val="auto"/>
        </w:rPr>
      </w:pPr>
      <w:r>
        <w:rPr>
          <w:rFonts w:ascii="Times New Roman" w:cs="Times New Roman" w:eastAsia="Times New Roman" w:hAnsi="Times New Roman"/>
          <w:sz w:val="18"/>
          <w:szCs w:val="18"/>
          <w:color w:val="auto"/>
        </w:rPr>
        <w:t>Information about reported segment revenue, measures of segment profit or loss, significant segment expenses and reconciliation to income from operations was as follows (in thousands):</w:t>
      </w:r>
    </w:p>
    <w:p>
      <w:pPr>
        <w:spacing w:after="0" w:line="233" w:lineRule="exact"/>
        <w:rPr>
          <w:sz w:val="20"/>
          <w:szCs w:val="20"/>
          <w:color w:val="auto"/>
        </w:rPr>
      </w:pPr>
    </w:p>
    <w:tbl>
      <w:tblPr>
        <w:tblLayout w:type="fixed"/>
        <w:tblInd w:w="178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07"/>
        </w:trPr>
        <w:tc>
          <w:tcPr>
            <w:tcW w:w="42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19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1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Testing revenue</w:t>
            </w:r>
          </w:p>
        </w:tc>
        <w:tc>
          <w:tcPr>
            <w:tcW w:w="1040" w:type="dxa"/>
            <w:vAlign w:val="bottom"/>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135,091</w:t>
            </w:r>
          </w:p>
        </w:tc>
        <w:tc>
          <w:tcPr>
            <w:tcW w:w="100" w:type="dxa"/>
            <w:vAlign w:val="bottom"/>
          </w:tcPr>
          <w:p>
            <w:pPr>
              <w:spacing w:after="0"/>
              <w:rPr>
                <w:sz w:val="18"/>
                <w:szCs w:val="18"/>
                <w:color w:val="auto"/>
              </w:rPr>
            </w:pPr>
          </w:p>
        </w:tc>
        <w:tc>
          <w:tcPr>
            <w:tcW w:w="1060" w:type="dxa"/>
            <w:vAlign w:val="bottom"/>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107,309</w:t>
            </w:r>
          </w:p>
        </w:tc>
      </w:tr>
      <w:tr>
        <w:trPr>
          <w:trHeight w:val="215"/>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revenue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r>
      <w:tr>
        <w:trPr>
          <w:trHeight w:val="210"/>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w:t>
            </w:r>
          </w:p>
        </w:tc>
      </w:tr>
      <w:tr>
        <w:trPr>
          <w:trHeight w:val="208"/>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139,071</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114,473</w:t>
            </w:r>
          </w:p>
        </w:tc>
      </w:tr>
      <w:tr>
        <w:trPr>
          <w:trHeight w:val="190"/>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5"/>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testing revenue: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0"/>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Laboratory supplies and reagents expense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13,067</w:t>
            </w: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Sample collection expense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r>
      <w:tr>
        <w:trPr>
          <w:trHeight w:val="210"/>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w:t>
            </w: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cost of testing revenue (1)</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3,385</w:t>
            </w:r>
          </w:p>
        </w:tc>
      </w:tr>
      <w:tr>
        <w:trPr>
          <w:trHeight w:val="210"/>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3,372</w:t>
            </w:r>
          </w:p>
        </w:tc>
      </w:tr>
      <w:tr>
        <w:trPr>
          <w:trHeight w:val="208"/>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testing revenue</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33,306</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28,260</w:t>
            </w:r>
          </w:p>
        </w:tc>
      </w:tr>
      <w:tr>
        <w:trPr>
          <w:trHeight w:val="19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product revenue:</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 costs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0"/>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cost of product revenue (2)</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10"/>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08"/>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 of product revenue</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r>
      <w:tr>
        <w:trPr>
          <w:trHeight w:val="19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r>
      <w:tr>
        <w:trPr>
          <w:trHeight w:val="210"/>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cost of biopharmaceutical and other revenue (3)</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04"/>
        </w:trPr>
        <w:tc>
          <w:tcPr>
            <w:tcW w:w="4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cost of biopharmaceutical and other revenue</w:t>
            </w:r>
          </w:p>
        </w:tc>
        <w:tc>
          <w:tcPr>
            <w:tcW w:w="10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2,698</w:t>
            </w:r>
          </w:p>
        </w:tc>
      </w:tr>
      <w:tr>
        <w:trPr>
          <w:trHeight w:val="208"/>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r>
      <w:tr>
        <w:trPr>
          <w:trHeight w:val="204"/>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101,159</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79,508</w:t>
            </w:r>
          </w:p>
        </w:tc>
      </w:tr>
      <w:tr>
        <w:trPr>
          <w:trHeight w:val="195"/>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1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w:t>
            </w:r>
          </w:p>
        </w:tc>
      </w:tr>
      <w:tr>
        <w:trPr>
          <w:trHeight w:val="210"/>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w:t>
            </w: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research and development expenses (4)</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r>
      <w:tr>
        <w:trPr>
          <w:trHeight w:val="210"/>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2,016</w:t>
            </w:r>
          </w:p>
        </w:tc>
      </w:tr>
      <w:tr>
        <w:trPr>
          <w:trHeight w:val="208"/>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research and development</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27,098</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17,720</w:t>
            </w:r>
          </w:p>
        </w:tc>
      </w:tr>
      <w:tr>
        <w:trPr>
          <w:trHeight w:val="19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17,635</w:t>
            </w:r>
          </w:p>
        </w:tc>
      </w:tr>
      <w:tr>
        <w:trPr>
          <w:trHeight w:val="210"/>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selling and marketing expenses (5)</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w:t>
            </w:r>
          </w:p>
        </w:tc>
      </w:tr>
      <w:tr>
        <w:trPr>
          <w:trHeight w:val="210"/>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w:t>
            </w:r>
          </w:p>
        </w:tc>
      </w:tr>
      <w:tr>
        <w:trPr>
          <w:trHeight w:val="208"/>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selling and marketing</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27,156</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24,454</w:t>
            </w:r>
          </w:p>
        </w:tc>
      </w:tr>
      <w:tr>
        <w:trPr>
          <w:trHeight w:val="19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expense</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20,173</w:t>
            </w:r>
          </w:p>
        </w:tc>
      </w:tr>
      <w:tr>
        <w:trPr>
          <w:trHeight w:val="210"/>
        </w:trPr>
        <w:tc>
          <w:tcPr>
            <w:tcW w:w="4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general and administrative expenses (6)</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21,890</w:t>
            </w:r>
          </w:p>
        </w:tc>
      </w:tr>
      <w:tr>
        <w:trPr>
          <w:trHeight w:val="215"/>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Allocation of facilities and IT expenses</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(8,255)</w:t>
            </w:r>
          </w:p>
        </w:tc>
      </w:tr>
      <w:tr>
        <w:trPr>
          <w:trHeight w:val="204"/>
        </w:trPr>
        <w:tc>
          <w:tcPr>
            <w:tcW w:w="4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general and administrative</w:t>
            </w: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23,680</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33,808</w:t>
            </w:r>
          </w:p>
        </w:tc>
      </w:tr>
      <w:tr>
        <w:trPr>
          <w:trHeight w:val="208"/>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10"/>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w:t>
            </w:r>
          </w:p>
        </w:tc>
      </w:tr>
      <w:tr>
        <w:trPr>
          <w:trHeight w:val="213"/>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 provision</w:t>
            </w:r>
          </w:p>
        </w:tc>
        <w:tc>
          <w:tcPr>
            <w:tcW w:w="10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08"/>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28,707</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7,047</w:t>
            </w: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testing revenue includes cytopathology services, depreciation and amortization and other expenses.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product revenue includes contract manufacturing fees, license fees and royalties,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 of biopharmaceutical and other revenue includes professional fees, information technology expense, depreciation and amortization and other expenses.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expenses include depreciation and amortization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selling and marketing expenses include travel, entertainment, conference and other expenses.</w:t>
      </w:r>
    </w:p>
    <w:p>
      <w:pPr>
        <w:spacing w:after="0" w:line="5" w:lineRule="exact"/>
        <w:rPr>
          <w:rFonts w:ascii="Times New Roman" w:cs="Times New Roman" w:eastAsia="Times New Roman" w:hAnsi="Times New Roman"/>
          <w:sz w:val="18"/>
          <w:szCs w:val="18"/>
          <w:color w:val="auto"/>
        </w:rPr>
      </w:pPr>
    </w:p>
    <w:p>
      <w:pPr>
        <w:ind w:left="640" w:hanging="315"/>
        <w:spacing w:after="0" w:line="253" w:lineRule="auto"/>
        <w:tabs>
          <w:tab w:leader="none" w:pos="63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general and administrative expenses include professional fees, information technology expense, occupancy costs, depreciation and amortization, contingent consideration and other expenses.</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applied to the Company’s year to date income and is adjusted for discrete items recorded in the period. For the three months ended March 31, 2026 and 2025, the Company’s effective tax rate was 4.2% and 5.1%, respectively. For the three months ended March 31, 2026 and 2025, the primary difference between the effective tax rate and the federal statutory rate is driven by unfavorable permanent differences, offset by the full valuation allowance the Company has established on its federal, state and foreign net operating losses and credits.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recorded income tax expense of $1.3 million and $0.4 million for the three months ended March 31, 2026 and 2025, respectively. The provision for income taxes recorded in the three months ended March 31, 2026 and 2025 consists primarily of federal, state and foreign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the related notes and other financial information included elsewhere in this Quarterly Report on Form 10-Q and with our audited consolidated financial statements and the notes thereto included in our Annual Report on Form 10-K for the year ended December 31, 2025, or our Annual Report.</w:t>
      </w:r>
    </w:p>
    <w:p>
      <w:pPr>
        <w:spacing w:after="0" w:line="204"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i w:val="1"/>
          <w:iCs w:val="1"/>
          <w:color w:val="auto"/>
        </w:rPr>
        <w:t>As discussed in the section titled “Special Note Regarding Forward-Looking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herein under the heading “Special Note Regarding Forward-Looking Statements” and in the section titled “Risk Factors” under Part II, Item 1A of this report and under Part I, Item 1A of our Annual Report. Historical results are not necessarily indicative of future results.</w:t>
      </w:r>
    </w:p>
    <w:p>
      <w:pPr>
        <w:spacing w:after="0" w:line="21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58"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following is a non-exhaustive list of Veracyte and its affiliates’ trademarks and/or registered trademarks in the United States and certain other countries: Afirma, Decipher, Envisia, GenomeDx, GRID, Percepta, Prosigna, TrueMRD, Veracyte, and the Veracyte logo. nCounter is the registered trademark of Bruker Spatial Biology, Inc. and used by Veracyte under license.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predictive treatment decisions, as well as the detection of disease recurrence. Insights from these tests help patients avoid unnecessary procedures and interventions and accelerate time to appropriate treatment, thereby improving outcomes for patients across our global markets.</w:t>
      </w:r>
    </w:p>
    <w:p>
      <w:pPr>
        <w:spacing w:after="0" w:line="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the United States, we currently offer tests in prostate cancer (Decipher Prostate), thyroid cancer (Afirma), breast cancer (Prosigna) and bladder cancer (Decipher Bladder). In addition, we are planning to offer our Prosigna test for breast cancer as an LDT in 2026.</w:t>
      </w:r>
    </w:p>
    <w:p>
      <w:pPr>
        <w:spacing w:after="0" w:line="58"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LDTs through our centralized CLIA certified laboratories in South San Francisco and San Diego, California, supported by our cytopathology expertise in Austin, Texas. Additionally, outside of the United States, we provide IVD tests to patients through distribution to laboratories and hospitals that can perform the tests locally. Our international distribution of IVDs is currently focused on our Prosigna test and, in the future, we intend to offer Decipher Prostate as an IVD test. We believe our broad menu of advanced diagnostic tests, combined with our ability to deliver them globally, differentiates us in the diagnostics industry.</w:t>
      </w:r>
    </w:p>
    <w:p>
      <w:pPr>
        <w:spacing w:after="0" w:line="7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are aiming to expand our role across the cancer continuum with the addition of our minimal residual disease, or MRD platform, TrueMRD platform, and our assays. This will broaden our portfolio of tests to help monitor the success of a therapeutic or surgical intervention, and support the determination of the best course of action for each patient.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47"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Recent macroeconomic factors, such as interest rate fluctuations and inflation in the United States and other markets, evolving international trade policies and government actions relating to tariffs, as well as volatility in the global banking and finance systems, geopolitical challenges and other measures that restrict international trade, have resulted in volatility in the capital and credit markets globally. Moreover, the continued fluctuation and reduced valuation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macroeconomic effects of regional conflicts like those in the Middle East and between Russia and Ukraine may adversely impact our business and operating results. Finally, the ongoing conflict in the Middle East and related political, military and security conditions in and around Israel may disrupt our Israel business operations and employees that we acquired through our acquisition of 100% of the outstanding equity interests of C2i, or the C2i Acquisition.</w:t>
      </w:r>
    </w:p>
    <w:p>
      <w:pPr>
        <w:spacing w:after="0" w:line="201"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The extent of the impact of macroeconomic factors on our future liquidity and operational performance will depend on future developments and their impact on our customers' operations and our sales and renewal cycles. We may also be adversely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affected by further changes in central bank policies and fluctuations in interest rates, rates of inflation, and changes in foreign currency exchange rates. See "Risk Factors" for further discussion.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performance currently depends on the number of tests that we perform and report as completed in our CLIA-certified laboratories and the number of tests purchased by our customers, which we refer to as our reported total test volume. Factors impacting our reported total test volume include, but are not limited to:</w:t>
      </w:r>
    </w:p>
    <w:p>
      <w:pPr>
        <w:spacing w:after="0" w:line="176" w:lineRule="exact"/>
        <w:rPr>
          <w:sz w:val="20"/>
          <w:szCs w:val="20"/>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5"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or our customers to perform our tests and report the results, including as a result of supply chain challenges (including quality and supply of single-source reagents and consumables);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workdays per period, weather-related disruptions, timing of industry conferences and timing of when patient deductibles are exceeded, which also impacts the reimbursement we receive from insurers;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our product test kits, including as a result of higher average selling prices and overall spending constraints across our industry; and</w:t>
      </w:r>
    </w:p>
    <w:p>
      <w:pPr>
        <w:spacing w:after="0" w:line="1" w:lineRule="exact"/>
        <w:rPr>
          <w:rFonts w:ascii="Times New Roman" w:cs="Times New Roman" w:eastAsia="Times New Roman" w:hAnsi="Times New Roman"/>
          <w:sz w:val="18"/>
          <w:szCs w:val="18"/>
          <w:color w:val="auto"/>
        </w:rPr>
      </w:pPr>
    </w:p>
    <w:p>
      <w:pPr>
        <w:ind w:left="960" w:hanging="315"/>
        <w:spacing w:after="0" w:line="253"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Revenue growth depends on our ability to secure coverage decisions, achieve broader reimbursement from third-party payers, obtain prior authorization,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w:t>
      </w:r>
    </w:p>
    <w:p>
      <w:pPr>
        <w:spacing w:after="0" w:line="191"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Our sales teams are aligned under our general manager-based structure to focus on specific products and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requiring prior 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 Changes or implementation of government regulations or reimbursement policies, including under the Protecting Access to Medicare Act of 2014, or PAMA, could result in lower reimbursement rates for our tests. Any such reductions could negatively affect our revenues and margins.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Integrating Acquisitions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growth, operational results and advances to our test offering strategy depend on our ability to integrate any acquisitions into our existing business and effectively scale their operations. The integration of acquired assets and other strategic transactions that we may pursue may impact our revenue growth, increase the cost of operations or may require management resources that otherwise would be available for ongoing development of our existing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Product Development</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 significant aspect of our business is our investment in development activities, including activities related to the development of new tests, as well as modifications and enhancements to our current tests, including the ongoing development of our Prosigna LDT test and TrueMRD platform. In addition to these development activities, we also perform clinical evidence studies which are critical to gaining clinician adoption of our tests, driving favorable coverage decisions by payers, as well as gaining guideline inclusion for such tests.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the Financial Accounting Standards Board, or FASB, Accounting Standards Codification, or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generally bill for testing services at the time of test completion, upon delivery of a patient report to the prescribing physician. We recognize revenue based on estimates of the cash amount that will ultimately be collected.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 Upon ultimate collection, the amount received is compared to previous estimates and the amount accrued is adjusted accordingly.</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 Our ability to increase our testing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5"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not positively impact accrued revenue. In addition, payer contracts generally include the right of offset and payers may offset payments prior to resolving disputes over tests performed.</w:t>
      </w:r>
    </w:p>
    <w:p>
      <w:pPr>
        <w:spacing w:after="0" w:line="16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Our product revenue consists primarily of international sales of the Prosigna breast cancer IVD and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 authorities.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Through March 31, 2026, we derived the majority of our revenue as testing revenue from the sale of Decipher Prostate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 for the periods presented:</w:t>
      </w:r>
    </w:p>
    <w:p>
      <w:pPr>
        <w:spacing w:after="0" w:line="343" w:lineRule="exact"/>
        <w:rPr>
          <w:sz w:val="20"/>
          <w:szCs w:val="20"/>
          <w:color w:val="auto"/>
        </w:rPr>
      </w:pPr>
    </w:p>
    <w:tbl>
      <w:tblPr>
        <w:tblLayout w:type="fixed"/>
        <w:tblInd w:w="180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354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4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31"/>
        </w:trPr>
        <w:tc>
          <w:tcPr>
            <w:tcW w:w="4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In the above table, Medicare Advantage plans are included with their associated private payer amounts and Medicare amounts do not include Medicare Advantage.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components of our cost of testing revenue are sample collection kit costs, reagent expenses, compensation expense, license fees and royalties, depreciation, customer service, other expenses such as equipment and laboratory supplies, and allocations of facility and information technology expenses.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implementation of new technologies and other cost reductions. As we introduce new tests, initially our cost per test will be high as we expect to run suboptimal batch sizes, quality control batches, test batches, registry samples, and generally incur costs that may suppress or reduce gross margins. This will disproportionately increase our aggregate cost of testing revenue until we achieve processing efficiencies.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cost of product revenue consists primarily of costs of diagnostic kit components and reagents, labor, delivery costs and royalties for licensed technologies included in our products. Subsequent to the restructuring proceedings affecting Veracyte SAS in August 2025, the costs of diagnostic kit components and reagents and labor costs are paid to a third-party contract manufacturer. As our Prosigna test kits are sold in various configurations with different numbers of tests, our product cost per test will continue to vary based on the specific kit configuration purchased by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Cost of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5 to 15 years, using the straight-line method. Intangible asset amortization - cost of revenue includes amortization of finite-lived intangible assets related to developed and product technology utilized in our current product and service offerings and customer backlog.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include compensation expense, direct research and development expenses such as laboratory supplies and costs associated with setting up and conducting clinical studies at domestic and international sites, software development expenses, professional fees, depreciation and amortization, other miscellaneous expenses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allocation of facility and information technology expenses. Further, research and development expenses include costs to collect clinical samples and conduct clinical studies to develop and support our products and pipeline, as well as develop future technology. We expense all research and development costs in the periods in which they are incurred. We incurred a majority of our research and development expenses in the three months ended March 31, 2026 and the year ended December 31, 2025 in support of our early-stage products, including support for the development and validation of our TrueMRD platform, as well as our Prosigna LDT test, the development of new IVD products and discovery. Going forward, we expect to incur significant expense as we invest in the continued development of our innovation engine, early-stage products including our TrueMRD platform, required clinical studies and the development of current IVD tests.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120 representatives is organized by business unit in the U.S., with separate teams calling on thyroid cancer and urologic cancer physicians. The business units have dedicated marketing support, as well as a marketing operations team that serves the commercial organization broadly. Prosigna sales outside of the U.S. are led by country managers and sales teams that call on laboratories and breast cancer oncologists.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include compensation expenses for executive officers and administrative, billing personnel, professional fees for legal and audit services,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as we build our infrastructure to scale revenue growth, and to decline as a percentage of revenue thereafter.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 - Operating Expenses</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5 to 15 years, using the straight-line method. Intangible asset amortization - operating expenses includes amortization of finite-lived intangible assets related to developed technology utilized in the development of future product and service offerings, trade names and customer relationships.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(loss), net consists primarily of interest income from our cash held in interest bearing accounts and our short-term investments, realized and unrealized gains and losses on foreign currency transactions, settlement of escrow claims and, prior to the restructuring proceedings affecting Veracyte SAS in August 2025, French tax credits.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2026 and 2025 (in thousands of dollars, except percentages and test volume):</w:t>
      </w:r>
    </w:p>
    <w:p>
      <w:pPr>
        <w:spacing w:after="0" w:line="354" w:lineRule="exact"/>
        <w:rPr>
          <w:sz w:val="20"/>
          <w:szCs w:val="20"/>
          <w:color w:val="auto"/>
        </w:rPr>
      </w:pPr>
    </w:p>
    <w:tbl>
      <w:tblPr>
        <w:tblLayout w:type="fixed"/>
        <w:tblInd w:w="1540" w:type="dxa"/>
        <w:tblCellMar>
          <w:top w:w="0" w:type="dxa"/>
          <w:left w:w="0" w:type="dxa"/>
          <w:bottom w:w="0" w:type="dxa"/>
          <w:right w:w="0" w:type="dxa"/>
        </w:tblCellMar>
      </w:tblPr>
      <w:tr>
        <w:trPr>
          <w:trHeight w:val="213"/>
        </w:trPr>
        <w:tc>
          <w:tcPr>
            <w:tcW w:w="4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07"/>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135,091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107,309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27,782</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26%</w:t>
            </w: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3%</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(92)%</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139,071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21%</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18%</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33%</w:t>
            </w: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3"/>
              </w:rPr>
              <w:t>5%</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8%</w:t>
            </w:r>
          </w:p>
        </w:tc>
        <w:tc>
          <w:tcPr>
            <w:tcW w:w="0" w:type="dxa"/>
            <w:vAlign w:val="bottom"/>
          </w:tcPr>
          <w:p>
            <w:pPr>
              <w:spacing w:after="0"/>
              <w:rPr>
                <w:sz w:val="1"/>
                <w:szCs w:val="1"/>
                <w:color w:val="auto"/>
              </w:rPr>
            </w:pPr>
          </w:p>
        </w:tc>
      </w:tr>
      <w:tr>
        <w:trPr>
          <w:trHeight w:val="204"/>
        </w:trPr>
        <w:tc>
          <w:tcPr>
            <w:tcW w:w="4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101,159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21,651</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5"/>
              </w:rPr>
              <w:t>27%</w:t>
            </w:r>
          </w:p>
        </w:tc>
        <w:tc>
          <w:tcPr>
            <w:tcW w:w="0" w:type="dxa"/>
            <w:vAlign w:val="bottom"/>
          </w:tcPr>
          <w:p>
            <w:pPr>
              <w:spacing w:after="0"/>
              <w:rPr>
                <w:sz w:val="1"/>
                <w:szCs w:val="1"/>
                <w:color w:val="auto"/>
              </w:rPr>
            </w:pPr>
          </w:p>
        </w:tc>
      </w:tr>
      <w:tr>
        <w:trPr>
          <w:trHeight w:val="19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53%</w:t>
            </w: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0" w:type="dxa"/>
            <w:vAlign w:val="bottom"/>
          </w:tcPr>
          <w:p>
            <w:pPr>
              <w:spacing w:after="0"/>
              <w:rPr>
                <w:sz w:val="1"/>
                <w:szCs w:val="1"/>
                <w:color w:val="auto"/>
              </w:rPr>
            </w:pPr>
          </w:p>
        </w:tc>
      </w:tr>
      <w:tr>
        <w:trPr>
          <w:trHeight w:val="210"/>
        </w:trPr>
        <w:tc>
          <w:tcPr>
            <w:tcW w:w="4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 -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04"/>
        </w:trPr>
        <w:tc>
          <w:tcPr>
            <w:tcW w:w="4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78,513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76,604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3"/>
              </w:rPr>
              <w:t>2%</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680%</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5"/>
              </w:rPr>
              <w:t>62%</w:t>
            </w:r>
          </w:p>
        </w:tc>
        <w:tc>
          <w:tcPr>
            <w:tcW w:w="0" w:type="dxa"/>
            <w:vAlign w:val="bottom"/>
          </w:tcPr>
          <w:p>
            <w:pPr>
              <w:spacing w:after="0"/>
              <w:rPr>
                <w:sz w:val="1"/>
                <w:szCs w:val="1"/>
                <w:color w:val="auto"/>
              </w:rPr>
            </w:pPr>
          </w:p>
        </w:tc>
      </w:tr>
      <w:tr>
        <w:trPr>
          <w:trHeight w:val="20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304%</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6"/>
              </w:rPr>
              <w:t>233%</w:t>
            </w:r>
          </w:p>
        </w:tc>
        <w:tc>
          <w:tcPr>
            <w:tcW w:w="0" w:type="dxa"/>
            <w:vAlign w:val="bottom"/>
          </w:tcPr>
          <w:p>
            <w:pPr>
              <w:spacing w:after="0"/>
              <w:rPr>
                <w:sz w:val="1"/>
                <w:szCs w:val="1"/>
                <w:color w:val="auto"/>
              </w:rPr>
            </w:pPr>
          </w:p>
        </w:tc>
      </w:tr>
      <w:tr>
        <w:trPr>
          <w:trHeight w:val="23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21,660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307%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Data:</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Diagnostic tests reported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19%</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tests sold</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23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test volume</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47,615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1%</w:t>
            </w:r>
          </w:p>
        </w:tc>
        <w:tc>
          <w:tcPr>
            <w:tcW w:w="0" w:type="dxa"/>
            <w:vAlign w:val="bottom"/>
          </w:tcPr>
          <w:p>
            <w:pPr>
              <w:spacing w:after="0"/>
              <w:rPr>
                <w:sz w:val="1"/>
                <w:szCs w:val="1"/>
                <w:color w:val="auto"/>
              </w:rPr>
            </w:pPr>
          </w:p>
        </w:tc>
      </w:tr>
      <w:tr>
        <w:trPr>
          <w:trHeight w:val="208"/>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16%</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 xml:space="preserve">Revenue increased $24.6 million for the three months ended March 31, 2026 compared to the same period in 2025. This was primarily due to a $27.8 million increase in testing revenue partially offset by a $3.3 million decrease in our biopharmaceutical and other revenue. The 26% growth in testing revenue was primarily driven by a 19% volume increase, as well as improved ASP and prior period collections. The Biopharmaceutical and other revenue decrease was </w:t>
      </w:r>
      <w:r>
        <w:rPr>
          <w:rFonts w:ascii="Times New Roman" w:cs="Times New Roman" w:eastAsia="Times New Roman" w:hAnsi="Times New Roman"/>
          <w:sz w:val="18"/>
          <w:szCs w:val="18"/>
          <w:color w:val="231F20"/>
        </w:rPr>
        <w:t>due to the discontinuation of biopharmaceutical services, contract manufacturing or contract development services previously conducted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France, following the restructuring proceedings affecting Veracyte SAS, as of August 2025.</w:t>
      </w:r>
    </w:p>
    <w:p>
      <w:pPr>
        <w:spacing w:after="0" w:line="1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Product revenue was flat for the three months ended March 31, 2026 compared to the same periods in 2025.</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2026 and 2025 is as follows (in thousands of dollars, except percentages):</w:t>
      </w:r>
    </w:p>
    <w:p>
      <w:pPr>
        <w:spacing w:after="0" w:line="354" w:lineRule="exact"/>
        <w:rPr>
          <w:sz w:val="20"/>
          <w:szCs w:val="20"/>
          <w:color w:val="auto"/>
        </w:rPr>
      </w:pPr>
    </w:p>
    <w:tbl>
      <w:tblPr>
        <w:tblLayout w:type="fixed"/>
        <w:tblInd w:w="178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Laboratory supplies and reagents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Sample collection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Cytopathology services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3"/>
        </w:trPr>
        <w:tc>
          <w:tcPr>
            <w:tcW w:w="3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1,185 %</w:t>
            </w: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6"/>
        </w:trPr>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0"/>
        </w:trPr>
        <w:tc>
          <w:tcPr>
            <w:tcW w:w="3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5"/>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6"/>
        </w:trPr>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(2,690)</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amortization - cost of revenue</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testing revenue increased $5.0 million, or 18%, for the three months ended March 31, 2026 compared to the same period in 2025. The increase in cost of testing revenue was due to increased volume in testing, higher staffing to support higher volume, the build out of infrastructure related to current and future growth expectations, primarily related to Decipher Prostate and Afirma tests, and the assignment of customer service expenses directly to cost of revenue. These increases were partially offset by lab efficiencies and lower allocated expenses.</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Cost of product revenue increased $0.5 million, or 33%, for the three months ended March 31, 2026 compared to the same periods in 2025. The increase for the three months ended March 31, 2026 is primarily related to the transition to contract manufacturing of Prosigna kits.</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laboratory supplies and pass-through expenses incurred. Cost of biopharmaceutical and other revenue for the three months ended March 31, 2026 decreased by $2.7 million compared to the same periods in 2025, driven primarily by a continued decline in biopharmaceutical services, as well as contract development and manufacturing services projects as a result of the restructuring proceedings affecting Veracyte SAS that were underway throughout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Research and development expense increased $9.4 million, or 53%, for the three months ended March 31, 2026 compared to the same period in 2025. The increase was primarily due to a $6.0 million increase from the assignment of research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development related software expenses previously accounted for in general and administrative and partially allocated. This was due to the addition of the Chief Development and Technology Officer and that these expenses are now fully dedicated to product development objectives. General and administrative expense allocations and compensation expense associated with added headcount and annual merit increases also increased. Spend supporting direct research and product development expense related to our ongoing development costs for our CLIA tests and MRD strategies increased but was partially offset by the impact of the deconsolidation of Veracyte SAS in August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Selling and marketing expense increased $2.7 million, or 11%, for the three months ended March 31, 2026 compared to the same period in 2025. The increase was primarily due to annual merit increases and headcount additions. Direct marketing expense increased primarily due to website design costs and expenses related to the anticipated launch of new tests.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 decreased by $10.1 million for the three months ended March 31, 2026, compared to the same period in 2025. The results were impacted primarily by a $6.0 million decrease related to the assignment of software development expenses, previously included in General and administrative expense allocations, directly to research and development, the assignment of customer service expenses directly to cost of revenue, as well as a decline in professional fees related to lower legal, audit and tax fees in the quarter. These decreases were offset by fewer allocations and reductions in the revaluation of contingent consideration related to the acquisition of C2i recognized in the prior year. General and administrative expenses related to occupancy costs and information technology costs, excluding software development, are allocated to general and administrative expense, selling and marketing expense, research and development expense, and cost of revenue based on the headcount and employee location.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net, increased $2.8 million for the three months ended March 31, 2026 compared to the same period in 2025, primarily due to the settlement of escrow claims of $4.2 million and an increase of $0.7 million from interest income, partially offset by a decrease of $1.5 million due to foreign currency revaluation.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recorded income tax expense of $1.3 million and $0.4 million for the three months ended March 31, 2026 and 2025, respectively.</w:t>
      </w:r>
    </w:p>
    <w:p>
      <w:pPr>
        <w:spacing w:after="0" w:line="245"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Given our current earnings, we believe that, within the next 12 months,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of March 31, 2026, we had cash and cash equivalents and short-term investments of $439.1 million. During the three months ended March 31, 2026, our cash and cash equivalents and short-term investments increased by $26.2 million. Historically, we have obtained financing primarily through sales of our equity securities. Beginning in 2023, our operations have been financed primarily by cash flows generated by our revenue. For the three months ended March 31, 2026, we had net income of $28.7 million, but we may not sustain profitability in the future. As of March 31, 2026, we had an accumulated deficit of $348.9 million.</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expect to continue to generate cash and our near- and longer-term liquidity requirements will continue to consist of costs to run our laboratories, research and development expenses, selling and marketing expenses, general and administrative expenses, working capital, capital expenditures, lease obligations,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are not able to secure additional financing</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when needed, or on terms that are favorable to us,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ongoing instability in the global credit markets or the banking system may impact our liquidity both in the short term and long term.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material cash requirements include the following obligations: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lease office and laboratory facilities in the U.S., including in South San Francisco and San Diego, California and Austin, Texas. Effective August 2025, in connection with the restructuring proceeding in Veracyte SAS, we are no longer a party to the lease in Marseille, France. The lease terms of our leases as of March 31, 2026 extend to March 2040 and contain extension of lease term and expansion options. As of March 31, 2026, the leases have a weighted average remaining lease term of 11.0 years and total future minimum lease payments of $71.4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07"/>
        </w:trPr>
        <w:tc>
          <w:tcPr>
            <w:tcW w:w="73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4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5,362</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(127,961)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(51,818)</w:t>
            </w: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(6,629)</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(6,484)</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March 31, 2026 was $35.2 million. Our net income of $28.7 million includes non-cash charges of $12.8 million of stock-based compensation expense, $5.4 million of depreciation and amortization, of which $3.3 million was related to intangible asset amortization, non-cash lease expense of $0.7 million, amortization of discount on short-term investments of $0.6 million, non-cash gains of $0.4 million from the revaluation of contingent consideration, loss of $0.4 million on the disposal of fixed assets, and $0.1 million from the effect of foreign currency changes on operations. Cash used as a result of changes in operating assets and liabilities was $11.7 million, primarily composed of a decrease in accrued liabilities and deferred revenue of $6.1 million, an increase in accounts receivable of $5.6 million, an increase in prepaid expenses and other current assets of $1.3 million, an increase in supplies of $0.9 million, a decrease in operating lease liabilities of $0.3 million partially offset by an increase in accounts payable of $2.6 million.</w:t>
      </w:r>
    </w:p>
    <w:p>
      <w:pPr>
        <w:spacing w:after="0" w:line="19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March 31, 2025 was $5.4 million. Our net income of $7.0 million includes non-cash charges of $11.0 million of stock-based compensation expense, $5.4 million of depreciation and amortization, of which $3.2 million was related to intangible asset amortization, non-cash lease expense of $0.9 million, non-cash gains of $2.0 million from the revaluation of contingent consideration and $1.6 million from the effect of foreign currency changes on operations. Cash used as a result of changes in operating assets and liabilities was $14.5 million, primarily composed of a decrease in accrued liabilities and deferred revenue of $8.9 million, an increase in accounts receivable of $7.1 million, an increase in prepaid expenses and other current assets of $2.9 million, and an increase in supplies and inventory of $2.3 million partially offset by an increase in accounts payable of $7.1 million.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2026 was $128.0 million, consisting of the purchase of $125.0 million of short-term investments and $3.0 million used in the purchase of property, plant and equipment.</w:t>
      </w:r>
    </w:p>
    <w:p>
      <w:pPr>
        <w:spacing w:after="0" w:line="1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2025 was $51.8 million, consisting of $50.0 million from the purchase of short-term investments and $1.8 million used in the purchase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2026 was $6.6 million, consisting of $9.4 million in tax payments during the period related to the vesting of restricted stock units granted to employees, partially offset by $2.7 million in proceeds from the exercise of options to purchase our common stock and the purchase of stock under our Employee Stock Purchase Plan, or ESPP.</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2025 was $6.5 million, consisting of $9.5 million in tax payments during the period related to the vesting of restricted stock units granted to employees, partially offset by $3.0 million in proceeds from the exercise of options to purchase our common stock and the purchase of stock under our ESPP.</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Organization, Description of Business and Summary of Significant Accounting Policies, in the notes to our condensed consolidated financial statements included elsewhere in this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GAAP. The preparation of the condensed consolidated financial statements requires us to make estimates and assumptions that affect the reported amounts of assets and liabilities and the disclosure of contingent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in our Annual Report are critical to understanding our historical and future performance, as these policies relate to the more significant areas involving management's judgments and estimates. There have been no material changes to our critical accounting policies and estimates as compared to the critical accounting policies and estimates disclosed in our Annual Report.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and short-term investments of $439.1 million as of March 31, 2026 which consisted of bank deposits, money market funds and United States treasury securities. Such interest-bearing instruments carry a degree of risk; however, a hypothetical 10% change in interest rates during any of the periods presented would not have had a material impact on our condensed consolidated financial statements. This analysis is based on a sensitivity model that measures market value changes when changes in interest rates occur. Any realized gains or losses resulting from such interest rate changes and from the current unrealized gains or losses would only occur if we sold the investments prior to maturity. We do not enter into investments for trading purposes and have not used any derivative financial instruments to manage our interest rate risk exposure.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of March 31, 2026 we held $1.8 million of bank deposits denominated in Euros. Such Euro denominated deposits carry a degree of risk from changes in currency exchange rates as the gains or losses from changes in exchange rates are included in our net income and comprehensive income (loss). As of March 31, 2026 a hypothetical 10% appreciation or depreciation of the U.S. dollar relative to the Euro would not have had a material impact on our condensed consolidated financial statements. At this time, we have not entered into, but in the future we may enter into, derivatives or other financial instruments in an attempt to hedge our foreign currency risk.</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Exchange Act, which are designed to provide reasonable assurance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Management recognized that disclosure controls and procedures, no matter how well designed and operated, can provide only reasonable, not absolute, assurance of achieving their objectives, and management necessarily applies its judgment in evaluating the cost-benefit relationship of possible disclosure controls and procedures.</w:t>
      </w:r>
    </w:p>
    <w:p>
      <w:pPr>
        <w:spacing w:after="0" w:line="213"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our disclosure controls and procedures were effective as of March 31, 2026 at the reasonable assurance level.</w:t>
      </w:r>
    </w:p>
    <w:p>
      <w:pPr>
        <w:spacing w:after="0" w:line="1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 xml:space="preserve">The information set forth in </w:t>
      </w:r>
      <w:r>
        <w:rPr>
          <w:rFonts w:ascii="Times New Roman" w:cs="Times New Roman" w:eastAsia="Times New Roman" w:hAnsi="Times New Roman"/>
          <w:sz w:val="18"/>
          <w:szCs w:val="18"/>
          <w:u w:val="single" w:color="auto"/>
          <w:color w:val="0000FF"/>
        </w:rPr>
        <w:t>Note 5, Commitments and Contingencies</w:t>
      </w:r>
      <w:r>
        <w:rPr>
          <w:rFonts w:ascii="Times New Roman" w:cs="Times New Roman" w:eastAsia="Times New Roman" w:hAnsi="Times New Roman"/>
          <w:sz w:val="18"/>
          <w:szCs w:val="18"/>
          <w:color w:val="auto"/>
        </w:rPr>
        <w:t>, under the heading “Contingencies,” in the notes to our condensed consolidated financial statements included elsewhere in this report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consider carefully the factors and other cautionary statements discussed in the section titled “Risk Factors” in Part I, Item 1A of our Annual Report on Form 10-K. There have been no material changes in our risk factors from those described in our Annual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Bylaw Amendment</w:t>
      </w:r>
    </w:p>
    <w:p>
      <w:pPr>
        <w:spacing w:after="0" w:line="23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amended and restated the Company’s amended and restated bylaws (as so amended and restated, the “Bylaws”), effective May 1, 2026. The amendments implement a cure process for certain deficiencies in director nomination notices submitted by stockholders. For nomination notices received by the Company within the time period specified in the Bylaws, the Company will notify stockholders of deficiencies in the notice and there will be an opportunity to cure such deficiencies within the time period specified.</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This description of the amendments to the Bylaws is not complete and is qualified in its entirety by reference to the text of the Bylaws filed as Exhibit 3.2 to this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Insider Trading Arrangements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2026, none of our officers and directors adopted, modified or terminated a “Rule 10b5-1 trading arrangement” (as defined in Item 408 of Regulation S-K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59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5"/>
        </w:trPr>
        <w:tc>
          <w:tcPr>
            <w:tcW w:w="12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640" w:type="dxa"/>
            <w:vAlign w:val="bottom"/>
            <w:gridSpan w:val="14"/>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1220" w:type="dxa"/>
            <w:vAlign w:val="bottom"/>
            <w:gridSpan w:val="7"/>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w w:val="97"/>
              </w:rPr>
              <w:t>Incorporated by Reference</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53"/>
        </w:trPr>
        <w:tc>
          <w:tcPr>
            <w:tcW w:w="1220" w:type="dxa"/>
            <w:vAlign w:val="bottom"/>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860" w:type="dxa"/>
            <w:vAlign w:val="bottom"/>
            <w:gridSpan w:val="12"/>
            <w:vMerge w:val="restart"/>
          </w:tcPr>
          <w:p>
            <w:pPr>
              <w:jc w:val="right"/>
              <w:ind w:righ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vMerge w:val="restart"/>
          </w:tcPr>
          <w:p>
            <w:pPr>
              <w:spacing w:after="0"/>
              <w:rPr>
                <w:sz w:val="13"/>
                <w:szCs w:val="13"/>
                <w:color w:val="auto"/>
              </w:rPr>
            </w:pPr>
          </w:p>
        </w:tc>
        <w:tc>
          <w:tcPr>
            <w:tcW w:w="13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vMerge w:val="restart"/>
          </w:tcPr>
          <w:p>
            <w:pPr>
              <w:spacing w:after="0"/>
              <w:rPr>
                <w:sz w:val="13"/>
                <w:szCs w:val="13"/>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vMerge w:val="restart"/>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vMerge w:val="restart"/>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1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432"/>
        </w:trPr>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Amended and Restated Bylaws of the Registrant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Offer Letter, dated as of February 24, 2026, between Kevin</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Borders>
              <w:top w:val="single" w:sz="8" w:color="0000FF"/>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4"/>
                <w:szCs w:val="14"/>
                <w:color w:val="0000FF"/>
              </w:rPr>
              <w:t>Haas and the Registrant</w:t>
            </w:r>
          </w:p>
        </w:tc>
        <w:tc>
          <w:tcPr>
            <w:tcW w:w="2500" w:type="dxa"/>
            <w:vAlign w:val="bottom"/>
            <w:tcBorders>
              <w:top w:val="single" w:sz="8" w:color="0000FF"/>
            </w:tcBorders>
            <w:gridSpan w:val="6"/>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Change of Control and Severance Agreement, effective March</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520" w:type="dxa"/>
            <w:vAlign w:val="bottom"/>
            <w:tcBorders>
              <w:top w:val="single" w:sz="8" w:color="0000FF"/>
              <w:bottom w:val="single" w:sz="8" w:color="0000FF"/>
            </w:tcBorders>
            <w:gridSpan w:val="5"/>
          </w:tcPr>
          <w:p>
            <w:pPr>
              <w:spacing w:after="0" w:line="153" w:lineRule="exact"/>
              <w:rPr>
                <w:sz w:val="20"/>
                <w:szCs w:val="20"/>
                <w:color w:val="auto"/>
              </w:rPr>
            </w:pPr>
            <w:r>
              <w:rPr>
                <w:rFonts w:ascii="Times New Roman" w:cs="Times New Roman" w:eastAsia="Times New Roman" w:hAnsi="Times New Roman"/>
                <w:sz w:val="17"/>
                <w:szCs w:val="17"/>
                <w:color w:val="0000FF"/>
              </w:rPr>
              <w:t>24, 2026, between Kevin Haas and the Registrant</w:t>
            </w:r>
          </w:p>
        </w:tc>
        <w:tc>
          <w:tcPr>
            <w:tcW w:w="9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00" w:type="dxa"/>
            <w:vAlign w:val="bottom"/>
            <w:gridSpan w:val="2"/>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15"/>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 the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9"/>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w:t>
            </w:r>
          </w:p>
        </w:tc>
        <w:tc>
          <w:tcPr>
            <w:tcW w:w="400" w:type="dxa"/>
            <w:vAlign w:val="bottom"/>
            <w:gridSpan w:val="6"/>
          </w:tcPr>
          <w:p>
            <w:pPr>
              <w:spacing w:after="0" w:line="153" w:lineRule="exact"/>
              <w:rPr>
                <w:sz w:val="20"/>
                <w:szCs w:val="20"/>
                <w:color w:val="auto"/>
              </w:rPr>
            </w:pPr>
            <w:r>
              <w:rPr>
                <w:rFonts w:ascii="Times New Roman" w:cs="Times New Roman" w:eastAsia="Times New Roman" w:hAnsi="Times New Roman"/>
                <w:sz w:val="17"/>
                <w:szCs w:val="17"/>
                <w:color w:val="0000FF"/>
              </w:rPr>
              <w:t>the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7"/>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520" w:type="dxa"/>
            <w:vAlign w:val="bottom"/>
            <w:gridSpan w:val="8"/>
          </w:tcPr>
          <w:p>
            <w:pPr>
              <w:jc w:val="right"/>
              <w:ind w:right="120"/>
              <w:spacing w:after="0" w:line="153" w:lineRule="exact"/>
              <w:rPr>
                <w:sz w:val="20"/>
                <w:szCs w:val="20"/>
                <w:color w:val="auto"/>
              </w:rPr>
            </w:pPr>
            <w:r>
              <w:rPr>
                <w:rFonts w:ascii="Times New Roman" w:cs="Times New Roman" w:eastAsia="Times New Roman" w:hAnsi="Times New Roman"/>
                <w:sz w:val="17"/>
                <w:szCs w:val="17"/>
                <w:color w:val="0000FF"/>
                <w:w w:val="95"/>
              </w:rPr>
              <w:t>2002)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5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12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00" w:type="dxa"/>
            <w:vAlign w:val="bottom"/>
            <w:tcBorders>
              <w:top w:val="single" w:sz="8" w:color="0000FF"/>
            </w:tcBorders>
            <w:gridSpan w:val="6"/>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560" w:type="dxa"/>
            <w:vAlign w:val="bottom"/>
            <w:gridSpan w:val="9"/>
          </w:tcPr>
          <w:p>
            <w:pPr>
              <w:jc w:val="right"/>
              <w:ind w:right="120"/>
              <w:spacing w:after="0" w:line="153" w:lineRule="exact"/>
              <w:rPr>
                <w:sz w:val="20"/>
                <w:szCs w:val="20"/>
                <w:color w:val="auto"/>
              </w:rPr>
            </w:pPr>
            <w:r>
              <w:rPr>
                <w:rFonts w:ascii="Times New Roman" w:cs="Times New Roman" w:eastAsia="Times New Roman" w:hAnsi="Times New Roman"/>
                <w:sz w:val="17"/>
                <w:szCs w:val="17"/>
                <w:color w:val="0000FF"/>
              </w:rPr>
              <w:t>2002)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22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Borders>
              <w:top w:val="single" w:sz="8" w:color="0000FF"/>
            </w:tcBorders>
          </w:tcPr>
          <w:p>
            <w:pPr>
              <w:spacing w:after="0"/>
              <w:rPr>
                <w:sz w:val="17"/>
                <w:szCs w:val="17"/>
                <w:color w:val="auto"/>
              </w:rPr>
            </w:pPr>
          </w:p>
        </w:tc>
        <w:tc>
          <w:tcPr>
            <w:tcW w:w="45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1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73"/>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15"/>
          </w:tcPr>
          <w:p>
            <w:pPr>
              <w:spacing w:after="0" w:line="173"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22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6"/>
        </w:trPr>
        <w:tc>
          <w:tcPr>
            <w:tcW w:w="1220" w:type="dxa"/>
            <w:vAlign w:val="bottom"/>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78"/>
        </w:trPr>
        <w:tc>
          <w:tcPr>
            <w:tcW w:w="1020" w:type="dxa"/>
            <w:vAlign w:val="bottom"/>
            <w:gridSpan w:val="5"/>
          </w:tcPr>
          <w:p>
            <w:pPr>
              <w:jc w:val="right"/>
              <w:ind w:right="60"/>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gridSpan w:val="15"/>
          </w:tcPr>
          <w:p>
            <w:pPr>
              <w:spacing w:after="0" w:line="17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6502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0240" cy="8255"/>
                    </a:xfrm>
                    <a:prstGeom prst="rect">
                      <a:avLst/>
                    </a:prstGeom>
                    <a:noFill/>
                  </pic:spPr>
                </pic:pic>
              </a:graphicData>
            </a:graphic>
          </wp:anchor>
        </w:drawing>
      </w:r>
    </w:p>
    <w:p>
      <w:pPr>
        <w:spacing w:after="0" w:line="301" w:lineRule="exact"/>
        <w:rPr>
          <w:sz w:val="20"/>
          <w:szCs w:val="20"/>
          <w:color w:val="auto"/>
        </w:rPr>
      </w:pPr>
    </w:p>
    <w:p>
      <w:pPr>
        <w:jc w:val="both"/>
        <w:ind w:left="1240" w:right="20" w:hanging="1216"/>
        <w:spacing w:after="0" w:line="221"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75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VERACYTE, INC.</w:t>
      </w:r>
    </w:p>
    <w:p>
      <w:pPr>
        <w:spacing w:after="0" w:line="325" w:lineRule="exact"/>
        <w:rPr>
          <w:sz w:val="20"/>
          <w:szCs w:val="20"/>
          <w:color w:val="auto"/>
        </w:rPr>
      </w:pPr>
    </w:p>
    <w:p>
      <w:pPr>
        <w:ind w:left="468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40640</wp:posOffset>
            </wp:positionV>
            <wp:extent cx="1950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1"/>
          <w:szCs w:val="2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jc w:val="center"/>
        <w:ind w:right="1120"/>
        <w:spacing w:after="0" w:line="211" w:lineRule="auto"/>
        <w:rPr>
          <w:sz w:val="20"/>
          <w:szCs w:val="20"/>
          <w:color w:val="auto"/>
        </w:rPr>
      </w:pPr>
      <w:r>
        <w:rPr>
          <w:rFonts w:ascii="Times New Roman" w:cs="Times New Roman" w:eastAsia="Times New Roman" w:hAnsi="Times New Roman"/>
          <w:sz w:val="21"/>
          <w:szCs w:val="21"/>
          <w:b w:val="1"/>
          <w:bCs w:val="1"/>
          <w:color w:val="auto"/>
        </w:rPr>
        <w:t>BYLAWS</w:t>
      </w:r>
    </w:p>
    <w:p>
      <w:pPr>
        <w:jc w:val="center"/>
        <w:ind w:right="1120"/>
        <w:spacing w:after="0" w:line="211" w:lineRule="auto"/>
        <w:rPr>
          <w:sz w:val="20"/>
          <w:szCs w:val="20"/>
          <w:color w:val="auto"/>
        </w:rPr>
      </w:pPr>
      <w:r>
        <w:rPr>
          <w:rFonts w:ascii="Times New Roman" w:cs="Times New Roman" w:eastAsia="Times New Roman" w:hAnsi="Times New Roman"/>
          <w:sz w:val="21"/>
          <w:szCs w:val="21"/>
          <w:b w:val="1"/>
          <w:bCs w:val="1"/>
          <w:color w:val="auto"/>
        </w:rPr>
        <w:t>OF</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VERACYTE, INC.</w:t>
      </w:r>
    </w:p>
    <w:p>
      <w:pPr>
        <w:spacing w:after="0" w:line="18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 Delaware corporation)</w:t>
      </w:r>
    </w:p>
    <w:p>
      <w:pPr>
        <w:spacing w:after="0" w:line="25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1"/>
          <w:szCs w:val="21"/>
          <w:b w:val="1"/>
          <w:bCs w:val="1"/>
          <w:color w:val="auto"/>
        </w:rPr>
        <w:t>As Amended and Restated on May 1, 2026</w:t>
      </w:r>
    </w:p>
    <w:p>
      <w:pPr>
        <w:sectPr>
          <w:pgSz w:w="11900" w:h="16838" w:orient="portrait"/>
          <w:cols w:equalWidth="0" w:num="1">
            <w:col w:w="10120"/>
          </w:cols>
          <w:pgMar w:left="1440" w:top="12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82"/>
        </w:trPr>
        <w:tc>
          <w:tcPr>
            <w:tcW w:w="1080" w:type="dxa"/>
            <w:vAlign w:val="bottom"/>
          </w:tcPr>
          <w:p>
            <w:pPr>
              <w:spacing w:after="0"/>
              <w:rPr>
                <w:sz w:val="24"/>
                <w:szCs w:val="24"/>
                <w:color w:val="auto"/>
              </w:rPr>
            </w:pPr>
          </w:p>
        </w:tc>
        <w:tc>
          <w:tcPr>
            <w:tcW w:w="7680" w:type="dxa"/>
            <w:vAlign w:val="bottom"/>
          </w:tcPr>
          <w:p>
            <w:pPr>
              <w:ind w:left="338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2460" w:type="dxa"/>
            <w:vAlign w:val="bottom"/>
          </w:tcPr>
          <w:p>
            <w:pPr>
              <w:spacing w:after="0"/>
              <w:rPr>
                <w:sz w:val="24"/>
                <w:szCs w:val="24"/>
                <w:color w:val="auto"/>
              </w:rPr>
            </w:pPr>
          </w:p>
        </w:tc>
      </w:tr>
      <w:tr>
        <w:trPr>
          <w:trHeight w:val="465"/>
        </w:trPr>
        <w:tc>
          <w:tcPr>
            <w:tcW w:w="10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Page</w:t>
            </w:r>
          </w:p>
        </w:tc>
      </w:tr>
      <w:tr>
        <w:trPr>
          <w:trHeight w:val="428"/>
        </w:trPr>
        <w:tc>
          <w:tcPr>
            <w:tcW w:w="1080" w:type="dxa"/>
            <w:vAlign w:val="bottom"/>
          </w:tcPr>
          <w:p>
            <w:pPr>
              <w:spacing w:after="0"/>
              <w:rPr>
                <w:sz w:val="20"/>
                <w:szCs w:val="20"/>
                <w:color w:val="auto"/>
              </w:rPr>
            </w:pPr>
            <w:r>
              <w:rPr>
                <w:rFonts w:ascii="Times New Roman" w:cs="Times New Roman" w:eastAsia="Times New Roman" w:hAnsi="Times New Roman"/>
                <w:sz w:val="21"/>
                <w:szCs w:val="21"/>
                <w:color w:val="auto"/>
              </w:rPr>
              <w:t>ARTICLE 1</w:t>
            </w:r>
          </w:p>
        </w:tc>
        <w:tc>
          <w:tcPr>
            <w:tcW w:w="76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5"/>
        </w:trPr>
        <w:tc>
          <w:tcPr>
            <w:tcW w:w="87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OFFICES</w:t>
            </w:r>
          </w:p>
        </w:tc>
        <w:tc>
          <w:tcPr>
            <w:tcW w:w="2460" w:type="dxa"/>
            <w:vAlign w:val="bottom"/>
          </w:tcPr>
          <w:p>
            <w:pPr>
              <w:spacing w:after="0"/>
              <w:rPr>
                <w:sz w:val="23"/>
                <w:szCs w:val="23"/>
                <w:color w:val="auto"/>
              </w:rPr>
            </w:pP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Registered Office</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1.2</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Other Offices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14"/>
        </w:trPr>
        <w:tc>
          <w:tcPr>
            <w:tcW w:w="108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ARTICLE 2</w:t>
            </w:r>
          </w:p>
        </w:tc>
        <w:tc>
          <w:tcPr>
            <w:tcW w:w="7680" w:type="dxa"/>
            <w:vAlign w:val="bottom"/>
          </w:tcPr>
          <w:p>
            <w:pPr>
              <w:spacing w:after="0"/>
              <w:rPr>
                <w:sz w:val="18"/>
                <w:szCs w:val="18"/>
                <w:color w:val="auto"/>
              </w:rPr>
            </w:pPr>
          </w:p>
        </w:tc>
        <w:tc>
          <w:tcPr>
            <w:tcW w:w="246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rPr>
              <w:t>1</w:t>
            </w:r>
          </w:p>
        </w:tc>
      </w:tr>
      <w:tr>
        <w:trPr>
          <w:trHeight w:val="265"/>
        </w:trPr>
        <w:tc>
          <w:tcPr>
            <w:tcW w:w="87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MEETING OF STOCKHOLDERS</w:t>
            </w:r>
          </w:p>
        </w:tc>
        <w:tc>
          <w:tcPr>
            <w:tcW w:w="2460" w:type="dxa"/>
            <w:vAlign w:val="bottom"/>
          </w:tcPr>
          <w:p>
            <w:pPr>
              <w:spacing w:after="0"/>
              <w:rPr>
                <w:sz w:val="23"/>
                <w:szCs w:val="23"/>
                <w:color w:val="auto"/>
              </w:rPr>
            </w:pP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2.1</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Place of Meeting</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2.2</w:t>
            </w:r>
          </w:p>
        </w:tc>
        <w:tc>
          <w:tcPr>
            <w:tcW w:w="76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Annual Meeting</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2.3</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Special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2.4</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Notice of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2.5</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List of Stockholders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2.6</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Organization and Conduct of Business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2.7</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Quorum</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2.8</w:t>
            </w:r>
          </w:p>
        </w:tc>
        <w:tc>
          <w:tcPr>
            <w:tcW w:w="76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Adjournments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2.9</w:t>
            </w:r>
          </w:p>
        </w:tc>
        <w:tc>
          <w:tcPr>
            <w:tcW w:w="76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Voting Rights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2.10</w:t>
            </w:r>
          </w:p>
        </w:tc>
        <w:tc>
          <w:tcPr>
            <w:tcW w:w="76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Action at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66"/>
        </w:trPr>
        <w:tc>
          <w:tcPr>
            <w:tcW w:w="876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2.11  Record Date for Stockholder Notice and Voting</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2.12</w:t>
            </w:r>
          </w:p>
        </w:tc>
        <w:tc>
          <w:tcPr>
            <w:tcW w:w="76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Proxies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2.13</w:t>
            </w:r>
          </w:p>
        </w:tc>
        <w:tc>
          <w:tcPr>
            <w:tcW w:w="76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Inspectors of Election</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6"/>
        </w:trPr>
        <w:tc>
          <w:tcPr>
            <w:tcW w:w="876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2.14  Action Without a Meeting</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2.15</w:t>
            </w:r>
          </w:p>
        </w:tc>
        <w:tc>
          <w:tcPr>
            <w:tcW w:w="76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Emergency Bylaws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66"/>
        </w:trPr>
        <w:tc>
          <w:tcPr>
            <w:tcW w:w="876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2.16   Delivery to the Corporation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14"/>
        </w:trPr>
        <w:tc>
          <w:tcPr>
            <w:tcW w:w="108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ARTICLE 3</w:t>
            </w:r>
          </w:p>
        </w:tc>
        <w:tc>
          <w:tcPr>
            <w:tcW w:w="7680" w:type="dxa"/>
            <w:vAlign w:val="bottom"/>
          </w:tcPr>
          <w:p>
            <w:pPr>
              <w:spacing w:after="0"/>
              <w:rPr>
                <w:sz w:val="18"/>
                <w:szCs w:val="18"/>
                <w:color w:val="auto"/>
              </w:rPr>
            </w:pPr>
          </w:p>
        </w:tc>
        <w:tc>
          <w:tcPr>
            <w:tcW w:w="246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rPr>
              <w:t>10</w:t>
            </w:r>
          </w:p>
        </w:tc>
      </w:tr>
      <w:tr>
        <w:trPr>
          <w:trHeight w:val="265"/>
        </w:trPr>
        <w:tc>
          <w:tcPr>
            <w:tcW w:w="87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DIRECTORS</w:t>
            </w:r>
          </w:p>
        </w:tc>
        <w:tc>
          <w:tcPr>
            <w:tcW w:w="2460" w:type="dxa"/>
            <w:vAlign w:val="bottom"/>
          </w:tcPr>
          <w:p>
            <w:pPr>
              <w:spacing w:after="0"/>
              <w:rPr>
                <w:sz w:val="23"/>
                <w:szCs w:val="23"/>
                <w:color w:val="auto"/>
              </w:rPr>
            </w:pP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3.1</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Number, Election, Tenure and Qualifications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3.2</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Enlargement and Vacancies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3.3</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Resignation and Removal</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3.4</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Powers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3.5</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Chair of the Board</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3.6</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Place of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3.7</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[Reserved]</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3.8</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Regular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3.9</w:t>
            </w:r>
          </w:p>
        </w:tc>
        <w:tc>
          <w:tcPr>
            <w:tcW w:w="76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Special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6"/>
        </w:trPr>
        <w:tc>
          <w:tcPr>
            <w:tcW w:w="876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3.10  Quorum, Action at Meeting, Adjournments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3.11</w:t>
            </w:r>
          </w:p>
        </w:tc>
        <w:tc>
          <w:tcPr>
            <w:tcW w:w="768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Action Without Meeting</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3.12</w:t>
            </w:r>
          </w:p>
        </w:tc>
        <w:tc>
          <w:tcPr>
            <w:tcW w:w="76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Remote Meetings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3.13</w:t>
            </w:r>
          </w:p>
        </w:tc>
        <w:tc>
          <w:tcPr>
            <w:tcW w:w="76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Committees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w:t>
            </w:r>
          </w:p>
        </w:tc>
      </w:tr>
      <w:tr>
        <w:trPr>
          <w:trHeight w:val="266"/>
        </w:trPr>
        <w:tc>
          <w:tcPr>
            <w:tcW w:w="876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3.14  Fees and Compensation of Directors</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r>
        <w:trPr>
          <w:trHeight w:val="278"/>
        </w:trPr>
        <w:tc>
          <w:tcPr>
            <w:tcW w:w="876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3.15  Submission of Questionnaire, Representation and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w:t>
            </w:r>
          </w:p>
        </w:tc>
      </w:tr>
    </w:tbl>
    <w:p>
      <w:pPr>
        <w:spacing w:after="0" w:line="200" w:lineRule="exact"/>
        <w:rPr>
          <w:sz w:val="20"/>
          <w:szCs w:val="20"/>
          <w:color w:val="auto"/>
        </w:rPr>
      </w:pPr>
    </w:p>
    <w:p>
      <w:pPr>
        <w:sectPr>
          <w:pgSz w:w="11900" w:h="16838" w:orient="portrait"/>
          <w:cols w:equalWidth="0" w:num="1">
            <w:col w:w="11220"/>
          </w:cols>
          <w:pgMar w:left="340" w:top="13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398" w:right="3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41"/>
        </w:trPr>
        <w:tc>
          <w:tcPr>
            <w:tcW w:w="1080" w:type="dxa"/>
            <w:vAlign w:val="bottom"/>
          </w:tcPr>
          <w:p>
            <w:pPr>
              <w:spacing w:after="0"/>
              <w:rPr>
                <w:sz w:val="20"/>
                <w:szCs w:val="20"/>
                <w:color w:val="auto"/>
              </w:rPr>
            </w:pPr>
            <w:r>
              <w:rPr>
                <w:rFonts w:ascii="Times New Roman" w:cs="Times New Roman" w:eastAsia="Times New Roman" w:hAnsi="Times New Roman"/>
                <w:sz w:val="21"/>
                <w:szCs w:val="21"/>
                <w:color w:val="auto"/>
              </w:rPr>
              <w:t>ARTICLE 4</w:t>
            </w:r>
          </w:p>
        </w:tc>
        <w:tc>
          <w:tcPr>
            <w:tcW w:w="7300" w:type="dxa"/>
            <w:vAlign w:val="bottom"/>
          </w:tcPr>
          <w:p>
            <w:pPr>
              <w:spacing w:after="0"/>
              <w:rPr>
                <w:sz w:val="21"/>
                <w:szCs w:val="21"/>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265"/>
        </w:trPr>
        <w:tc>
          <w:tcPr>
            <w:tcW w:w="83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OFFICERS</w:t>
            </w:r>
          </w:p>
        </w:tc>
        <w:tc>
          <w:tcPr>
            <w:tcW w:w="2820" w:type="dxa"/>
            <w:vAlign w:val="bottom"/>
          </w:tcPr>
          <w:p>
            <w:pPr>
              <w:spacing w:after="0"/>
              <w:rPr>
                <w:sz w:val="23"/>
                <w:szCs w:val="23"/>
                <w:color w:val="auto"/>
              </w:rPr>
            </w:pP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4.1</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Officers Designated</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4.2</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[Reserved]</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4.3</w:t>
            </w:r>
          </w:p>
        </w:tc>
        <w:tc>
          <w:tcPr>
            <w:tcW w:w="73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Tenure</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4.4</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Chief Executive Officer</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4.5</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President</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4.6</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Chief Financial Officer</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4.7</w:t>
            </w:r>
          </w:p>
        </w:tc>
        <w:tc>
          <w:tcPr>
            <w:tcW w:w="73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Vice President</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4.8</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Secretary</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4.9</w:t>
            </w:r>
          </w:p>
        </w:tc>
        <w:tc>
          <w:tcPr>
            <w:tcW w:w="73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Assistant Secretary</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66"/>
        </w:trPr>
        <w:tc>
          <w:tcPr>
            <w:tcW w:w="838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4.10  Treasurer and Assistant Treasurers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4.11</w:t>
            </w:r>
          </w:p>
        </w:tc>
        <w:tc>
          <w:tcPr>
            <w:tcW w:w="7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Delegation of Authority</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14"/>
        </w:trPr>
        <w:tc>
          <w:tcPr>
            <w:tcW w:w="108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ARTICLE 5</w:t>
            </w:r>
          </w:p>
        </w:tc>
        <w:tc>
          <w:tcPr>
            <w:tcW w:w="7300" w:type="dxa"/>
            <w:vAlign w:val="bottom"/>
          </w:tcPr>
          <w:p>
            <w:pPr>
              <w:spacing w:after="0"/>
              <w:rPr>
                <w:sz w:val="18"/>
                <w:szCs w:val="18"/>
                <w:color w:val="auto"/>
              </w:rPr>
            </w:pPr>
          </w:p>
        </w:tc>
        <w:tc>
          <w:tcPr>
            <w:tcW w:w="282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rPr>
              <w:t>22</w:t>
            </w:r>
          </w:p>
        </w:tc>
      </w:tr>
      <w:tr>
        <w:trPr>
          <w:trHeight w:val="265"/>
        </w:trPr>
        <w:tc>
          <w:tcPr>
            <w:tcW w:w="83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NOTICES</w:t>
            </w:r>
          </w:p>
        </w:tc>
        <w:tc>
          <w:tcPr>
            <w:tcW w:w="2820" w:type="dxa"/>
            <w:vAlign w:val="bottom"/>
          </w:tcPr>
          <w:p>
            <w:pPr>
              <w:spacing w:after="0"/>
              <w:rPr>
                <w:sz w:val="23"/>
                <w:szCs w:val="23"/>
                <w:color w:val="auto"/>
              </w:rPr>
            </w:pP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5.1</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Form and Delivery</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5.2</w:t>
            </w:r>
          </w:p>
        </w:tc>
        <w:tc>
          <w:tcPr>
            <w:tcW w:w="73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Affidavit of Giving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5.3</w:t>
            </w:r>
          </w:p>
        </w:tc>
        <w:tc>
          <w:tcPr>
            <w:tcW w:w="73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Waiver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14"/>
        </w:trPr>
        <w:tc>
          <w:tcPr>
            <w:tcW w:w="108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ARTICLE 6</w:t>
            </w:r>
          </w:p>
        </w:tc>
        <w:tc>
          <w:tcPr>
            <w:tcW w:w="7300" w:type="dxa"/>
            <w:vAlign w:val="bottom"/>
          </w:tcPr>
          <w:p>
            <w:pPr>
              <w:spacing w:after="0"/>
              <w:rPr>
                <w:sz w:val="18"/>
                <w:szCs w:val="18"/>
                <w:color w:val="auto"/>
              </w:rPr>
            </w:pPr>
          </w:p>
        </w:tc>
        <w:tc>
          <w:tcPr>
            <w:tcW w:w="282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rPr>
              <w:t>23</w:t>
            </w:r>
          </w:p>
        </w:tc>
      </w:tr>
      <w:tr>
        <w:trPr>
          <w:trHeight w:val="265"/>
        </w:trPr>
        <w:tc>
          <w:tcPr>
            <w:tcW w:w="83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INDEMNIFICATION AND INSURANCE</w:t>
            </w:r>
          </w:p>
        </w:tc>
        <w:tc>
          <w:tcPr>
            <w:tcW w:w="2820" w:type="dxa"/>
            <w:vAlign w:val="bottom"/>
          </w:tcPr>
          <w:p>
            <w:pPr>
              <w:spacing w:after="0"/>
              <w:rPr>
                <w:sz w:val="23"/>
                <w:szCs w:val="23"/>
                <w:color w:val="auto"/>
              </w:rPr>
            </w:pP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Indemnification</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6.2</w:t>
            </w:r>
          </w:p>
        </w:tc>
        <w:tc>
          <w:tcPr>
            <w:tcW w:w="73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Advance Payment</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6.3</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Non-Exclusivity and Survival of Rights; Amendments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6.4</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Determination; Claim</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6.5</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Insurance</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6.6</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Severability</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6.7</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Reliance</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6.8</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Indemnification of Other Persons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6.9</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Indemnification for Successful Defense</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14"/>
        </w:trPr>
        <w:tc>
          <w:tcPr>
            <w:tcW w:w="108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ARTICLE 7</w:t>
            </w:r>
          </w:p>
        </w:tc>
        <w:tc>
          <w:tcPr>
            <w:tcW w:w="7300" w:type="dxa"/>
            <w:vAlign w:val="bottom"/>
          </w:tcPr>
          <w:p>
            <w:pPr>
              <w:spacing w:after="0"/>
              <w:rPr>
                <w:sz w:val="18"/>
                <w:szCs w:val="18"/>
                <w:color w:val="auto"/>
              </w:rPr>
            </w:pPr>
          </w:p>
        </w:tc>
        <w:tc>
          <w:tcPr>
            <w:tcW w:w="282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rPr>
              <w:t>26</w:t>
            </w:r>
          </w:p>
        </w:tc>
      </w:tr>
      <w:tr>
        <w:trPr>
          <w:trHeight w:val="265"/>
        </w:trPr>
        <w:tc>
          <w:tcPr>
            <w:tcW w:w="83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CAPITAL STOCK</w:t>
            </w:r>
          </w:p>
        </w:tc>
        <w:tc>
          <w:tcPr>
            <w:tcW w:w="2820" w:type="dxa"/>
            <w:vAlign w:val="bottom"/>
          </w:tcPr>
          <w:p>
            <w:pPr>
              <w:spacing w:after="0"/>
              <w:rPr>
                <w:sz w:val="23"/>
                <w:szCs w:val="23"/>
                <w:color w:val="auto"/>
              </w:rPr>
            </w:pP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7.1</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Certificates for Shares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7.2</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Signatures on Certificates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7.3</w:t>
            </w:r>
          </w:p>
        </w:tc>
        <w:tc>
          <w:tcPr>
            <w:tcW w:w="73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Transfer of Stock</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7.4</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Registered Stockholders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7.5</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Lost, Stolen or Destroyed Certificates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14"/>
        </w:trPr>
        <w:tc>
          <w:tcPr>
            <w:tcW w:w="108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ARTICLE 8</w:t>
            </w:r>
          </w:p>
        </w:tc>
        <w:tc>
          <w:tcPr>
            <w:tcW w:w="7300" w:type="dxa"/>
            <w:vAlign w:val="bottom"/>
          </w:tcPr>
          <w:p>
            <w:pPr>
              <w:spacing w:after="0"/>
              <w:rPr>
                <w:sz w:val="18"/>
                <w:szCs w:val="18"/>
                <w:color w:val="auto"/>
              </w:rPr>
            </w:pPr>
          </w:p>
        </w:tc>
        <w:tc>
          <w:tcPr>
            <w:tcW w:w="282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rPr>
              <w:t>27</w:t>
            </w:r>
          </w:p>
        </w:tc>
      </w:tr>
      <w:tr>
        <w:trPr>
          <w:trHeight w:val="265"/>
        </w:trPr>
        <w:tc>
          <w:tcPr>
            <w:tcW w:w="838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GENERAL PROVISIONS</w:t>
            </w:r>
          </w:p>
        </w:tc>
        <w:tc>
          <w:tcPr>
            <w:tcW w:w="2820" w:type="dxa"/>
            <w:vAlign w:val="bottom"/>
          </w:tcPr>
          <w:p>
            <w:pPr>
              <w:spacing w:after="0"/>
              <w:rPr>
                <w:sz w:val="23"/>
                <w:szCs w:val="23"/>
                <w:color w:val="auto"/>
              </w:rPr>
            </w:pP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8.1</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Dividends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8.2</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Checks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8.3</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Corporate Seal</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6"/>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8.4</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Execution of Corporate Contracts and Instruments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78"/>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8.5</w:t>
            </w:r>
          </w:p>
        </w:tc>
        <w:tc>
          <w:tcPr>
            <w:tcW w:w="73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Representation of Shares of Other Corporations</w:t>
            </w:r>
          </w:p>
        </w:tc>
        <w:tc>
          <w:tcPr>
            <w:tcW w:w="28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bl>
    <w:p>
      <w:pPr>
        <w:spacing w:after="0" w:line="200" w:lineRule="exact"/>
        <w:rPr>
          <w:sz w:val="20"/>
          <w:szCs w:val="20"/>
          <w:color w:val="auto"/>
        </w:rPr>
      </w:pPr>
    </w:p>
    <w:p>
      <w:pPr>
        <w:sectPr>
          <w:pgSz w:w="11900" w:h="16838" w:orient="portrait"/>
          <w:cols w:equalWidth="0" w:num="1">
            <w:col w:w="11200"/>
          </w:cols>
          <w:pgMar w:left="340" w:top="14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01" w:right="35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41"/>
        </w:trPr>
        <w:tc>
          <w:tcPr>
            <w:tcW w:w="6820" w:type="dxa"/>
            <w:vAlign w:val="bottom"/>
          </w:tcPr>
          <w:p>
            <w:pPr>
              <w:spacing w:after="0"/>
              <w:rPr>
                <w:sz w:val="20"/>
                <w:szCs w:val="20"/>
                <w:color w:val="auto"/>
              </w:rPr>
            </w:pPr>
            <w:r>
              <w:rPr>
                <w:rFonts w:ascii="Times New Roman" w:cs="Times New Roman" w:eastAsia="Times New Roman" w:hAnsi="Times New Roman"/>
                <w:sz w:val="21"/>
                <w:szCs w:val="21"/>
                <w:color w:val="auto"/>
              </w:rPr>
              <w:t>ARTICLE 9</w:t>
            </w:r>
          </w:p>
        </w:tc>
        <w:tc>
          <w:tcPr>
            <w:tcW w:w="4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65"/>
        </w:trPr>
        <w:tc>
          <w:tcPr>
            <w:tcW w:w="68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AMENDMENTS</w:t>
            </w:r>
          </w:p>
        </w:tc>
        <w:tc>
          <w:tcPr>
            <w:tcW w:w="4380" w:type="dxa"/>
            <w:vAlign w:val="bottom"/>
          </w:tcPr>
          <w:p>
            <w:pPr>
              <w:spacing w:after="0"/>
              <w:rPr>
                <w:sz w:val="23"/>
                <w:szCs w:val="23"/>
                <w:color w:val="auto"/>
              </w:rPr>
            </w:pPr>
          </w:p>
        </w:tc>
      </w:tr>
      <w:tr>
        <w:trPr>
          <w:trHeight w:val="214"/>
        </w:trPr>
        <w:tc>
          <w:tcPr>
            <w:tcW w:w="6820" w:type="dxa"/>
            <w:vAlign w:val="bottom"/>
          </w:tcPr>
          <w:p>
            <w:pPr>
              <w:spacing w:after="0" w:line="214" w:lineRule="exact"/>
              <w:rPr>
                <w:sz w:val="20"/>
                <w:szCs w:val="20"/>
                <w:color w:val="auto"/>
              </w:rPr>
            </w:pPr>
            <w:r>
              <w:rPr>
                <w:rFonts w:ascii="Times New Roman" w:cs="Times New Roman" w:eastAsia="Times New Roman" w:hAnsi="Times New Roman"/>
                <w:sz w:val="21"/>
                <w:szCs w:val="21"/>
                <w:color w:val="auto"/>
              </w:rPr>
              <w:t>ARTICLE 10</w:t>
            </w:r>
          </w:p>
        </w:tc>
        <w:tc>
          <w:tcPr>
            <w:tcW w:w="4380" w:type="dxa"/>
            <w:vAlign w:val="bottom"/>
          </w:tcPr>
          <w:p>
            <w:pPr>
              <w:jc w:val="right"/>
              <w:spacing w:after="0" w:line="214" w:lineRule="exact"/>
              <w:rPr>
                <w:sz w:val="20"/>
                <w:szCs w:val="20"/>
                <w:color w:val="auto"/>
              </w:rPr>
            </w:pPr>
            <w:r>
              <w:rPr>
                <w:rFonts w:ascii="Times New Roman" w:cs="Times New Roman" w:eastAsia="Times New Roman" w:hAnsi="Times New Roman"/>
                <w:sz w:val="21"/>
                <w:szCs w:val="21"/>
                <w:color w:val="auto"/>
              </w:rPr>
              <w:t>28</w:t>
            </w:r>
          </w:p>
        </w:tc>
      </w:tr>
      <w:tr>
        <w:trPr>
          <w:trHeight w:val="278"/>
        </w:trPr>
        <w:tc>
          <w:tcPr>
            <w:tcW w:w="6820" w:type="dxa"/>
            <w:vAlign w:val="bottom"/>
          </w:tcPr>
          <w:p>
            <w:pPr>
              <w:ind w:left="640"/>
              <w:spacing w:after="0"/>
              <w:rPr>
                <w:sz w:val="20"/>
                <w:szCs w:val="20"/>
                <w:color w:val="auto"/>
              </w:rPr>
            </w:pPr>
            <w:r>
              <w:rPr>
                <w:rFonts w:ascii="Times New Roman" w:cs="Times New Roman" w:eastAsia="Times New Roman" w:hAnsi="Times New Roman"/>
                <w:sz w:val="21"/>
                <w:szCs w:val="21"/>
                <w:color w:val="auto"/>
              </w:rPr>
              <w:t>EXCLUSIVE FORUM</w:t>
            </w:r>
          </w:p>
        </w:tc>
        <w:tc>
          <w:tcPr>
            <w:tcW w:w="4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401" w:right="35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AMENDED AND RESTATED</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BYLAWS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VERACYTE, INC.</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 Delaware corporation)</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010000"/>
        </w:rPr>
        <w:t>ARTICLE 1</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OFFICES</w:t>
      </w:r>
    </w:p>
    <w:p>
      <w:pPr>
        <w:spacing w:after="0" w:line="200" w:lineRule="exact"/>
        <w:rPr>
          <w:sz w:val="20"/>
          <w:szCs w:val="20"/>
          <w:color w:val="auto"/>
        </w:rPr>
      </w:pPr>
    </w:p>
    <w:p>
      <w:pPr>
        <w:ind w:right="280" w:firstLine="638"/>
        <w:spacing w:after="0" w:line="300" w:lineRule="auto"/>
        <w:rPr>
          <w:sz w:val="20"/>
          <w:szCs w:val="20"/>
          <w:color w:val="auto"/>
        </w:rPr>
      </w:pPr>
      <w:r>
        <w:rPr>
          <w:rFonts w:ascii="Times New Roman" w:cs="Times New Roman" w:eastAsia="Times New Roman" w:hAnsi="Times New Roman"/>
          <w:sz w:val="21"/>
          <w:szCs w:val="21"/>
          <w:color w:val="010000"/>
        </w:rPr>
        <w:t xml:space="preserve">1.1 </w:t>
      </w:r>
      <w:r>
        <w:rPr>
          <w:rFonts w:ascii="Times New Roman" w:cs="Times New Roman" w:eastAsia="Times New Roman" w:hAnsi="Times New Roman"/>
          <w:sz w:val="21"/>
          <w:szCs w:val="21"/>
          <w:color w:val="000000"/>
        </w:rPr>
        <w:t>Registered Office. The registered office of the corporation shall be set forth in the certificate of incorporation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corporation (the “Certificate of Incorporation”).</w:t>
      </w:r>
    </w:p>
    <w:p>
      <w:pPr>
        <w:spacing w:after="0" w:line="128" w:lineRule="exact"/>
        <w:rPr>
          <w:sz w:val="20"/>
          <w:szCs w:val="20"/>
          <w:color w:val="auto"/>
        </w:rPr>
      </w:pPr>
    </w:p>
    <w:p>
      <w:pPr>
        <w:jc w:val="both"/>
        <w:ind w:right="720" w:firstLine="638"/>
        <w:spacing w:after="0" w:line="269" w:lineRule="auto"/>
        <w:rPr>
          <w:sz w:val="20"/>
          <w:szCs w:val="20"/>
          <w:color w:val="auto"/>
        </w:rPr>
      </w:pPr>
      <w:r>
        <w:rPr>
          <w:rFonts w:ascii="Times New Roman" w:cs="Times New Roman" w:eastAsia="Times New Roman" w:hAnsi="Times New Roman"/>
          <w:sz w:val="21"/>
          <w:szCs w:val="21"/>
          <w:color w:val="010000"/>
        </w:rPr>
        <w:t xml:space="preserve">1.2 </w:t>
      </w:r>
      <w:r>
        <w:rPr>
          <w:rFonts w:ascii="Times New Roman" w:cs="Times New Roman" w:eastAsia="Times New Roman" w:hAnsi="Times New Roman"/>
          <w:sz w:val="21"/>
          <w:szCs w:val="21"/>
          <w:color w:val="000000"/>
        </w:rPr>
        <w:t>Other Offices. The corporation may also have offices at such other places, either within or without the State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Delaware, as the board of directors of the corporation (the “Board”) may from time to time designate or the business of the corporation may require.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010000"/>
        </w:rPr>
        <w:t>ARTICLE 2</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MEETING OF STOCKHOLDERS</w:t>
      </w:r>
    </w:p>
    <w:p>
      <w:pPr>
        <w:spacing w:after="0" w:line="213" w:lineRule="exact"/>
        <w:rPr>
          <w:sz w:val="20"/>
          <w:szCs w:val="20"/>
          <w:color w:val="auto"/>
        </w:rPr>
      </w:pPr>
    </w:p>
    <w:p>
      <w:pPr>
        <w:ind w:right="40" w:firstLine="638"/>
        <w:spacing w:after="0" w:line="260" w:lineRule="auto"/>
        <w:rPr>
          <w:sz w:val="20"/>
          <w:szCs w:val="20"/>
          <w:color w:val="auto"/>
        </w:rPr>
      </w:pPr>
      <w:r>
        <w:rPr>
          <w:rFonts w:ascii="Times New Roman" w:cs="Times New Roman" w:eastAsia="Times New Roman" w:hAnsi="Times New Roman"/>
          <w:sz w:val="21"/>
          <w:szCs w:val="21"/>
          <w:color w:val="010000"/>
        </w:rPr>
        <w:t xml:space="preserve">2.1 </w:t>
      </w:r>
      <w:r>
        <w:rPr>
          <w:rFonts w:ascii="Times New Roman" w:cs="Times New Roman" w:eastAsia="Times New Roman" w:hAnsi="Times New Roman"/>
          <w:sz w:val="21"/>
          <w:szCs w:val="21"/>
          <w:color w:val="000000"/>
        </w:rPr>
        <w:t>Place of Meeting. Meetings of stockholders may be held at such place, either within or without the State of Delaware,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as may be designated by or in the manner provided in these bylaws, or, if not so designated, at the principal executive offices of the corporation. In lieu of holding a meeting of stockholders at a designated place, the Board, in its sole discretion, may determine that any meeting of stockholders may be held solely by means of remote communication. The Board may postpone, reschedule or cancel at any time and for any reason any previously scheduled special or annual meeting of stockholders, before or after the notice for such meeting has been sent to the stockholders.</w:t>
      </w:r>
    </w:p>
    <w:p>
      <w:pPr>
        <w:spacing w:after="0" w:line="172" w:lineRule="exact"/>
        <w:rPr>
          <w:sz w:val="20"/>
          <w:szCs w:val="20"/>
          <w:color w:val="auto"/>
        </w:rPr>
      </w:pPr>
    </w:p>
    <w:p>
      <w:pPr>
        <w:ind w:firstLine="638"/>
        <w:spacing w:after="0" w:line="263" w:lineRule="auto"/>
        <w:rPr>
          <w:sz w:val="20"/>
          <w:szCs w:val="20"/>
          <w:color w:val="auto"/>
        </w:rPr>
      </w:pPr>
      <w:r>
        <w:rPr>
          <w:rFonts w:ascii="Times New Roman" w:cs="Times New Roman" w:eastAsia="Times New Roman" w:hAnsi="Times New Roman"/>
          <w:sz w:val="21"/>
          <w:szCs w:val="21"/>
          <w:color w:val="010000"/>
        </w:rPr>
        <w:t xml:space="preserve">2.2 </w:t>
      </w:r>
      <w:r>
        <w:rPr>
          <w:rFonts w:ascii="Times New Roman" w:cs="Times New Roman" w:eastAsia="Times New Roman" w:hAnsi="Times New Roman"/>
          <w:sz w:val="21"/>
          <w:szCs w:val="21"/>
          <w:color w:val="000000"/>
        </w:rPr>
        <w:t>Annual Meeting. Annual meetings of stockholders shall be held each year at such date and time as shall be designated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from time to time by the Board and stated in the notice of the meeting. At each such annual meeting, the stockholders shall elect the number of directors equal to the number of directors whose term expires at such meeting (or, if fewer, the number of directors properly nominated and qualified for election). The stockholders shall also transact such other business as may properly be brought before the meeting.</w:t>
      </w:r>
    </w:p>
    <w:p>
      <w:pPr>
        <w:spacing w:after="0" w:line="166" w:lineRule="exact"/>
        <w:rPr>
          <w:sz w:val="20"/>
          <w:szCs w:val="20"/>
          <w:color w:val="auto"/>
        </w:rPr>
      </w:pPr>
    </w:p>
    <w:p>
      <w:pPr>
        <w:ind w:right="140" w:firstLine="638"/>
        <w:spacing w:after="0" w:line="258" w:lineRule="auto"/>
        <w:rPr>
          <w:sz w:val="20"/>
          <w:szCs w:val="20"/>
          <w:color w:val="auto"/>
        </w:rPr>
      </w:pPr>
      <w:r>
        <w:rPr>
          <w:rFonts w:ascii="Times New Roman" w:cs="Times New Roman" w:eastAsia="Times New Roman" w:hAnsi="Times New Roman"/>
          <w:sz w:val="21"/>
          <w:szCs w:val="21"/>
          <w:color w:val="auto"/>
        </w:rPr>
        <w:t>To be properly brought before the annual meeting, business must be (a) specified in the notice of meeting (or any supplement thereto) given by or at the direction of the Board (or a committee thereof), (b) otherwise properly brought before the meeting by or at the direction of the Board, or (c) otherwise properly brought before the meeting by a stockholder who is a stockholder of record of the corporation (and, with respect to any beneficial owner, if different, on whose behalf such business is proposed, only if such beneficial owner was the beneficial owner of shares of the corporation) at the time of giving of the notice provided for in this Section and at the time of the annual meeting, who is entitled to vote at the meeting, and who timely complies with the notice, information and other procedures and requirements set forth in this Section. The requirements of this Section shall apply to any business to be brought before an</w:t>
      </w:r>
    </w:p>
    <w:p>
      <w:pPr>
        <w:sectPr>
          <w:pgSz w:w="11900" w:h="16838" w:orient="portrait"/>
          <w:cols w:equalWidth="0" w:num="1">
            <w:col w:w="11240"/>
          </w:cols>
          <w:pgMar w:left="320" w:top="1398" w:right="339" w:bottom="1440" w:gutter="0" w:footer="0" w:header="0"/>
        </w:sectPr>
      </w:pPr>
    </w:p>
    <w:bookmarkStart w:id="41" w:name="page42"/>
    <w:bookmarkEnd w:id="41"/>
    <w:p>
      <w:pPr>
        <w:spacing w:after="0" w:line="257" w:lineRule="auto"/>
        <w:rPr>
          <w:sz w:val="20"/>
          <w:szCs w:val="20"/>
          <w:color w:val="auto"/>
        </w:rPr>
      </w:pPr>
      <w:r>
        <w:rPr>
          <w:rFonts w:ascii="Times New Roman" w:cs="Times New Roman" w:eastAsia="Times New Roman" w:hAnsi="Times New Roman"/>
          <w:sz w:val="21"/>
          <w:szCs w:val="21"/>
          <w:color w:val="auto"/>
        </w:rPr>
        <w:t>annual meeting by a stockholder, other than (i) the nomination of a person for election as a director, which must be made in compliance with, and shall be exclusively governed by, Section 3.1 of these bylaws, and (ii) matters properly brought under Rule 14a-8 (or any successor rule or regulation) promulgated under the Securities Exchange Act of 1934 (the “Exchange Act”) and included in the corporation’s notice of meeting. In addition, if the stockholder, the beneficial owner, if any, or any associated person (as defined below) of such stockholder or beneficial owner has provided the corporation with a Solicitation Notice (as defined below), such stockholder, beneficial owner, if any, or associated person of such stockholder or beneficial owner must have delivered a proxy statement and form of proxy to holders of at least the percentage of the corporation’s capital stock required under applicable law to carry such proposals and must have included in such materials the Solicitation Notice. If no Solicitation Notice relating thereto has been timely provided pursuant to this Section 2.2, the stockholder, the beneficial owner, if any, or any associated person of such stockholder or beneficial owner proposing such business must not have solicited a number of proxies sufficient to have required the delivery of such a Solicitation Notice under this Section 2.2.</w:t>
      </w:r>
    </w:p>
    <w:p>
      <w:pPr>
        <w:spacing w:after="0" w:line="174" w:lineRule="exact"/>
        <w:rPr>
          <w:sz w:val="20"/>
          <w:szCs w:val="20"/>
          <w:color w:val="auto"/>
        </w:rPr>
      </w:pPr>
    </w:p>
    <w:p>
      <w:pPr>
        <w:ind w:right="60" w:firstLine="638"/>
        <w:spacing w:after="0" w:line="256" w:lineRule="auto"/>
        <w:rPr>
          <w:sz w:val="20"/>
          <w:szCs w:val="20"/>
          <w:color w:val="auto"/>
        </w:rPr>
      </w:pPr>
      <w:r>
        <w:rPr>
          <w:rFonts w:ascii="Times New Roman" w:cs="Times New Roman" w:eastAsia="Times New Roman" w:hAnsi="Times New Roman"/>
          <w:sz w:val="21"/>
          <w:szCs w:val="21"/>
          <w:color w:val="auto"/>
        </w:rPr>
        <w:t>For business to be properly brought before an annual meeting by a stockholder, the stockholder must have given timely notice to the Secretary of the corporation in proper written form of the stockholder’s intent to propose such business and the business proposed must be otherwise proper to be brought before the meeting. To be timely, the stockholder’s notice must be received by the Secretary of the corporation at the principal executive offices of the corporation not earlier than 5:00 p.m. Eastern Time on the 120th day nor later than 5:00 p.m. Eastern Time on the 90th day prior to the first anniversary date of the preceding year’s annual meeting of stockholders; provided, however,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5:00 p.m. Eastern Time on the later of (x) the 90th day prior to the date of such scheduled annual meeting and (y) the 10th day following the earlier to occur of the day on which notice of the date of the scheduled annual meeting was given or day on which public announcement (as defined below) of the date of such scheduled annual meeting was first made. In no event shall any adjournment, postponement or rescheduling (or a public announcement thereof) of an annual meeting for which notice has been given or a public announcement of the meeting date has been made commence a new time period (or extend any time period) for the giving of the stockholder’s notice as described above.</w:t>
      </w:r>
    </w:p>
    <w:p>
      <w:pPr>
        <w:spacing w:after="0" w:line="183" w:lineRule="exact"/>
        <w:rPr>
          <w:sz w:val="20"/>
          <w:szCs w:val="20"/>
          <w:color w:val="auto"/>
        </w:rPr>
      </w:pPr>
    </w:p>
    <w:p>
      <w:pPr>
        <w:ind w:firstLine="638"/>
        <w:spacing w:after="0" w:line="259" w:lineRule="auto"/>
        <w:rPr>
          <w:sz w:val="20"/>
          <w:szCs w:val="20"/>
          <w:color w:val="auto"/>
        </w:rPr>
      </w:pPr>
      <w:r>
        <w:rPr>
          <w:rFonts w:ascii="Times New Roman" w:cs="Times New Roman" w:eastAsia="Times New Roman" w:hAnsi="Times New Roman"/>
          <w:sz w:val="21"/>
          <w:szCs w:val="21"/>
          <w:color w:val="auto"/>
        </w:rPr>
        <w:t>A stockholder’s notice to the Secretary shall set forth the following as to each matter the stockholder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and the reasons for conducting such business at the annual meeting; and (ii) as to the stockholder giving the notice, the beneficial owner, if any, on whose behalf the business is being proposed and any associated person of such stockholder or beneficial owner, (A) the name and address, as they appear on the corporation’s books, of the stockholder, the name and address of the beneficial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402" w:right="359" w:bottom="1440" w:gutter="0" w:footer="0" w:header="0"/>
        </w:sectPr>
      </w:pPr>
    </w:p>
    <w:bookmarkStart w:id="42" w:name="page43"/>
    <w:bookmarkEnd w:id="42"/>
    <w:p>
      <w:pPr>
        <w:spacing w:after="0" w:line="254" w:lineRule="auto"/>
        <w:rPr>
          <w:sz w:val="20"/>
          <w:szCs w:val="20"/>
          <w:color w:val="auto"/>
        </w:rPr>
      </w:pPr>
      <w:r>
        <w:rPr>
          <w:rFonts w:ascii="Times New Roman" w:cs="Times New Roman" w:eastAsia="Times New Roman" w:hAnsi="Times New Roman"/>
          <w:sz w:val="21"/>
          <w:szCs w:val="21"/>
          <w:color w:val="auto"/>
        </w:rPr>
        <w:t>owner, if any, and the name and address of any person who is an associated person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(C) certification regarding whether such stockholder, beneficial owner, if any, and any associated person of such stockholder or beneficial owner has complied with all applicable federal, state and other legal requirements in connection with such stockholder’s, beneficial owner’s and any associated person’s of such stockholder or beneficial owner acquisition of shares of capital stock or other securities of the corporation and/or such stockholder’s, beneficial owner’s and any associated person’s of such stockholder or beneficial owner acts or omissions as a stockholder of the corporation, (D) any material interest (including any substantial interest within the meaning of Item 5 of Schedule 14A under the Exchange Act) in such business of the stockholder, the beneficial owner, if any, and any associated person of the stockholder or the beneficial owner, (E) a representation (x) as to whether or not the stockholder, any beneficial owner or any other participant (used herein as defined in Item 4 of Schedule 14A under the Exchange Act) will engage in a solicitation within the meaning of Exchange Act Rule 14a-1(l) with respect to the business proposal and, if so, the name of each participant in such solicitation and the amount of the cost of the solicitation that has been and will be borne (directly or indirectly) by each participant in such solicitation and (y) as to whether the stockholder, the beneficial owner, if any, or any associated person of such stockholder or beneficial owner intends, or is or intends to be part of a group that intends, to (i) deliver, or make available, a proxy statement and/or form of proxy to holders of at least the percentage of the corporation’s outstanding shares that, together with shares owned by the stockholder, the beneficial owner or associated person of such stockholder or beneficial owner and any such group, would be required to approve or adopt such business and/or (ii) otherwise to solicit proxies from stockholders in support of such business (an affirmative statement of such intent to solicit in accordance with the foregoing clause (E)(y)(i) being a “Solicitation Notice”), and (F) any other information that would be required to be provided by the stockholder, the beneficial owner, if any, and any person who is an associated person of the stockholder or the beneficial owner pursuant to the Section 14 of the Exchange Act and the rules and regulations promulgated thereunder assuming that the stockholder or the beneficial owner were to request that the corporation include such business in the corporation’s proxy statement as a stockholder proposal; (G) the class, series and number of shares of the corporation that are owned beneficially by the stockholder or beneficial owner and any associated person thereof as of the date of the notice, (H) any derivative or short positions held or beneficially held by the stockholder or beneficial owner and any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associated person thereof with respect to the corporation’s securities, (I) a representation that the stockholder will provide the corporation in writing the information required by clauses (A) through (J) of this paragraph updated as of the record date for the meeting promptly following the later of the record date or the date on which public announcement of the record date was first made, (J) a description of any agreement, arrangement or understanding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02" w:right="339" w:bottom="1440" w:gutter="0" w:footer="0" w:header="0"/>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21"/>
          <w:szCs w:val="21"/>
          <w:color w:val="auto"/>
        </w:rPr>
        <w:t>business between or among the stockholder or beneficial owner and any associated person thereof, and any other person or persons, on the other hand, (including their names) in connection with such business (and/or the voting of shares of any class or series of capital stock of the corporation) (including any agreement that would be required to be disclosed pursuant to Item 5 or Item 6 of Schedule 13D under the Exchange Act (or any successor schedule), regardless of whether the requirement to file a Schedule 13D is applicable to the stockholder, beneficial owner or associated person of such stockholder or beneficial owner), and (iv) a representation that the stockholder (or a qualified representative (as defined below) of the stockholder) intends to appear at the meeting (including virtually in the case of a meeting conducted solely by means of remote communications) to propose such business.</w:t>
      </w:r>
    </w:p>
    <w:p>
      <w:pPr>
        <w:spacing w:after="0" w:line="184" w:lineRule="exact"/>
        <w:rPr>
          <w:sz w:val="20"/>
          <w:szCs w:val="20"/>
          <w:color w:val="auto"/>
        </w:rPr>
      </w:pPr>
    </w:p>
    <w:p>
      <w:pPr>
        <w:ind w:firstLine="638"/>
        <w:spacing w:after="0" w:line="254" w:lineRule="auto"/>
        <w:rPr>
          <w:sz w:val="20"/>
          <w:szCs w:val="20"/>
          <w:color w:val="auto"/>
        </w:rPr>
      </w:pPr>
      <w:r>
        <w:rPr>
          <w:rFonts w:ascii="Times New Roman" w:cs="Times New Roman" w:eastAsia="Times New Roman" w:hAnsi="Times New Roman"/>
          <w:sz w:val="21"/>
          <w:szCs w:val="21"/>
          <w:color w:val="auto"/>
        </w:rPr>
        <w:t>Notwithstanding anything in these bylaws to the contrary, (a) no business shall be conducted at the annual meeting except in accordance with the procedures set forth in this Section; and (b) unless otherwise required by law, if a stockholder intending to propose business at an annual meeting pursuant to the preceding paragraph does not provide the updated information required under clause (ii) of the preceding paragraph to the corporation promptly following the later of the record date or the date on which public announcement of the record date was first made, the stockholder (or a qualified representative of the stockholder) does not appear at the meeting to present the proposed business or any stockholder, beneficial owner or an associated person of such stockholder or beneficial owner acted contrary to any representation, certification or agreement required by this Section 2.2 or otherwise failed to comply with this Section 2.2 (or any law, rule or regulation identified in this Section 2.2) or provided false or misleading information to the corporation, such business shall not be transacted, notwithstanding that proxies in respect of such business may have been received by the corporation. For purposes of these bylaws, to be considered a “qualified representative” of the stockholder, a person must be a duly authorized officer, manager, trustee or partner of such stockholder or authorized by a writing executed by such stockholder (or a reliable reproduction or electronic transmission of the writing) delivered to the corporation at least 5 business days prior to the meeting by the stockholder stating that the person is authorized to act for the stockholder as proxy at the meeting of stockholders. Notwithstanding the foregoing provisions of this Section, a stockholder shall also comply with all applicable requirements of the Exchange Act and the rules and regulations thereunder with respect to the matters set forth in this Section, and any violation thereof shall be deemed a violation of these bylaws; provided, however, that any references in this Section to the Exchange Act or the rules and regulations thereunder are not intended to and shall not limit the requirements applicable to proposals as to any business to be considered pursuant to the preceding paragraph. The requirements set forth in the preceding paragraph of this Section are intended to provide the corporation with notice of a stockholder’s intention to bring business before an annual meeting and related information and shall in no event be construed as imposing upon any stockholder the requirement to seek approval from the corporation as a condition precedent to bringing any such business before an annual meeting. Nothing in this Section 2.2 or Sections 2.3 or 3.1 shall be deemed to affect any rights (i) of stockholders to request inclusion of proposals in the corporation’s proxy statement pursuant to Rule 14a-8 (or any successor rule or regulation) promulgated under the Exchange Act or (ii) of the holders of any class or series of stock having a preference over the common stock as to dividends or upon liquidation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02" w:right="339" w:bottom="1440" w:gutter="0" w:footer="0" w:header="0"/>
        </w:sectPr>
      </w:pPr>
    </w:p>
    <w:bookmarkStart w:id="44" w:name="page45"/>
    <w:bookmarkEnd w:id="44"/>
    <w:p>
      <w:pPr>
        <w:ind w:right="440"/>
        <w:spacing w:after="0" w:line="286" w:lineRule="auto"/>
        <w:rPr>
          <w:sz w:val="20"/>
          <w:szCs w:val="20"/>
          <w:color w:val="auto"/>
        </w:rPr>
      </w:pPr>
      <w:r>
        <w:rPr>
          <w:rFonts w:ascii="Times New Roman" w:cs="Times New Roman" w:eastAsia="Times New Roman" w:hAnsi="Times New Roman"/>
          <w:sz w:val="21"/>
          <w:szCs w:val="21"/>
          <w:color w:val="auto"/>
        </w:rPr>
        <w:t>nominations of persons for election to the Board if and to the extent provided for under law, the Certificate of Incorporation, or these bylaws.</w:t>
      </w:r>
    </w:p>
    <w:p>
      <w:pPr>
        <w:spacing w:after="0" w:line="142" w:lineRule="exact"/>
        <w:rPr>
          <w:sz w:val="20"/>
          <w:szCs w:val="20"/>
          <w:color w:val="auto"/>
        </w:rPr>
      </w:pPr>
    </w:p>
    <w:p>
      <w:pPr>
        <w:ind w:right="180" w:firstLine="638"/>
        <w:spacing w:after="0" w:line="263" w:lineRule="auto"/>
        <w:rPr>
          <w:sz w:val="20"/>
          <w:szCs w:val="20"/>
          <w:color w:val="auto"/>
        </w:rPr>
      </w:pPr>
      <w:r>
        <w:rPr>
          <w:rFonts w:ascii="Times New Roman" w:cs="Times New Roman" w:eastAsia="Times New Roman" w:hAnsi="Times New Roman"/>
          <w:sz w:val="21"/>
          <w:szCs w:val="21"/>
          <w:color w:val="auto"/>
        </w:rPr>
        <w:t>The Chair of the Board (or such other person presiding at the meeting in accordance with these bylaws) shall, if the facts warrant, determine and declare to the meeting that business was not properly brought before the meeting in accordance with the provisions of this Section (including a failure to comply with any law, rule or regulation identified herein), and if he or she should so determine, he or she shall so declare to the meeting and any such business not properly brought before the meeting shall not be transacted.</w:t>
      </w:r>
    </w:p>
    <w:p>
      <w:pPr>
        <w:spacing w:after="0" w:line="166" w:lineRule="exact"/>
        <w:rPr>
          <w:sz w:val="20"/>
          <w:szCs w:val="20"/>
          <w:color w:val="auto"/>
        </w:rPr>
      </w:pPr>
    </w:p>
    <w:p>
      <w:pPr>
        <w:ind w:right="100" w:firstLine="638"/>
        <w:spacing w:after="0" w:line="260" w:lineRule="auto"/>
        <w:rPr>
          <w:sz w:val="20"/>
          <w:szCs w:val="20"/>
          <w:color w:val="auto"/>
        </w:rPr>
      </w:pPr>
      <w:r>
        <w:rPr>
          <w:rFonts w:ascii="Times New Roman" w:cs="Times New Roman" w:eastAsia="Times New Roman" w:hAnsi="Times New Roman"/>
          <w:sz w:val="21"/>
          <w:szCs w:val="21"/>
          <w:color w:val="auto"/>
        </w:rPr>
        <w:t>For purposes of these bylaws, (1) “public announcement” shall mean disclosure (A) in a press release issued through Business Wire or PR Newswire or reported by the Dow Jones News Service, Associated Press or a comparable national news service or (B) in a document publicly filed by the corporation with the Securities and Exchange Commission (the “SEC”) pursuant to Section 13, 14 or 15(d) of the Exchange Act, (2) “associated person” of a person shall mean any person controlling, controlled by or under common control with, directly or indirectly, or acting in concert with, such person, and (3) “group” shall have the meaning ascribed to such term under Section 13(d)(3) of the Exchange Act.</w:t>
      </w:r>
    </w:p>
    <w:p>
      <w:pPr>
        <w:spacing w:after="0" w:line="172" w:lineRule="exact"/>
        <w:rPr>
          <w:sz w:val="20"/>
          <w:szCs w:val="20"/>
          <w:color w:val="auto"/>
        </w:rPr>
      </w:pPr>
    </w:p>
    <w:p>
      <w:pPr>
        <w:ind w:right="40" w:firstLine="638"/>
        <w:spacing w:after="0" w:line="258" w:lineRule="auto"/>
        <w:rPr>
          <w:sz w:val="20"/>
          <w:szCs w:val="20"/>
          <w:color w:val="auto"/>
        </w:rPr>
      </w:pPr>
      <w:r>
        <w:rPr>
          <w:rFonts w:ascii="Times New Roman" w:cs="Times New Roman" w:eastAsia="Times New Roman" w:hAnsi="Times New Roman"/>
          <w:sz w:val="21"/>
          <w:szCs w:val="21"/>
          <w:color w:val="010000"/>
        </w:rPr>
        <w:t xml:space="preserve">2.3 </w:t>
      </w:r>
      <w:r>
        <w:rPr>
          <w:rFonts w:ascii="Times New Roman" w:cs="Times New Roman" w:eastAsia="Times New Roman" w:hAnsi="Times New Roman"/>
          <w:sz w:val="21"/>
          <w:szCs w:val="21"/>
          <w:color w:val="000000"/>
        </w:rPr>
        <w:t>Special Meetings. Special meetings of the stockholders may be called for any purpose or purposes, unless otherwise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prescribed by statute or by the Certificate of Incorporation, by the Secretary only at (a) the written request of the Chair of the Board or the Chief Executive Officer or (b) by a resolution duly adopted by the affirmative vote of a majority of the Board. Such written request or resolution shall state the purpose or purposes of the special meeting. Business transacted at any special meeting shall be limited to matters relating to the purpose or purposes stated in the notice of meeting. If the election of directors is included as business to be brought before a special meeting in the corporation’s notice of meeting, then nominations of persons for election to the Board at a special meeting of stockholders may be made (a) by or at the direction of the Board or any committee thereof or</w:t>
      </w:r>
    </w:p>
    <w:p>
      <w:pPr>
        <w:spacing w:after="0" w:line="2" w:lineRule="exact"/>
        <w:rPr>
          <w:sz w:val="20"/>
          <w:szCs w:val="20"/>
          <w:color w:val="auto"/>
        </w:rPr>
      </w:pPr>
    </w:p>
    <w:p>
      <w:pPr>
        <w:ind w:firstLine="6"/>
        <w:spacing w:after="0" w:line="254" w:lineRule="auto"/>
        <w:tabs>
          <w:tab w:leader="none" w:pos="301"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and at the time of the special meeting, who is entitled to vote at the meeting and who delivers timely written notice to the Secretary of the corporation setting forth the information required by Section 3.1. To be timely, a stockholder’s notice must be received by the Secretary of the corporation at the principal executive offices of the corporation (A) not earlier than 5:00 p.m. Eastern Time on the day that is 120 days prior to the date of the special meeting nor (B) later than 5:00 p.m. Eastern Time on the day that is the later of 90 days prior to the date of the special meeting or, if the date of such special meeting is fewer than 90 days after the public announcement of the date of the special meeting, the 10th day following the day on which such public announcement was first made. A stockholder’s notice to the Secretary given pursuant to this Section 2.3 shall comply with the notice, information and other requirements of Section 3.1. Further, the stockholder must have complied in all respects with the requirements of Section 14 of the Exchange Act, including, without limitation, if applicable, the requirements of Rule 14a-19 (as such rule and regulations may be amended from time to time by the SEC,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02" w:right="339" w:bottom="1440" w:gutter="0" w:footer="0" w:header="0"/>
        </w:sectPr>
      </w:pPr>
    </w:p>
    <w:bookmarkStart w:id="45" w:name="page46"/>
    <w:bookmarkEnd w:id="45"/>
    <w:p>
      <w:pPr>
        <w:ind w:right="120"/>
        <w:spacing w:after="0" w:line="263" w:lineRule="auto"/>
        <w:rPr>
          <w:sz w:val="20"/>
          <w:szCs w:val="20"/>
          <w:color w:val="auto"/>
        </w:rPr>
      </w:pPr>
      <w:r>
        <w:rPr>
          <w:rFonts w:ascii="Times New Roman" w:cs="Times New Roman" w:eastAsia="Times New Roman" w:hAnsi="Times New Roman"/>
          <w:sz w:val="21"/>
          <w:szCs w:val="21"/>
          <w:color w:val="auto"/>
        </w:rPr>
        <w:t>any SEC Staff interpretations relating thereto) and the Board or an executive officer designated thereby shall have determined that the stockholder has satisfied the notice requirements of Section 3.1. In no event shall an adjournment or, postponement or rescheduling (or the public announcement thereof) of a special meeting commence a new time period (or extend any time period) for providing such notice. For the avoidance of doubt, the fifth through eighth paragraphs of Section 3.1 shall apply to stockholder notices relating to director nominations given in connection with special meetings of stockholders pursuant to this Section 2.3.</w:t>
      </w:r>
    </w:p>
    <w:p>
      <w:pPr>
        <w:spacing w:after="0" w:line="166" w:lineRule="exact"/>
        <w:rPr>
          <w:sz w:val="20"/>
          <w:szCs w:val="20"/>
          <w:color w:val="auto"/>
        </w:rPr>
      </w:pPr>
    </w:p>
    <w:p>
      <w:pPr>
        <w:ind w:firstLine="638"/>
        <w:spacing w:after="0" w:line="258" w:lineRule="auto"/>
        <w:rPr>
          <w:sz w:val="20"/>
          <w:szCs w:val="20"/>
          <w:color w:val="auto"/>
        </w:rPr>
      </w:pPr>
      <w:r>
        <w:rPr>
          <w:rFonts w:ascii="Times New Roman" w:cs="Times New Roman" w:eastAsia="Times New Roman" w:hAnsi="Times New Roman"/>
          <w:sz w:val="21"/>
          <w:szCs w:val="21"/>
          <w:color w:val="010000"/>
        </w:rPr>
        <w:t xml:space="preserve">2.4 </w:t>
      </w:r>
      <w:r>
        <w:rPr>
          <w:rFonts w:ascii="Times New Roman" w:cs="Times New Roman" w:eastAsia="Times New Roman" w:hAnsi="Times New Roman"/>
          <w:sz w:val="21"/>
          <w:szCs w:val="21"/>
          <w:color w:val="000000"/>
        </w:rPr>
        <w:t>Notice of Meetings. Except as otherwise provided by law, notice of each meeting of stockholders, annual or special,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shall be given in accordance with applicable law (including, without limitation, as set forth in Article 5 of these bylaws) stating the place, if any, date and time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such special meeting is called, shall be given to each stockholder entitled to vote at such meeting as of the record date for determining the stockholders entitled to notice of the meeting not less than 10 nor more than 60 days before the date of the meeting, unless otherwise required by applicable law.</w:t>
      </w:r>
    </w:p>
    <w:p>
      <w:pPr>
        <w:spacing w:after="0" w:line="170" w:lineRule="exact"/>
        <w:rPr>
          <w:sz w:val="20"/>
          <w:szCs w:val="20"/>
          <w:color w:val="auto"/>
        </w:rPr>
      </w:pPr>
    </w:p>
    <w:p>
      <w:pPr>
        <w:ind w:right="40" w:firstLine="638"/>
        <w:spacing w:after="0" w:line="251" w:lineRule="auto"/>
        <w:rPr>
          <w:sz w:val="20"/>
          <w:szCs w:val="20"/>
          <w:color w:val="auto"/>
        </w:rPr>
      </w:pPr>
      <w:r>
        <w:rPr>
          <w:rFonts w:ascii="Times New Roman" w:cs="Times New Roman" w:eastAsia="Times New Roman" w:hAnsi="Times New Roman"/>
          <w:sz w:val="21"/>
          <w:szCs w:val="21"/>
          <w:color w:val="010000"/>
        </w:rPr>
        <w:t xml:space="preserve">2.5 </w:t>
      </w:r>
      <w:r>
        <w:rPr>
          <w:rFonts w:ascii="Times New Roman" w:cs="Times New Roman" w:eastAsia="Times New Roman" w:hAnsi="Times New Roman"/>
          <w:sz w:val="21"/>
          <w:szCs w:val="21"/>
          <w:color w:val="000000"/>
        </w:rPr>
        <w:t>List of Stockholders. The corporation shall prepare and make, no later than the tenth (10</w:t>
      </w:r>
      <w:r>
        <w:rPr>
          <w:rFonts w:ascii="Times New Roman" w:cs="Times New Roman" w:eastAsia="Times New Roman" w:hAnsi="Times New Roman"/>
          <w:sz w:val="27"/>
          <w:szCs w:val="27"/>
          <w:color w:val="000000"/>
          <w:vertAlign w:val="superscript"/>
        </w:rPr>
        <w:t>th</w:t>
      </w:r>
      <w:r>
        <w:rPr>
          <w:rFonts w:ascii="Times New Roman" w:cs="Times New Roman" w:eastAsia="Times New Roman" w:hAnsi="Times New Roman"/>
          <w:sz w:val="21"/>
          <w:szCs w:val="21"/>
          <w:color w:val="000000"/>
        </w:rPr>
        <w:t>) day before each meeting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Nothing in this Section 2.5 shall require the corporation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2.5 or to vote in person or by proxy at any meeting of stockholders. Notwithstanding the foregoing, the corporation may maintain and authorize examination of the list of stockholders in any manner expressly permitted by the General Corporation Law of the State of Delaware (the “DGCL”) at the time.</w:t>
      </w:r>
    </w:p>
    <w:p>
      <w:pPr>
        <w:spacing w:after="0" w:line="182" w:lineRule="exact"/>
        <w:rPr>
          <w:sz w:val="20"/>
          <w:szCs w:val="20"/>
          <w:color w:val="auto"/>
        </w:rPr>
      </w:pPr>
    </w:p>
    <w:p>
      <w:pPr>
        <w:ind w:right="200" w:firstLine="638"/>
        <w:spacing w:after="0" w:line="275" w:lineRule="auto"/>
        <w:rPr>
          <w:sz w:val="20"/>
          <w:szCs w:val="20"/>
          <w:color w:val="auto"/>
        </w:rPr>
      </w:pPr>
      <w:r>
        <w:rPr>
          <w:rFonts w:ascii="Times New Roman" w:cs="Times New Roman" w:eastAsia="Times New Roman" w:hAnsi="Times New Roman"/>
          <w:sz w:val="21"/>
          <w:szCs w:val="21"/>
          <w:color w:val="010000"/>
        </w:rPr>
        <w:t xml:space="preserve">2.6 </w:t>
      </w:r>
      <w:r>
        <w:rPr>
          <w:rFonts w:ascii="Times New Roman" w:cs="Times New Roman" w:eastAsia="Times New Roman" w:hAnsi="Times New Roman"/>
          <w:sz w:val="21"/>
          <w:szCs w:val="21"/>
          <w:color w:val="000000"/>
        </w:rPr>
        <w:t>Organization and Conduct of Business. The Chair of the Board or, in his or her absence, the Chief Executive Officer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or President of the corporation or, in their absence, such person as the Board may have designated or, in the absence of such a person, such person as may be chosen by the holders of a majority of the shares entitled to vote at the meeting who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402" w:right="359" w:bottom="1440" w:gutter="0" w:footer="0" w:header="0"/>
        </w:sectPr>
      </w:pPr>
    </w:p>
    <w:bookmarkStart w:id="46" w:name="page47"/>
    <w:bookmarkEnd w:id="46"/>
    <w:p>
      <w:pPr>
        <w:ind w:right="120"/>
        <w:spacing w:after="0" w:line="286" w:lineRule="auto"/>
        <w:rPr>
          <w:sz w:val="20"/>
          <w:szCs w:val="20"/>
          <w:color w:val="auto"/>
        </w:rPr>
      </w:pPr>
      <w:r>
        <w:rPr>
          <w:rFonts w:ascii="Times New Roman" w:cs="Times New Roman" w:eastAsia="Times New Roman" w:hAnsi="Times New Roman"/>
          <w:sz w:val="21"/>
          <w:szCs w:val="21"/>
          <w:color w:val="auto"/>
        </w:rPr>
        <w:t>present, in person or by proxy, shall call to order any meeting of the stockholders and act as chair of the meeting. In the absence of the Secretary of the corporation, the secretary of the meeting shall be such person as the chair of the meeting appoints.</w:t>
      </w:r>
    </w:p>
    <w:p>
      <w:pPr>
        <w:spacing w:after="0" w:line="142" w:lineRule="exact"/>
        <w:rPr>
          <w:sz w:val="20"/>
          <w:szCs w:val="20"/>
          <w:color w:val="auto"/>
        </w:rPr>
      </w:pPr>
    </w:p>
    <w:p>
      <w:pPr>
        <w:jc w:val="both"/>
        <w:ind w:right="120" w:firstLine="638"/>
        <w:spacing w:after="0" w:line="300" w:lineRule="auto"/>
        <w:rPr>
          <w:sz w:val="20"/>
          <w:szCs w:val="20"/>
          <w:color w:val="auto"/>
        </w:rPr>
      </w:pPr>
      <w:r>
        <w:rPr>
          <w:rFonts w:ascii="Times New Roman" w:cs="Times New Roman" w:eastAsia="Times New Roman" w:hAnsi="Times New Roman"/>
          <w:sz w:val="21"/>
          <w:szCs w:val="21"/>
          <w:color w:val="auto"/>
        </w:rPr>
        <w:t>The chair of any meeting of stockholders shall determine the order of business and the procedure at the meeting, including such rules, regulations or procedures regarding the manner of voting and the conduct of discussion as seems to him or her in order.</w:t>
      </w:r>
    </w:p>
    <w:p>
      <w:pPr>
        <w:spacing w:after="0" w:line="128" w:lineRule="exact"/>
        <w:rPr>
          <w:sz w:val="20"/>
          <w:szCs w:val="20"/>
          <w:color w:val="auto"/>
        </w:rPr>
      </w:pPr>
    </w:p>
    <w:p>
      <w:pPr>
        <w:ind w:firstLine="638"/>
        <w:spacing w:after="0" w:line="257" w:lineRule="auto"/>
        <w:rPr>
          <w:sz w:val="20"/>
          <w:szCs w:val="20"/>
          <w:color w:val="auto"/>
        </w:rPr>
      </w:pPr>
      <w:r>
        <w:rPr>
          <w:rFonts w:ascii="Times New Roman" w:cs="Times New Roman" w:eastAsia="Times New Roman" w:hAnsi="Times New Roman"/>
          <w:sz w:val="21"/>
          <w:szCs w:val="21"/>
          <w:color w:val="auto"/>
        </w:rPr>
        <w:t>Such rules, regulations or procedures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chair of the meeting or the Board shall determine, (d) restrictions on entry to the meeting after the time fixed for the commencement thereof, (e) limitations on the time allotted to questions or comments by participants, (f) restricting the use of audio/video recording devices and cell phones, (g) complying with any state and local laws and regulations concerning safety and security, (h) procedures (if any) requiring attendees to provide the corporation advance notice of their intent to attend the meeting; and (i) any additional attendance or other procedures or requirements for proponents submitting a proposal pursuant to Rule 14a-8 promulgated under the Exchange Act.</w:t>
      </w:r>
    </w:p>
    <w:p>
      <w:pPr>
        <w:spacing w:after="0" w:line="172" w:lineRule="exact"/>
        <w:rPr>
          <w:sz w:val="20"/>
          <w:szCs w:val="20"/>
          <w:color w:val="auto"/>
        </w:rPr>
      </w:pPr>
    </w:p>
    <w:p>
      <w:pPr>
        <w:ind w:right="140" w:firstLine="638"/>
        <w:spacing w:after="0" w:line="261" w:lineRule="auto"/>
        <w:rPr>
          <w:sz w:val="20"/>
          <w:szCs w:val="20"/>
          <w:color w:val="auto"/>
        </w:rPr>
      </w:pPr>
      <w:r>
        <w:rPr>
          <w:rFonts w:ascii="Times New Roman" w:cs="Times New Roman" w:eastAsia="Times New Roman" w:hAnsi="Times New Roman"/>
          <w:sz w:val="21"/>
          <w:szCs w:val="21"/>
          <w:color w:val="010000"/>
        </w:rPr>
        <w:t xml:space="preserve">2.7 </w:t>
      </w:r>
      <w:r>
        <w:rPr>
          <w:rFonts w:ascii="Times New Roman" w:cs="Times New Roman" w:eastAsia="Times New Roman" w:hAnsi="Times New Roman"/>
          <w:sz w:val="21"/>
          <w:szCs w:val="21"/>
          <w:color w:val="000000"/>
        </w:rPr>
        <w:t>Quorum. Except where otherwise required by law or the Certificate of Incorporation or these bylaws, the holders of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majority of the voting power of the capital stock issued and outstanding and entitled to vote, present in person or represented by proxy, shall constitute a quorum for the transaction of business at all meetings of the stockholders. If a quorum shall fail to attend any meeting, the chair of the meeting or, if directed to be voted on by the chair of the meeting, the holders of a majority of the voting power of the capital stock issued and outstanding and entitled to vote who are present in person or represented by proxy at the meeting, may adjourn the meeting. A quorum, once established at a meeting, shall not be broken by the withdrawal of enough votes to leave less than a quorum.</w:t>
      </w:r>
    </w:p>
    <w:p>
      <w:pPr>
        <w:spacing w:after="0" w:line="169" w:lineRule="exact"/>
        <w:rPr>
          <w:sz w:val="20"/>
          <w:szCs w:val="20"/>
          <w:color w:val="auto"/>
        </w:rPr>
      </w:pPr>
    </w:p>
    <w:p>
      <w:pPr>
        <w:ind w:right="40" w:firstLine="638"/>
        <w:spacing w:after="0" w:line="257" w:lineRule="auto"/>
        <w:rPr>
          <w:sz w:val="20"/>
          <w:szCs w:val="20"/>
          <w:color w:val="auto"/>
        </w:rPr>
      </w:pPr>
      <w:r>
        <w:rPr>
          <w:rFonts w:ascii="Times New Roman" w:cs="Times New Roman" w:eastAsia="Times New Roman" w:hAnsi="Times New Roman"/>
          <w:sz w:val="21"/>
          <w:szCs w:val="21"/>
          <w:color w:val="010000"/>
        </w:rPr>
        <w:t xml:space="preserve">2.8 </w:t>
      </w:r>
      <w:r>
        <w:rPr>
          <w:rFonts w:ascii="Times New Roman" w:cs="Times New Roman" w:eastAsia="Times New Roman" w:hAnsi="Times New Roman"/>
          <w:sz w:val="21"/>
          <w:szCs w:val="21"/>
          <w:color w:val="000000"/>
        </w:rPr>
        <w:t>Adjournments. Notwithstanding Section 2.7 of these bylaws, the chair of the meeting shall have the power to adjourn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the meeting to another time, date and place (if any), regardless of whether a quorum is present, at any time and for any reason. At such adjourned meeting any business may be transacted which might have been transacted at the original meeting. </w:t>
      </w:r>
      <w:r>
        <w:rPr>
          <w:rFonts w:ascii="Times New Roman" w:cs="Times New Roman" w:eastAsia="Times New Roman" w:hAnsi="Times New Roman"/>
          <w:sz w:val="21"/>
          <w:szCs w:val="21"/>
          <w:color w:val="010101"/>
        </w:rPr>
        <w:t>If a quorum is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010101"/>
        </w:rPr>
        <w:t xml:space="preserve">present at the original meeting, it shall also be deemed present at the adjourned meeting. </w:t>
      </w:r>
      <w:r>
        <w:rPr>
          <w:rFonts w:ascii="Times New Roman" w:cs="Times New Roman" w:eastAsia="Times New Roman" w:hAnsi="Times New Roman"/>
          <w:sz w:val="21"/>
          <w:szCs w:val="21"/>
          <w:color w:val="000000"/>
        </w:rPr>
        <w:t>When a meeting is adjourned to another</w:t>
      </w:r>
      <w:r>
        <w:rPr>
          <w:rFonts w:ascii="Times New Roman" w:cs="Times New Roman" w:eastAsia="Times New Roman" w:hAnsi="Times New Roman"/>
          <w:sz w:val="21"/>
          <w:szCs w:val="21"/>
          <w:color w:val="010101"/>
        </w:rPr>
        <w:t xml:space="preserve"> </w:t>
      </w:r>
      <w:r>
        <w:rPr>
          <w:rFonts w:ascii="Times New Roman" w:cs="Times New Roman" w:eastAsia="Times New Roman" w:hAnsi="Times New Roman"/>
          <w:sz w:val="21"/>
          <w:szCs w:val="21"/>
          <w:color w:val="000000"/>
        </w:rPr>
        <w:t>place, date or time (including an adjournment taken to address a technical failure to convene or continue a meeting using remote communication), notice need not be given of the adjourned meeting if the place, date and time thereof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provided, however, that (x) if the adjournment is for more than 30 days a notice of the adjourned meeting shall be given to each stockholder of record entitled to vote at the meeting, and (y) if after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02" w:right="339" w:bottom="1440" w:gutter="0" w:footer="0" w:header="0"/>
        </w:sectPr>
      </w:pPr>
    </w:p>
    <w:bookmarkStart w:id="47" w:name="page48"/>
    <w:bookmarkEnd w:id="47"/>
    <w:p>
      <w:pPr>
        <w:ind w:right="100"/>
        <w:spacing w:after="0" w:line="267" w:lineRule="auto"/>
        <w:rPr>
          <w:sz w:val="20"/>
          <w:szCs w:val="20"/>
          <w:color w:val="auto"/>
        </w:rPr>
      </w:pPr>
      <w:r>
        <w:rPr>
          <w:rFonts w:ascii="Times New Roman" w:cs="Times New Roman" w:eastAsia="Times New Roman" w:hAnsi="Times New Roman"/>
          <w:sz w:val="21"/>
          <w:szCs w:val="21"/>
          <w:color w:val="auto"/>
        </w:rPr>
        <w:t>adjournment a new or if a new record date is fixed for stockholders entitled to vote is fixed for the adjourned meeting, the board of directors shall fix a new record date for notice of such adjourned meeting in accordance with Section 2.11 hereof, and shall give notice of the adjourned meeting to each stockholder of record entitled to vote thereat as of the record date fixed for such adjourned meeting.</w:t>
      </w:r>
    </w:p>
    <w:p>
      <w:pPr>
        <w:spacing w:after="0" w:line="162" w:lineRule="exact"/>
        <w:rPr>
          <w:sz w:val="20"/>
          <w:szCs w:val="20"/>
          <w:color w:val="auto"/>
        </w:rPr>
      </w:pPr>
    </w:p>
    <w:p>
      <w:pPr>
        <w:ind w:right="180" w:firstLine="638"/>
        <w:spacing w:after="0" w:line="286" w:lineRule="auto"/>
        <w:rPr>
          <w:sz w:val="20"/>
          <w:szCs w:val="20"/>
          <w:color w:val="auto"/>
        </w:rPr>
      </w:pPr>
      <w:r>
        <w:rPr>
          <w:rFonts w:ascii="Times New Roman" w:cs="Times New Roman" w:eastAsia="Times New Roman" w:hAnsi="Times New Roman"/>
          <w:sz w:val="21"/>
          <w:szCs w:val="21"/>
          <w:color w:val="010000"/>
        </w:rPr>
        <w:t xml:space="preserve">2.9 </w:t>
      </w:r>
      <w:r>
        <w:rPr>
          <w:rFonts w:ascii="Times New Roman" w:cs="Times New Roman" w:eastAsia="Times New Roman" w:hAnsi="Times New Roman"/>
          <w:sz w:val="21"/>
          <w:szCs w:val="21"/>
          <w:color w:val="000000"/>
        </w:rPr>
        <w:t>Voting Rights. Unless otherwise provided in the Certificate of Incorporation, each stockholder shall at every meeting</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the stockholders be entitled to one vote for each share of the capital stock having voting power held by such stockholder.</w:t>
      </w:r>
    </w:p>
    <w:p>
      <w:pPr>
        <w:spacing w:after="0" w:line="142" w:lineRule="exact"/>
        <w:rPr>
          <w:sz w:val="20"/>
          <w:szCs w:val="20"/>
          <w:color w:val="auto"/>
        </w:rPr>
      </w:pPr>
    </w:p>
    <w:p>
      <w:pPr>
        <w:ind w:right="20" w:firstLine="638"/>
        <w:spacing w:after="0" w:line="256" w:lineRule="auto"/>
        <w:rPr>
          <w:sz w:val="20"/>
          <w:szCs w:val="20"/>
          <w:color w:val="auto"/>
        </w:rPr>
      </w:pPr>
      <w:r>
        <w:rPr>
          <w:rFonts w:ascii="Times New Roman" w:cs="Times New Roman" w:eastAsia="Times New Roman" w:hAnsi="Times New Roman"/>
          <w:sz w:val="21"/>
          <w:szCs w:val="21"/>
          <w:color w:val="010000"/>
        </w:rPr>
        <w:t xml:space="preserve">2.10 </w:t>
      </w:r>
      <w:r>
        <w:rPr>
          <w:rFonts w:ascii="Times New Roman" w:cs="Times New Roman" w:eastAsia="Times New Roman" w:hAnsi="Times New Roman"/>
          <w:sz w:val="21"/>
          <w:szCs w:val="21"/>
          <w:color w:val="000000"/>
        </w:rPr>
        <w:t>Action at Meetings. When a quorum is present at any meeting, the affirmative vote of the holders of a majority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voting power of the capital stock present in person or represented by proxy and entitled to vote on the question shall decide any question brought before such meeting, unless the question is one upon which by express provision of law or of the Certificate of Incorporation or of these bylaws, a different vote is required, in which case such express provision shall govern and control the decision of such question. A nominee for director shall be elected to the Board if the number of votes cast “for” such nominee’s election exceed the number of votes cast “against” such nominee’s election (with “abstentions” and “broker non-votes” (or other shares of capital stock of the corporation similarly not entitled to vote) not counted as a vote cast either “for” or “against” that director’s election); provided, however, that directors shall be elected by a plurality of the votes cast at any meeting of stockholders for which (a) the Secretary of the corporation receives a notice that a stockholder has nominated a person for election to the Board in compliance with the advance notice requirements for nominations set forth in Sections 2.3 or 3.1 of these bylaws and (b) such nomination has not been withdrawn by such stockholder on or before the fourteenth (14th) day preceding the date the corporation files its definitive proxy statement (regardless of whether or not thereafter revised or supplemented) with the SEC for the applicable meeting of stockholders. If directors are to be elected by a plurality of the votes cast, stockholders shall not be permitted to vote against a nominee.</w:t>
      </w:r>
    </w:p>
    <w:p>
      <w:pPr>
        <w:spacing w:after="0" w:line="183" w:lineRule="exact"/>
        <w:rPr>
          <w:sz w:val="20"/>
          <w:szCs w:val="20"/>
          <w:color w:val="auto"/>
        </w:rPr>
      </w:pPr>
    </w:p>
    <w:p>
      <w:pPr>
        <w:ind w:firstLine="638"/>
        <w:spacing w:after="0" w:line="256" w:lineRule="auto"/>
        <w:rPr>
          <w:sz w:val="20"/>
          <w:szCs w:val="20"/>
          <w:color w:val="auto"/>
        </w:rPr>
      </w:pPr>
      <w:r>
        <w:rPr>
          <w:rFonts w:ascii="Times New Roman" w:cs="Times New Roman" w:eastAsia="Times New Roman" w:hAnsi="Times New Roman"/>
          <w:sz w:val="21"/>
          <w:szCs w:val="21"/>
          <w:color w:val="010000"/>
        </w:rPr>
        <w:t xml:space="preserve">2.11 </w:t>
      </w:r>
      <w:r>
        <w:rPr>
          <w:rFonts w:ascii="Times New Roman" w:cs="Times New Roman" w:eastAsia="Times New Roman" w:hAnsi="Times New Roman"/>
          <w:sz w:val="21"/>
          <w:szCs w:val="21"/>
          <w:color w:val="000000"/>
        </w:rPr>
        <w:t>Record Date for Stockholder Notice and Voting. For purposes of determining the stockholders entitled to notice of,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to vote at, any meeting of stockholders or any adjournment thereof, or entitled to receive payment of any dividend or other distribution or allotment of any rights, or entitled to exercise any right in respect of any change, conversion or exchange of stock or for the purpose of any other lawful action, the Board may fix, in advance, a record date, which record date shall not precede the date upon which the resolution fixing the record date is adopted by the board of directors, and which shall not be more than 60 days nor fewer than 10 days before the date of any such meeting nor more than 60 days before any other action to which the record date relates.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A determination of stockholders of record entitled to notice of or to vote at a meeting of stockholders shall apply to any adjournment of the meeting; provided, however, that the Board may fix a new record date for the determination of stockholders entitled to vote at the adjourned meeting, and in such case shall also fix as the record date for stockholders entitled to notice of such adjourned meeting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02" w:right="339" w:bottom="1440" w:gutter="0" w:footer="0" w:header="0"/>
        </w:sectPr>
      </w:pPr>
    </w:p>
    <w:bookmarkStart w:id="48" w:name="page49"/>
    <w:bookmarkEnd w:id="48"/>
    <w:p>
      <w:pPr>
        <w:ind w:right="20"/>
        <w:spacing w:after="0" w:line="260" w:lineRule="auto"/>
        <w:rPr>
          <w:sz w:val="20"/>
          <w:szCs w:val="20"/>
          <w:color w:val="auto"/>
        </w:rPr>
      </w:pPr>
      <w:r>
        <w:rPr>
          <w:rFonts w:ascii="Times New Roman" w:cs="Times New Roman" w:eastAsia="Times New Roman" w:hAnsi="Times New Roman"/>
          <w:sz w:val="21"/>
          <w:szCs w:val="21"/>
          <w:color w:val="auto"/>
        </w:rPr>
        <w:t>or an earlier date as that fixed for determination of stockholders entitled to vote in accordance with the foregoing provisions of Section 213(a) of the DGCL at the adjourned meeting. If the Board does not so fix a record date, (a)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(b) the record date for determining stockholders for any other purpose shall be at the close of business on the day on which the Board adopts the resolution relating to such purpose.</w:t>
      </w:r>
    </w:p>
    <w:p>
      <w:pPr>
        <w:spacing w:after="0" w:line="172" w:lineRule="exact"/>
        <w:rPr>
          <w:sz w:val="20"/>
          <w:szCs w:val="20"/>
          <w:color w:val="auto"/>
        </w:rPr>
      </w:pPr>
    </w:p>
    <w:p>
      <w:pPr>
        <w:jc w:val="both"/>
        <w:ind w:right="260" w:firstLine="638"/>
        <w:spacing w:after="0" w:line="275" w:lineRule="auto"/>
        <w:rPr>
          <w:sz w:val="20"/>
          <w:szCs w:val="20"/>
          <w:color w:val="auto"/>
        </w:rPr>
      </w:pPr>
      <w:r>
        <w:rPr>
          <w:rFonts w:ascii="Times New Roman" w:cs="Times New Roman" w:eastAsia="Times New Roman" w:hAnsi="Times New Roman"/>
          <w:sz w:val="21"/>
          <w:szCs w:val="21"/>
          <w:color w:val="010000"/>
        </w:rPr>
        <w:t xml:space="preserve">2.12 </w:t>
      </w:r>
      <w:r>
        <w:rPr>
          <w:rFonts w:ascii="Times New Roman" w:cs="Times New Roman" w:eastAsia="Times New Roman" w:hAnsi="Times New Roman"/>
          <w:sz w:val="21"/>
          <w:szCs w:val="21"/>
          <w:color w:val="000000"/>
        </w:rPr>
        <w:t>Proxies. Each stockholder entitled to vote at a meeting of stockholders may authorize another person or persons to</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act for such stockholder by proxy, but no such proxy shall be voted or acted upon after three years from its date, unless the proxy provides for a longer period.</w:t>
      </w:r>
    </w:p>
    <w:p>
      <w:pPr>
        <w:spacing w:after="0" w:line="154" w:lineRule="exact"/>
        <w:rPr>
          <w:sz w:val="20"/>
          <w:szCs w:val="20"/>
          <w:color w:val="auto"/>
        </w:rPr>
      </w:pPr>
    </w:p>
    <w:p>
      <w:pPr>
        <w:ind w:right="460" w:firstLine="638"/>
        <w:spacing w:after="0" w:line="286" w:lineRule="auto"/>
        <w:rPr>
          <w:sz w:val="20"/>
          <w:szCs w:val="20"/>
          <w:color w:val="auto"/>
        </w:rPr>
      </w:pPr>
      <w:r>
        <w:rPr>
          <w:rFonts w:ascii="Times New Roman" w:cs="Times New Roman" w:eastAsia="Times New Roman" w:hAnsi="Times New Roman"/>
          <w:sz w:val="21"/>
          <w:szCs w:val="21"/>
          <w:color w:val="auto"/>
        </w:rPr>
        <w:t>Any stockholder directly or indirectly soliciting proxies from other stockholders must use a proxy card color other than white, which shall be reserved for exclusive use by the Board.</w:t>
      </w:r>
    </w:p>
    <w:p>
      <w:pPr>
        <w:spacing w:after="0" w:line="142" w:lineRule="exact"/>
        <w:rPr>
          <w:sz w:val="20"/>
          <w:szCs w:val="20"/>
          <w:color w:val="auto"/>
        </w:rPr>
      </w:pPr>
    </w:p>
    <w:p>
      <w:pPr>
        <w:ind w:right="140" w:firstLine="638"/>
        <w:spacing w:after="0" w:line="258" w:lineRule="auto"/>
        <w:rPr>
          <w:sz w:val="20"/>
          <w:szCs w:val="20"/>
          <w:color w:val="auto"/>
        </w:rPr>
      </w:pPr>
      <w:r>
        <w:rPr>
          <w:rFonts w:ascii="Times New Roman" w:cs="Times New Roman" w:eastAsia="Times New Roman" w:hAnsi="Times New Roman"/>
          <w:sz w:val="21"/>
          <w:szCs w:val="21"/>
          <w:color w:val="010000"/>
        </w:rPr>
        <w:t xml:space="preserve">2.13 </w:t>
      </w:r>
      <w:r>
        <w:rPr>
          <w:rFonts w:ascii="Times New Roman" w:cs="Times New Roman" w:eastAsia="Times New Roman" w:hAnsi="Times New Roman"/>
          <w:sz w:val="21"/>
          <w:szCs w:val="21"/>
          <w:color w:val="000000"/>
        </w:rPr>
        <w:t>Inspectors of Election. The corporation shall, in advance of any meeting of stockholders, appoint one or more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inspectors of election to act at the meeting and make a written report thereof. The corporation may designate one or more persons to act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of the State of Delaware upon application by a stockholder shall determine otherwise.</w:t>
      </w:r>
    </w:p>
    <w:p>
      <w:pPr>
        <w:spacing w:after="0" w:line="177" w:lineRule="exact"/>
        <w:rPr>
          <w:sz w:val="20"/>
          <w:szCs w:val="20"/>
          <w:color w:val="auto"/>
        </w:rPr>
      </w:pPr>
    </w:p>
    <w:p>
      <w:pPr>
        <w:ind w:firstLine="638"/>
        <w:spacing w:after="0" w:line="256" w:lineRule="auto"/>
        <w:rPr>
          <w:sz w:val="20"/>
          <w:szCs w:val="20"/>
          <w:color w:val="auto"/>
        </w:rPr>
      </w:pPr>
      <w:r>
        <w:rPr>
          <w:rFonts w:ascii="Times New Roman" w:cs="Times New Roman" w:eastAsia="Times New Roman" w:hAnsi="Times New Roman"/>
          <w:sz w:val="21"/>
          <w:szCs w:val="21"/>
          <w:color w:val="auto"/>
        </w:rPr>
        <w:t>In determining the validity and counting of proxies and ballots, the inspectors shall be limited to an examination of the proxies, any envelopes submitted with those proxies, any information provided pursuant to Section 211(a)(2)b.(i) or (iii)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02" w:right="339" w:bottom="1440" w:gutter="0" w:footer="0" w:header="0"/>
        </w:sectPr>
      </w:pPr>
    </w:p>
    <w:bookmarkStart w:id="49" w:name="page50"/>
    <w:bookmarkEnd w:id="49"/>
    <w:p>
      <w:pPr>
        <w:ind w:right="120" w:firstLine="638"/>
        <w:spacing w:after="0" w:line="267" w:lineRule="auto"/>
        <w:rPr>
          <w:sz w:val="20"/>
          <w:szCs w:val="20"/>
          <w:color w:val="auto"/>
        </w:rPr>
      </w:pPr>
      <w:r>
        <w:rPr>
          <w:rFonts w:ascii="Times New Roman" w:cs="Times New Roman" w:eastAsia="Times New Roman" w:hAnsi="Times New Roman"/>
          <w:sz w:val="21"/>
          <w:szCs w:val="21"/>
          <w:color w:val="010000"/>
        </w:rPr>
        <w:t xml:space="preserve">2.14 </w:t>
      </w:r>
      <w:r>
        <w:rPr>
          <w:rFonts w:ascii="Times New Roman" w:cs="Times New Roman" w:eastAsia="Times New Roman" w:hAnsi="Times New Roman"/>
          <w:sz w:val="21"/>
          <w:szCs w:val="21"/>
          <w:color w:val="000000"/>
        </w:rPr>
        <w:t>Action Without a Meeting. Except as otherwise provided for or fixed pursuant to the provisions of the Certificate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Incorporation relating to the rights of holders of any series of Preferred Stock to act by written consent, no action required or permitted to be taken at any annual or special meeting of the stockholders of the corporation may be taken without a meeting and the power of the stockholders to consent in writing, without a meeting, to the taking of any action is specifically denied.</w:t>
      </w:r>
    </w:p>
    <w:p>
      <w:pPr>
        <w:spacing w:after="0" w:line="162" w:lineRule="exact"/>
        <w:rPr>
          <w:sz w:val="20"/>
          <w:szCs w:val="20"/>
          <w:color w:val="auto"/>
        </w:rPr>
      </w:pPr>
    </w:p>
    <w:p>
      <w:pPr>
        <w:ind w:firstLine="638"/>
        <w:spacing w:after="0" w:line="255" w:lineRule="auto"/>
        <w:rPr>
          <w:sz w:val="20"/>
          <w:szCs w:val="20"/>
          <w:color w:val="auto"/>
        </w:rPr>
      </w:pPr>
      <w:r>
        <w:rPr>
          <w:rFonts w:ascii="Times New Roman" w:cs="Times New Roman" w:eastAsia="Times New Roman" w:hAnsi="Times New Roman"/>
          <w:sz w:val="21"/>
          <w:szCs w:val="21"/>
          <w:color w:val="010000"/>
        </w:rPr>
        <w:t xml:space="preserve">2.15 </w:t>
      </w:r>
      <w:r>
        <w:rPr>
          <w:rFonts w:ascii="Times New Roman" w:cs="Times New Roman" w:eastAsia="Times New Roman" w:hAnsi="Times New Roman"/>
          <w:sz w:val="21"/>
          <w:szCs w:val="21"/>
          <w:color w:val="000000"/>
        </w:rPr>
        <w:t>Emergency Bylaws. This Section 2.15 shall be operative during any emergency condition (an “Emergency”) as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contemplated by Section 110 of the DGCL, notwithstanding any different or conflicting provisions in these bylaws, the Certificate of Incorporation or the DGCL. In the event of any Emergency the director or directors in attendance at a meeting of the Board or a standing committee thereof shall constitute a quorum. Such director or directors in attendance may further take action to appoint one or more of themselves or other directors to membership on any standing or temporary committees of the Board as they shall deem necessary and appropriate. In the event that no directors are able to attend a meeting of the Board or any committee thereof in an Emergency, then the Designated Officers in attendance shall serve as directors, or committee members, as the case may be, for the meeting and will have full powers to act as directors, or committee members, as the case may be, of the corporation. Except as the Board may otherwise determine, during any Emergency, the corporation and its directors and officers, may exercise any authority and take any action or measure contemplated by Section 110 of the DGCL. For purposes of this Section 2.15, the term “Designated Officer” means an officer identified on a numbered list of officers of the corporation who shall be deemed to be, in the order in which they appear on the list up until a quorum is obtained, directors of the corporation, or members of a committee of the Board, as the case may be, for purposes of obtaining a quorum during an Emergency, if a quorum of directors or committee members, as the case may be, cannot otherwise be obtained during such Emergency, which list of Designated Officers shall be approved by the Board from time to time but in any event prior to such time or times as an Emergency may have occurred.</w:t>
      </w:r>
    </w:p>
    <w:p>
      <w:pPr>
        <w:spacing w:after="0" w:line="193" w:lineRule="exact"/>
        <w:rPr>
          <w:sz w:val="20"/>
          <w:szCs w:val="20"/>
          <w:color w:val="auto"/>
        </w:rPr>
      </w:pPr>
    </w:p>
    <w:p>
      <w:pPr>
        <w:ind w:right="440" w:firstLine="638"/>
        <w:spacing w:after="0" w:line="260" w:lineRule="auto"/>
        <w:rPr>
          <w:sz w:val="20"/>
          <w:szCs w:val="20"/>
          <w:color w:val="auto"/>
        </w:rPr>
      </w:pPr>
      <w:r>
        <w:rPr>
          <w:rFonts w:ascii="Times New Roman" w:cs="Times New Roman" w:eastAsia="Times New Roman" w:hAnsi="Times New Roman"/>
          <w:sz w:val="21"/>
          <w:szCs w:val="21"/>
          <w:color w:val="010000"/>
        </w:rPr>
        <w:t xml:space="preserve">2.16 </w:t>
      </w:r>
      <w:r>
        <w:rPr>
          <w:rFonts w:ascii="Times New Roman" w:cs="Times New Roman" w:eastAsia="Times New Roman" w:hAnsi="Times New Roman"/>
          <w:sz w:val="21"/>
          <w:szCs w:val="21"/>
          <w:color w:val="000000"/>
        </w:rPr>
        <w:t>Delivery to the Corporation. Whenever this Article 2 or Section 3.1 of Article 3 of these bylaws requires one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more persons (including a record or beneficial owner of stock) to deliver a document or information to the corporation or any officer, employee or agent thereof (including any notice, request, questionnaire, revocation, representation, statement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010000"/>
        </w:rPr>
        <w:t>ARTICLE 3</w:t>
      </w:r>
    </w:p>
    <w:p>
      <w:pPr>
        <w:spacing w:after="0" w:line="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DIRECTORS</w:t>
      </w:r>
    </w:p>
    <w:p>
      <w:pPr>
        <w:spacing w:after="0" w:line="200" w:lineRule="exact"/>
        <w:rPr>
          <w:sz w:val="20"/>
          <w:szCs w:val="20"/>
          <w:color w:val="auto"/>
        </w:rPr>
      </w:pPr>
    </w:p>
    <w:p>
      <w:pPr>
        <w:ind w:right="420" w:firstLine="638"/>
        <w:spacing w:after="0" w:line="269" w:lineRule="auto"/>
        <w:rPr>
          <w:sz w:val="20"/>
          <w:szCs w:val="20"/>
          <w:color w:val="auto"/>
        </w:rPr>
      </w:pPr>
      <w:r>
        <w:rPr>
          <w:rFonts w:ascii="Times New Roman" w:cs="Times New Roman" w:eastAsia="Times New Roman" w:hAnsi="Times New Roman"/>
          <w:sz w:val="21"/>
          <w:szCs w:val="21"/>
          <w:color w:val="010000"/>
        </w:rPr>
        <w:t xml:space="preserve">3.1 </w:t>
      </w:r>
      <w:r>
        <w:rPr>
          <w:rFonts w:ascii="Times New Roman" w:cs="Times New Roman" w:eastAsia="Times New Roman" w:hAnsi="Times New Roman"/>
          <w:sz w:val="21"/>
          <w:szCs w:val="21"/>
          <w:color w:val="000000"/>
        </w:rPr>
        <w:t>Number, Election, Tenure and Qualifications. Except as otherwise provided for in the Certificate of Incorporation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relating to the rights of holders of any series of preferred stock of the corporation with respect to the election of directors, the authorized number of directors shall be determined from time to time by resolution adopted by the Board, provided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00"/>
          </w:cols>
          <w:pgMar w:left="320" w:top="1402" w:right="379" w:bottom="1440" w:gutter="0" w:footer="0" w:header="0"/>
        </w:sectPr>
      </w:pPr>
    </w:p>
    <w:bookmarkStart w:id="50" w:name="page51"/>
    <w:bookmarkEnd w:id="50"/>
    <w:p>
      <w:pPr>
        <w:ind w:right="40"/>
        <w:spacing w:after="0" w:line="269" w:lineRule="auto"/>
        <w:rPr>
          <w:sz w:val="20"/>
          <w:szCs w:val="20"/>
          <w:color w:val="auto"/>
        </w:rPr>
      </w:pPr>
      <w:r>
        <w:rPr>
          <w:rFonts w:ascii="Times New Roman" w:cs="Times New Roman" w:eastAsia="Times New Roman" w:hAnsi="Times New Roman"/>
          <w:sz w:val="21"/>
          <w:szCs w:val="21"/>
          <w:color w:val="auto"/>
        </w:rPr>
        <w:t>shall consist of at least one member. No decrease in the number of authorized directors shall have the effect of removing any director before that director’s term of office expires. The classes of directors, if any, that shall constitute the entire Board shall be as provided in the Certificate of Incorporation.</w:t>
      </w:r>
    </w:p>
    <w:p>
      <w:pPr>
        <w:spacing w:after="0" w:line="172" w:lineRule="exact"/>
        <w:rPr>
          <w:sz w:val="20"/>
          <w:szCs w:val="20"/>
          <w:color w:val="auto"/>
        </w:rPr>
      </w:pPr>
    </w:p>
    <w:p>
      <w:pPr>
        <w:ind w:right="40" w:firstLine="638"/>
        <w:spacing w:after="0" w:line="269" w:lineRule="auto"/>
        <w:rPr>
          <w:sz w:val="20"/>
          <w:szCs w:val="20"/>
          <w:color w:val="auto"/>
        </w:rPr>
      </w:pPr>
      <w:r>
        <w:rPr>
          <w:rFonts w:ascii="Times New Roman" w:cs="Times New Roman" w:eastAsia="Times New Roman" w:hAnsi="Times New Roman"/>
          <w:sz w:val="21"/>
          <w:szCs w:val="21"/>
          <w:color w:val="auto"/>
        </w:rPr>
        <w:t>At each annual meeting of the stockholders, directors whose terms are then expiring shall be elected, except as otherwise provided in Section 3.2, and each director so elected shall hold office until such director’s successor is duly elected and qualified or until such director’s earlier resignation, removal, death or incapacity.</w:t>
      </w:r>
    </w:p>
    <w:p>
      <w:pPr>
        <w:spacing w:after="0" w:line="159" w:lineRule="exact"/>
        <w:rPr>
          <w:sz w:val="20"/>
          <w:szCs w:val="20"/>
          <w:color w:val="auto"/>
        </w:rPr>
      </w:pPr>
    </w:p>
    <w:p>
      <w:pPr>
        <w:ind w:firstLine="638"/>
        <w:spacing w:after="0" w:line="257" w:lineRule="auto"/>
        <w:rPr>
          <w:sz w:val="20"/>
          <w:szCs w:val="20"/>
          <w:color w:val="auto"/>
        </w:rPr>
      </w:pPr>
      <w:r>
        <w:rPr>
          <w:rFonts w:ascii="Times New Roman" w:cs="Times New Roman" w:eastAsia="Times New Roman" w:hAnsi="Times New Roman"/>
          <w:sz w:val="21"/>
          <w:szCs w:val="21"/>
          <w:color w:val="auto"/>
        </w:rPr>
        <w:t>Only persons who are nominated in accordance with the following procedures, or the procedures set forth in Section 2.3 of these bylaws, as applicable, shall be eligible for election as directors. Subject to the rights of holders of any class or series of stock having a preference over the common stock as to dividends or upon liquidation, nominations of persons for election to the Board at the annual meeting may be made (i) by or at the direction of the Board (or any duly authorized committee thereof) or (ii) by a stockholder who is a stockholder of record (and, with respect to any beneficial owner, if different, on whose behalf such nomination or nominations are made, only if such beneficial owner was the beneficial owner of shares of the corporation) at the time of giving of the notice provided for in this Section and at the time of the annual meeting, who is entitled to vote for the election of directors at the meeting, and who timely complies with the notice, information and other procedures and requirements set forth in this Section. A stockholder may make such a nomination only if such stockholder has given timely notice to the Secretary of the corporation in proper written form of the stockholder’s intent to make such a nomination.</w:t>
      </w:r>
    </w:p>
    <w:p>
      <w:pPr>
        <w:spacing w:after="0" w:line="180" w:lineRule="exact"/>
        <w:rPr>
          <w:sz w:val="20"/>
          <w:szCs w:val="20"/>
          <w:color w:val="auto"/>
        </w:rPr>
      </w:pPr>
    </w:p>
    <w:p>
      <w:pPr>
        <w:ind w:right="100" w:firstLine="638"/>
        <w:spacing w:after="0" w:line="256" w:lineRule="auto"/>
        <w:rPr>
          <w:sz w:val="20"/>
          <w:szCs w:val="20"/>
          <w:color w:val="auto"/>
        </w:rPr>
      </w:pPr>
      <w:r>
        <w:rPr>
          <w:rFonts w:ascii="Times New Roman" w:cs="Times New Roman" w:eastAsia="Times New Roman" w:hAnsi="Times New Roman"/>
          <w:sz w:val="21"/>
          <w:szCs w:val="21"/>
          <w:color w:val="auto"/>
        </w:rPr>
        <w:t>To be timely, with respect to an annual meeting of stockholders, (i) the stockholder’s notice must be received by the Secretary of the corporation at the principal executive offices of the corporation, no earlier than 5:00 p.m. Eastern Time on the 120th day nor later than 5:00 p.m. Eastern Time on the 90th day prior to the first anniversary date of the preceding year’s annual meeting of stockholders; provided, however,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the 5:00 p.m. Eastern Time on the later of (x) the 90th day prior to the date of such scheduled annual meeting and (y) the 10th day following the earlier to occur of the day on which notice of the date of the scheduled annual meeting was given or the day on which public announcement of the date of such scheduled annual meeting was first made, (ii) the stockholder shall have complied in all respects with the requirements of Section 14 of the Exchange Act, including, without limitation, if applicable, the requirements of Rule 14a-19 (as such rule and regulations may be amended from time to time by the SEC, including any SEC Staff interpretations relating thereto) and (iii) the Board or an executive officer designated thereby shall have determined that the stockholder has satisfied the requirements of this Section 3.1. In no event shall any adjournment, postponement or rescheduling (or a public announcement thereof) of an annual meeting for which notice has already been given or for which a public announcement of the meeting date has already been made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0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color w:val="auto"/>
        </w:rPr>
        <w:t>commence a new time period (or extend any time period) for the giving of the stockholder’s notice as described above.</w:t>
      </w:r>
    </w:p>
    <w:p>
      <w:pPr>
        <w:spacing w:after="0" w:line="224" w:lineRule="exact"/>
        <w:rPr>
          <w:sz w:val="20"/>
          <w:szCs w:val="20"/>
          <w:color w:val="auto"/>
        </w:rPr>
      </w:pPr>
    </w:p>
    <w:p>
      <w:pPr>
        <w:ind w:firstLine="638"/>
        <w:spacing w:after="0" w:line="255" w:lineRule="auto"/>
        <w:rPr>
          <w:sz w:val="20"/>
          <w:szCs w:val="20"/>
          <w:color w:val="auto"/>
        </w:rPr>
      </w:pPr>
      <w:r>
        <w:rPr>
          <w:rFonts w:ascii="Times New Roman" w:cs="Times New Roman" w:eastAsia="Times New Roman" w:hAnsi="Times New Roman"/>
          <w:sz w:val="21"/>
          <w:szCs w:val="21"/>
          <w:color w:val="auto"/>
        </w:rPr>
        <w:t>If the stockholder, or the beneficial owner, if any, or any associated person (as defined below) of such stockholder or beneficial owner has provided the corporation with a Nominee Solicitation Notice (as defined below), such stockholder, or beneficial owner, if any, or associated person of such stockholder or beneficial owner must have acted in compliance with the representations set forth therein. If no Nominee Solicitation Notice relating thereto has been timely provided pursuant to this Section 3.1, the stockholder, or the beneficial owner, if any, or any associated person of such stockholder or beneficial owner proposing such business must not have solicited a number of proxies sufficient to have required the delivery of such a Nominee Solicitation Notice under this Section 3.1. In addition, if a stockholder has delivered a notice of nomination or nominations, such stockholder or the beneficial owner, if any, on whose behalf the nomination is being made must certify to the corporation in writing that it has complied with and will comply with the requirements of Rule 14a-19 promulgated under the Exchange Act, if applicable, and shall deliver, no later than five (5) days prior to the stockholder meeting or any adjournment, rescheduling, postponement or other delay thereof, reasonable evidence that it has complied with such requirements. Notwithstanding anything in this Section 3.1 to the contrary, in the event that the number of directors to be elected to the board of directors at a meeting of stockholders is increased and there is no public announcement by the corporation naming all of the nominees for director or specifying the size of the increased board of directors made by the corporation at least 10 days prior to the last day a stockholder may deliver a notice in accordance with this Section 3.1, or Section 2.3, as applicable, a stockholder’s notice required by this Section 3.1, or Section 2.3, as applicable, shall also be considered timely, but only with respect to nominees for any new positions created by such increase, if it shall be delivered to the Secretary of the corporation at the principal executive offices of the corporation not later than the close of business on the 10th day following the day on which such public announcement is first made by the corporation.</w:t>
      </w:r>
    </w:p>
    <w:p>
      <w:pPr>
        <w:spacing w:after="0" w:line="195" w:lineRule="exact"/>
        <w:rPr>
          <w:sz w:val="20"/>
          <w:szCs w:val="20"/>
          <w:color w:val="auto"/>
        </w:rPr>
      </w:pPr>
    </w:p>
    <w:p>
      <w:pPr>
        <w:ind w:right="40" w:firstLine="638"/>
        <w:spacing w:after="0" w:line="256" w:lineRule="auto"/>
        <w:rPr>
          <w:sz w:val="20"/>
          <w:szCs w:val="20"/>
          <w:color w:val="auto"/>
        </w:rPr>
      </w:pPr>
      <w:r>
        <w:rPr>
          <w:rFonts w:ascii="Times New Roman" w:cs="Times New Roman" w:eastAsia="Times New Roman" w:hAnsi="Times New Roman"/>
          <w:sz w:val="21"/>
          <w:szCs w:val="21"/>
          <w:color w:val="auto"/>
        </w:rPr>
        <w:t>A stockholder’s notice to the Secretary shall set forth the following: (i) as to each person whom the stockholder proposes to nominate for election or reelection as a director, (A) the name, age, business address and residence address of the nominee, (B) the principal occupation or employment of the nominee, (C) the class, series and number of shares of capital stock of the corporation that are owned of record and beneficially by the nominee and the date or dates such shares were acquired and the investment intent of such acquisition, (D) a statement as to the nominee’s citizenship, (E) a description of all direct and indirect compensation and other material monetary agreements, arrangements and understandings during the past three years, and any other material relationships, between or among the stockholder, the beneficial owner on whose behalf the nomination is being made, if any, or any person who is an associated person of the stockholder or the beneficial owner, on the one hand, and the nominee, and such nominee’s respective affiliates and associates, or others (including their names) acting in concert therewith, on the other hand, including all information that would be required to be disclosed pursuant to Item 404 of Regulation S-K promulgated by the SEC assuming for this purpose that the stockholder, the beneficial owner on whose behalf the nomination is being made, if any, and any person who is an associated person of the stockholder or the beneficial owner were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02" w:right="339" w:bottom="1440" w:gutter="0" w:footer="0" w:header="0"/>
        </w:sectPr>
      </w:pPr>
    </w:p>
    <w:bookmarkStart w:id="52" w:name="page53"/>
    <w:bookmarkEnd w:id="52"/>
    <w:p>
      <w:pPr>
        <w:ind w:right="100"/>
        <w:spacing w:after="0" w:line="256" w:lineRule="auto"/>
        <w:rPr>
          <w:sz w:val="20"/>
          <w:szCs w:val="20"/>
          <w:color w:val="auto"/>
        </w:rPr>
      </w:pPr>
      <w:r>
        <w:rPr>
          <w:rFonts w:ascii="Times New Roman" w:cs="Times New Roman" w:eastAsia="Times New Roman" w:hAnsi="Times New Roman"/>
          <w:sz w:val="21"/>
          <w:szCs w:val="21"/>
          <w:color w:val="auto"/>
        </w:rPr>
        <w:t>“registrant” and such person were a director or executive officer of such registrant, (F) any other information relating to the nominee that is required to be disclosed in solicitations for proxies for election of directors in a contested election (even if an election contest is not involved) pursuant to Section 14 of the Exchange Act (or any successor provision) and the rules and regulations promulgated thereunder, (G) a statement whether such nominee, if elected, intends to tender, promptly following such nominee’s election or reelection, an irrevocable resignation effective upon such nominee’s failure to receive the required vote for reelection at any future meeting at which such person would face reelection and acceptance of such resignation by the Board, in accordance with the corporation’s director resignation policy; (H) the nominee’s written consent to being named as a nominee in any proxy materials relating to the corporation’s next meeting, to the public disclosure of information regarding or related to such nominee provided to the corporation by such nominee or otherwise pursuant to these bylaws and to serving as a director if elected;</w:t>
      </w:r>
    </w:p>
    <w:p>
      <w:pPr>
        <w:spacing w:after="0" w:line="6" w:lineRule="exact"/>
        <w:rPr>
          <w:sz w:val="20"/>
          <w:szCs w:val="20"/>
          <w:color w:val="auto"/>
        </w:rPr>
      </w:pPr>
    </w:p>
    <w:p>
      <w:pPr>
        <w:ind w:firstLine="6"/>
        <w:spacing w:after="0" w:line="253" w:lineRule="auto"/>
        <w:tabs>
          <w:tab w:leader="none" w:pos="26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position of such nominee as an officer or director of any entity that provides products or services that compete with or are alternatives to the products produced or services provided by the corporation or its affiliates (a “Competitor”) within the three years preceding the submission of the notice; (J) a description of any business or personal interests that could place such nominee in a potential conflict of interest with the corporation or any of its subsidiaries; (K) whether such nominee meets the independence requirements of stock exchange upon which the corporation’s common stock is primarily traded; and (L) all completed questionnaires, representations and agreements required by Section 3.15 of these bylaws; and (M) a description of all arrangements or understandings between any stockholder, beneficial owner or associated person of such stockholder or beneficial owner and each nominee and any other person or persons (naming such person or persons) pursuant to which the nominations are to be made by the stockholder; (ii) as to the stockholder giving the notice, the beneficial owner, if any, on whose behalf the nomination is being made and any associated person of such stockholder or beneficial owner, (A) the name and address, as they appear on the corporation’s books, of the stockholder, the name and address of the beneficial owner, if any, and the name and address of any person who is an associated person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(C) a representation that the stockholder or the beneficial owner, if any, and any associated person of such stockholder or beneficial owner has complied in all respects with the requirements of Section 14 of the Exchange Act, including, without limitation, if applicable, the requirements of Rule 14a-19 (as such rule and regulations may be amended from time to time by the SEC, including any SEC Staff interpretations relating thereto),</w:t>
      </w:r>
    </w:p>
    <w:p>
      <w:pPr>
        <w:spacing w:after="0" w:line="6" w:lineRule="exact"/>
        <w:rPr>
          <w:rFonts w:ascii="Times New Roman" w:cs="Times New Roman" w:eastAsia="Times New Roman" w:hAnsi="Times New Roman"/>
          <w:sz w:val="21"/>
          <w:szCs w:val="21"/>
          <w:color w:val="auto"/>
        </w:rPr>
      </w:pPr>
    </w:p>
    <w:p>
      <w:pPr>
        <w:ind w:right="40" w:firstLine="6"/>
        <w:spacing w:after="0" w:line="255" w:lineRule="auto"/>
        <w:tabs>
          <w:tab w:leader="none" w:pos="34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certification regarding whether such stockholder or beneficial owner, if any, and any associated person of such stockholder or beneficial owner has complied with all applicable federal, state and other legal requirements in connection with such stockholder’s or beneficial owner’s, if any, and any associated person’s of such stockholder or beneficial owner acquisition of shares of capital stock or other securities of the corporation and/or such stockholder’s or beneficial owner’s, if any, and any associated person’s of such stockholder or beneficial owner acts or omissions as a stockholder of the corporation, (E) a representation (x) as to whether or not the stockholder, any beneficial owner or any other participant (used herein as defined in Item 4 of Schedule 14A under the Exchange Act) will engage in a solicitation within the meaning of Exchange Act Rule 14a-1(l)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20"/>
          </w:cols>
          <w:pgMar w:left="320" w:top="1402" w:right="359" w:bottom="1440" w:gutter="0" w:footer="0" w:header="0"/>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21"/>
          <w:szCs w:val="21"/>
          <w:color w:val="auto"/>
        </w:rPr>
        <w:t>nomination and, if so, the name of each participant in such solicitation and the amount of the cost of the solicitation that has been and will be borne (directly or indirectly) by each participant in such solicitation and (y) as to whether the stockholder, the beneficial owner, if any, or any associated person of such stockholder or beneficial owner intends (or is part of a group that intends) to (i) solicit the holders of shares representing at least 67% of the voting power of the shares entitled to vote on the election of directors in support of director nominees other than the corporation’s nominees in accordance with Rule 14a-19, and the name of each participant in such solicitation, or (ii) otherwise solicit proxies from stockholders in support of such nominations solicitation (an affirmative statement of such intent to solicit in accordance with the foregoing clause (E)(y)(i) being a “Nominee Solicitation Notice”), (F) a complete and accurate description of any pending or, to such stockholder’s knowledge, threatened legal proceeding in which such stockholder is a party or participant involving the corporation or, to such stockholder’s knowledge, any current or former officer, director, affiliate or associate of the corporation, and (G) any other information relating to the stockholder, the beneficial owner, if any, and any person who is an associated person of the stockholder or the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 thereunder; (H) the class, series and number of shares of the corporation that are owned beneficially by the stockholder or beneficial owner and any person who is an associated person thereof as of the date of the notice, (I) any derivative or short positions held or beneficially held by the stockholder or beneficial owner and any person who is an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person who is an associated person thereof with respect to the corporation’s securities, (J) a representation that the stockholder will provide the corporation in writing the information required by the clauses (A) through (K) updated as of the record date for the meeting promptly following the later of the record date or the date on which public announcement of the record date was first made, and (K) a description of any agreement, arrangement or understanding with respect to the nomination between or among the stockholder or beneficial owner and any person who is an associated person thereof, and any other person or persons, on the other hand, (including their names) acting in concert with any of the foregoing in connection with such nomination (and/or the voting of shares of any class or series of capital stock of the corporation) (including any agreement that would be required to be disclosed pursuant to Item 5 or Item 6 of Schedule 13D under the Exchange Act, regardless of whether the requirement to file a Schedule 13D is applicable to the stockholder, beneficial owner or any associated person of such stockholder or beneficial owner); and (iii) a representation that the stockholder giving the notice (or a qualified representative of the stockholder) intends to appear at the meeting (including virtually in the case of a meeting conducted solely by means of remote communications) to nominate the person or persons specified in the notice. The corporation may require any proposed nominee to furnish such other information as may reasonably be required by the corporation to determine the eligibility of such proposed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20"/>
          </w:cols>
          <w:pgMar w:left="320" w:top="1402" w:right="359" w:bottom="1440" w:gutter="0" w:footer="0" w:header="0"/>
        </w:sectPr>
      </w:pPr>
    </w:p>
    <w:bookmarkStart w:id="54" w:name="page55"/>
    <w:bookmarkEnd w:id="54"/>
    <w:p>
      <w:pPr>
        <w:ind w:right="180"/>
        <w:spacing w:after="0" w:line="286" w:lineRule="auto"/>
        <w:rPr>
          <w:sz w:val="20"/>
          <w:szCs w:val="20"/>
          <w:color w:val="auto"/>
        </w:rPr>
      </w:pPr>
      <w:r>
        <w:rPr>
          <w:rFonts w:ascii="Times New Roman" w:cs="Times New Roman" w:eastAsia="Times New Roman" w:hAnsi="Times New Roman"/>
          <w:sz w:val="21"/>
          <w:szCs w:val="21"/>
          <w:color w:val="auto"/>
        </w:rPr>
        <w:t>to serve as an independent director of the corporation or that could be material to a reasonable stockholder’s understanding of the independence, or lack thereof, of such nominee.</w:t>
      </w:r>
    </w:p>
    <w:p>
      <w:pPr>
        <w:spacing w:after="0" w:line="142" w:lineRule="exact"/>
        <w:rPr>
          <w:sz w:val="20"/>
          <w:szCs w:val="20"/>
          <w:color w:val="auto"/>
        </w:rPr>
      </w:pPr>
    </w:p>
    <w:p>
      <w:pPr>
        <w:ind w:firstLine="638"/>
        <w:spacing w:after="0" w:line="254" w:lineRule="auto"/>
        <w:rPr>
          <w:sz w:val="20"/>
          <w:szCs w:val="20"/>
          <w:color w:val="auto"/>
        </w:rPr>
      </w:pPr>
      <w:r>
        <w:rPr>
          <w:rFonts w:ascii="Times New Roman" w:cs="Times New Roman" w:eastAsia="Times New Roman" w:hAnsi="Times New Roman"/>
          <w:sz w:val="21"/>
          <w:szCs w:val="21"/>
          <w:color w:val="auto"/>
        </w:rPr>
        <w:t>No person shall be eligible for election as a director of the corporation unless nominated in accordance with the procedures set forth herein (including satisfaction of the information requirements set forth herein, compliance with any representation provided pursuant hereto, and compliance with any applicable law, rule or regulation).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 proposals as to any nomination to be considered pursuant to this Section and any violation thereof shall be deemed a violation of these bylaws. The number of nominees a stockholder or beneficial owner, if any, may nominate for election at a meeting of stockholders shall not exceed the number of directors to be elected at such meeting. In connection with any annual meeting of the stockholders, the Chair of the Board (or such other person presiding at such meeting in accordance with these bylaws) shall, if the facts warrant, determine and declare to the meeting that a nomination was not made in accordance with the foregoing procedure (including a failure to comply with any law, rule or regulation identified herein), and if he or she should so determine, he or she shall so declare to the meeting and the defective nomination shall be disregarded (and any such nominee shall be disqualified), including that if a stockholder provides notice pursuant to Rule 14a-19(b) promulgated under the Exchange Act and subsequently fails to comply with the requirements of Rule 14a-19(a)(2) and Rule 14a-19(a)(3) promulgated under the Exchange Act, including the provision to the corporation of notices required thereunder in a timely manner, then the corporation shall disregard any proxies or votes solicited for such stockholder’s director nominees (and any such nominee shall be disqualified). Notwithstanding anything in these bylaws to the contrary, unless otherwise required by law, if a stockholder intending to make a nomination at an annual meeting pursuant to the preceding paragraph or at a special meeting pursuant to Section 2.3 does not provide the updated information required under clause (i) of the preceding paragraph to the corporation promptly following the later of the record date or the date on which public announcement of the record date was first made, or the stockholder giving the notice (or a qualified representative of the stockholder) does not appear at the meeting to present the nomination, such nomination shall be disregarded (and any nominee disqualified), notwithstanding that proxies in respect of such nomination may have been received by the corporation. Notwithstanding the foregoing provisions of Section 3.1, unless otherwise required by law, no stockholder or beneficial owner, if any, or any associated person of such stockholder or beneficial owner shall solicit proxies in support of director nominees other than the corporation’s nominees unless such stockholder has complied with Rule 14a-19 promulgated under the Exchange Act, if applicable, in connection with the solicitation of such proxies, including the provision to the corporation of notices required thereunder in a timely manner; provided, further, that if such stockholder or beneficial owner, if any, or any associated person of such stockholder or beneficial owner no longer plans to solicit proxies in accordance with its representation pursuant to this Section 3.1, such stockholder or beneficial owner shall inform the corporation of this change by delivering a writing to the Secretary at the principal executive offices of the corporation no later than two (2) business days after the occurrence of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180"/>
          </w:cols>
          <w:pgMar w:left="320" w:top="1402" w:right="399" w:bottom="1440" w:gutter="0" w:footer="0" w:header="0"/>
        </w:sectPr>
      </w:pPr>
    </w:p>
    <w:bookmarkStart w:id="55" w:name="page56"/>
    <w:bookmarkEnd w:id="55"/>
    <w:p>
      <w:pPr>
        <w:ind w:firstLine="638"/>
        <w:spacing w:after="0" w:line="256" w:lineRule="auto"/>
        <w:rPr>
          <w:sz w:val="20"/>
          <w:szCs w:val="20"/>
          <w:color w:val="auto"/>
        </w:rPr>
      </w:pPr>
      <w:r>
        <w:rPr>
          <w:rFonts w:ascii="Times New Roman" w:cs="Times New Roman" w:eastAsia="Times New Roman" w:hAnsi="Times New Roman"/>
          <w:sz w:val="21"/>
          <w:szCs w:val="21"/>
          <w:color w:val="auto"/>
        </w:rPr>
        <w:t>If any information submitted pursuant to this Section 3.1 is inaccurate or incomplete in any material respect (as determined by the Board or a committee thereof), such information shall be deemed not to have been provided in accordance with these bylaws. A stockholder shall notify the Secretary in writing at the principal executive offices of the corporation of any inaccuracy or change in any information submitted within two (2) business days after becoming aware of such inaccuracy or change, and any such notification shall clearly identify the inaccuracy or change, it being understood that no such notification will cure any deficiencies or inaccuracies with respect to any prior submission by such stockholder. Upon written request of the Secretary on behalf of the Board (or a duly authorized committee thereof), the stockholder shall provide, within seven (7) business days after delivery of such request (or such longer period as may be specified in such request), (1) written verification, reasonably satisfactory to the Board, any committee thereof, or any authorized officer of the corporation, to demonstrate the accuracy of any information submitted and (2) a written affirmation of any information submitted as of an earlier date. If the stockholder fails to provide such written verification or affirmation within such period, the information as to which written verification or affirmation was requested may be deemed not to have been provided in accordance with these bylaws.</w:t>
      </w:r>
    </w:p>
    <w:p>
      <w:pPr>
        <w:spacing w:after="0" w:line="180" w:lineRule="exact"/>
        <w:rPr>
          <w:sz w:val="20"/>
          <w:szCs w:val="20"/>
          <w:color w:val="auto"/>
        </w:rPr>
      </w:pPr>
    </w:p>
    <w:p>
      <w:pPr>
        <w:ind w:right="40" w:firstLine="638"/>
        <w:spacing w:after="0" w:line="255" w:lineRule="auto"/>
        <w:rPr>
          <w:sz w:val="20"/>
          <w:szCs w:val="20"/>
          <w:color w:val="auto"/>
        </w:rPr>
      </w:pPr>
      <w:r>
        <w:rPr>
          <w:rFonts w:ascii="Times New Roman" w:cs="Times New Roman" w:eastAsia="Times New Roman" w:hAnsi="Times New Roman"/>
          <w:sz w:val="21"/>
          <w:szCs w:val="21"/>
          <w:color w:val="auto"/>
        </w:rPr>
        <w:t>Notwithstanding the foregoing, solely with respect to nominations of persons for election to the board of directors by stockholders pursuant to a notice in accordance with Section 2.3 or this Section 3.1, as applicable, if a stockholder’s notice was received by the Secretary of the corporation at the principal executive offices of the corporation on or after the first day allowed for such notice to be timely and at least fourteen (14) calendar days prior to the last date on which such notice could have been timely given as provided in Section 2.3 or this Section 3.1, as applicable, and the Secretary of the corporation determines, in the Secretary’s sole discretion, upon a facial review of such notice and without independent verification of the information provided therein, that such notice does not satisfy the requirements set forth in these bylaws, then the following provisions shall apply: (i) within fourteen (14) calendar days of receiving such notice, the Secretary of the corporation shall notify such nominating stockholder of such deficiencies (the “deficiency notification”), which deficiency notification may be sent by email to the email address specified in the stockholder’s notice, in which case such notification shall be deemed to be received by the nominating stockholder when sent by the Secretary of the corporation; (ii) the nominating stockholder shall have an opportunity to cure such deficiencies by delivering additional information to the Secretary of the corporation at the principal executive offices of the corporation on or before the last date on which such notice could have been timely given as provided in Section 2.3 or this Section 3.1, as applicable (the “cure deadline”); and (iii) if the stockholder cures (in the sole discretion of the Secretary of the corporation) all deficiencies identified in the deficiency notification by the cure deadline, then the deficiencies identified in the deficiency notification shall not serve as a basis for the chair of the meeting to declare that the proposed director nominees(s) be disregarded; provided, that nothing herein shall preclude the chair of the meeting from declaring that the proposed nominee(s) shall be disregarded if the chair of the meeting determines that the nomination otherwise is not in compliance with these bylaws, including as a result of an untrue statement or omission of a fact required under these bylaws to be stated in the notice or a defect or omission that was not apparent on the face of the notice, or if the stockholder fails to provide the additional information or any updates on material changes as otherwise required by these bylaws. For the avoidance of doubt, no deficiency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20"/>
          </w:cols>
          <w:pgMar w:left="320" w:top="1402" w:right="359" w:bottom="1440" w:gutter="0" w:footer="0" w:header="0"/>
        </w:sectPr>
      </w:pPr>
    </w:p>
    <w:bookmarkStart w:id="56" w:name="page57"/>
    <w:bookmarkEnd w:id="56"/>
    <w:p>
      <w:pPr>
        <w:ind w:right="940"/>
        <w:spacing w:after="0" w:line="286" w:lineRule="auto"/>
        <w:rPr>
          <w:sz w:val="20"/>
          <w:szCs w:val="20"/>
          <w:color w:val="auto"/>
        </w:rPr>
      </w:pPr>
      <w:r>
        <w:rPr>
          <w:rFonts w:ascii="Times New Roman" w:cs="Times New Roman" w:eastAsia="Times New Roman" w:hAnsi="Times New Roman"/>
          <w:sz w:val="21"/>
          <w:szCs w:val="21"/>
          <w:color w:val="auto"/>
        </w:rPr>
        <w:t>notification or cure deadline shall extend the time frames set forth in Section 2.3 and this Section 3.1, as applicable, for a stockholder’s notice to be timely given.</w:t>
      </w:r>
    </w:p>
    <w:p>
      <w:pPr>
        <w:spacing w:after="0" w:line="142" w:lineRule="exact"/>
        <w:rPr>
          <w:sz w:val="20"/>
          <w:szCs w:val="20"/>
          <w:color w:val="auto"/>
        </w:rPr>
      </w:pPr>
    </w:p>
    <w:p>
      <w:pPr>
        <w:ind w:firstLine="638"/>
        <w:spacing w:after="0" w:line="258" w:lineRule="auto"/>
        <w:rPr>
          <w:sz w:val="20"/>
          <w:szCs w:val="20"/>
          <w:color w:val="auto"/>
        </w:rPr>
      </w:pPr>
      <w:r>
        <w:rPr>
          <w:rFonts w:ascii="Times New Roman" w:cs="Times New Roman" w:eastAsia="Times New Roman" w:hAnsi="Times New Roman"/>
          <w:sz w:val="21"/>
          <w:szCs w:val="21"/>
          <w:color w:val="010000"/>
        </w:rPr>
        <w:t xml:space="preserve">3.2 </w:t>
      </w:r>
      <w:r>
        <w:rPr>
          <w:rFonts w:ascii="Times New Roman" w:cs="Times New Roman" w:eastAsia="Times New Roman" w:hAnsi="Times New Roman"/>
          <w:sz w:val="21"/>
          <w:szCs w:val="21"/>
          <w:color w:val="000000"/>
        </w:rPr>
        <w:t>Enlargement and Vacancies. The number of members of the Board may be increased at any time as provided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Section 3.1 above. Except as may otherwise be provided in the Certificate of Incorporation with respect to the rights of the holders of any series of preferred stock to elect directors, the sole power to fill vacancies and newly created directorships resulting from any increase in the authorized number of directors shall be vested in the Board through action by a majority of the directors then in office, even though less than a quorum, or by a sole remaining director, and each director so chosen shall hold office for the remainder of the full term in which the new directorship was created or in which the vacancy occurred, and until such director’s successor is duly elected and qualified or until such director’s earlier death, resignation or removal from office. If there are no directors in office, then an election of directors may be held in the manner provided by the DGCL. In the event of a vacancy in the Board, the remaining directors, except as otherwise provided by law or these bylaws, may exercise the powers of the full Board until the vacancy is filled.</w:t>
      </w:r>
    </w:p>
    <w:p>
      <w:pPr>
        <w:spacing w:after="0" w:line="200" w:lineRule="exact"/>
        <w:rPr>
          <w:sz w:val="20"/>
          <w:szCs w:val="20"/>
          <w:color w:val="auto"/>
        </w:rPr>
      </w:pPr>
    </w:p>
    <w:p>
      <w:pPr>
        <w:spacing w:after="0" w:line="229" w:lineRule="exact"/>
        <w:rPr>
          <w:sz w:val="20"/>
          <w:szCs w:val="20"/>
          <w:color w:val="auto"/>
        </w:rPr>
      </w:pPr>
    </w:p>
    <w:p>
      <w:pPr>
        <w:ind w:right="20" w:firstLine="638"/>
        <w:spacing w:after="0" w:line="257" w:lineRule="auto"/>
        <w:rPr>
          <w:sz w:val="20"/>
          <w:szCs w:val="20"/>
          <w:color w:val="auto"/>
        </w:rPr>
      </w:pPr>
      <w:r>
        <w:rPr>
          <w:rFonts w:ascii="Times New Roman" w:cs="Times New Roman" w:eastAsia="Times New Roman" w:hAnsi="Times New Roman"/>
          <w:sz w:val="21"/>
          <w:szCs w:val="21"/>
          <w:color w:val="010000"/>
        </w:rPr>
        <w:t xml:space="preserve">3.3 </w:t>
      </w:r>
      <w:r>
        <w:rPr>
          <w:rFonts w:ascii="Times New Roman" w:cs="Times New Roman" w:eastAsia="Times New Roman" w:hAnsi="Times New Roman"/>
          <w:sz w:val="21"/>
          <w:szCs w:val="21"/>
          <w:color w:val="000000"/>
        </w:rPr>
        <w:t>Resignation and Removal. Any director may resign at any time upon written notice to the corporation at its principal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place of business addressed to the attention of the Chief Executive Officer or the Secretary. Such resignation shall be effective upon receipt of such notice unless the notice specifies such resignation to be effective at some other time or upon the happening of some other event. Unless otherwise specified by law or the Certificate of Incorporation, a director, if any, serving in a class of directors for a term expiring in the third annual meeting of stockholders following the election of such class may be removed, but only for cause, by the holders of sixty-six and two-thirds percent of the voting power of all of the then outstanding shares of the shares of the capital stock of the corporation entitled to vote generally in the election of directors, voting as a single class, and all other directors may be removed with or without cause by the affirmative vote of the holders of sixty-six and two-thirds percent of the voting power of all of the then outstanding shares of the shares of the capital stock of the corporation entitled to vote generally in the election of directors, voting as a single class.</w:t>
      </w:r>
    </w:p>
    <w:p>
      <w:pPr>
        <w:spacing w:after="0" w:line="180" w:lineRule="exact"/>
        <w:rPr>
          <w:sz w:val="20"/>
          <w:szCs w:val="20"/>
          <w:color w:val="auto"/>
        </w:rPr>
      </w:pPr>
    </w:p>
    <w:p>
      <w:pPr>
        <w:jc w:val="both"/>
        <w:ind w:right="100" w:firstLine="638"/>
        <w:spacing w:after="0" w:line="275" w:lineRule="auto"/>
        <w:rPr>
          <w:sz w:val="20"/>
          <w:szCs w:val="20"/>
          <w:color w:val="auto"/>
        </w:rPr>
      </w:pPr>
      <w:r>
        <w:rPr>
          <w:rFonts w:ascii="Times New Roman" w:cs="Times New Roman" w:eastAsia="Times New Roman" w:hAnsi="Times New Roman"/>
          <w:sz w:val="21"/>
          <w:szCs w:val="21"/>
          <w:color w:val="010000"/>
        </w:rPr>
        <w:t xml:space="preserve">3.4 </w:t>
      </w:r>
      <w:r>
        <w:rPr>
          <w:rFonts w:ascii="Times New Roman" w:cs="Times New Roman" w:eastAsia="Times New Roman" w:hAnsi="Times New Roman"/>
          <w:sz w:val="21"/>
          <w:szCs w:val="21"/>
          <w:color w:val="000000"/>
        </w:rPr>
        <w:t>Powers. The business of the corporation shall be managed by or under the direction of the Board, which may exercise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all such powers of the corporation and do all such lawful acts and things as are not by statute or by the Certificate of Incorporation or by these bylaws directed or required to be exercised or done by the stockholders.</w:t>
      </w:r>
    </w:p>
    <w:p>
      <w:pPr>
        <w:spacing w:after="0" w:line="154" w:lineRule="exact"/>
        <w:rPr>
          <w:sz w:val="20"/>
          <w:szCs w:val="20"/>
          <w:color w:val="auto"/>
        </w:rPr>
      </w:pPr>
    </w:p>
    <w:p>
      <w:pPr>
        <w:ind w:right="100" w:firstLine="638"/>
        <w:spacing w:after="0" w:line="269" w:lineRule="auto"/>
        <w:rPr>
          <w:sz w:val="20"/>
          <w:szCs w:val="20"/>
          <w:color w:val="auto"/>
        </w:rPr>
      </w:pPr>
      <w:r>
        <w:rPr>
          <w:rFonts w:ascii="Times New Roman" w:cs="Times New Roman" w:eastAsia="Times New Roman" w:hAnsi="Times New Roman"/>
          <w:sz w:val="21"/>
          <w:szCs w:val="21"/>
          <w:color w:val="010000"/>
        </w:rPr>
        <w:t xml:space="preserve">3.5 </w:t>
      </w:r>
      <w:r>
        <w:rPr>
          <w:rFonts w:ascii="Times New Roman" w:cs="Times New Roman" w:eastAsia="Times New Roman" w:hAnsi="Times New Roman"/>
          <w:sz w:val="21"/>
          <w:szCs w:val="21"/>
          <w:color w:val="000000"/>
        </w:rPr>
        <w:t>Chair of the Board. If the Board appoints a Chair of the Board, such Chair shall, when present, preside at all meetings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the stockholders and the Board. The Chair shall perform such duties and possess such powers as are customarily vested in the office of the Chair of the Board or as may be vested in the Chair by the Board.</w:t>
      </w:r>
    </w:p>
    <w:p>
      <w:pPr>
        <w:spacing w:after="0" w:line="159" w:lineRule="exact"/>
        <w:rPr>
          <w:sz w:val="20"/>
          <w:szCs w:val="20"/>
          <w:color w:val="auto"/>
        </w:rPr>
      </w:pPr>
    </w:p>
    <w:p>
      <w:pPr>
        <w:ind w:right="600" w:firstLine="638"/>
        <w:spacing w:after="0" w:line="286" w:lineRule="auto"/>
        <w:rPr>
          <w:sz w:val="20"/>
          <w:szCs w:val="20"/>
          <w:color w:val="auto"/>
        </w:rPr>
      </w:pPr>
      <w:r>
        <w:rPr>
          <w:rFonts w:ascii="Times New Roman" w:cs="Times New Roman" w:eastAsia="Times New Roman" w:hAnsi="Times New Roman"/>
          <w:sz w:val="21"/>
          <w:szCs w:val="21"/>
          <w:color w:val="010000"/>
        </w:rPr>
        <w:t xml:space="preserve">3.6 </w:t>
      </w:r>
      <w:r>
        <w:rPr>
          <w:rFonts w:ascii="Times New Roman" w:cs="Times New Roman" w:eastAsia="Times New Roman" w:hAnsi="Times New Roman"/>
          <w:sz w:val="21"/>
          <w:szCs w:val="21"/>
          <w:color w:val="000000"/>
        </w:rPr>
        <w:t>Place of Meetings. The Board may hold meetings, both regular and special, either within or without the State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Delaware.</w:t>
      </w:r>
    </w:p>
    <w:p>
      <w:pPr>
        <w:spacing w:after="0" w:line="15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010000"/>
        </w:rPr>
        <w:t>3.7</w:t>
      </w:r>
      <w:r>
        <w:rPr>
          <w:rFonts w:ascii="Times New Roman" w:cs="Times New Roman" w:eastAsia="Times New Roman" w:hAnsi="Times New Roman"/>
          <w:sz w:val="21"/>
          <w:szCs w:val="21"/>
          <w:color w:val="auto"/>
        </w:rPr>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02" w:right="339" w:bottom="1440" w:gutter="0" w:footer="0" w:header="0"/>
        </w:sectPr>
      </w:pPr>
    </w:p>
    <w:bookmarkStart w:id="57" w:name="page58"/>
    <w:bookmarkEnd w:id="57"/>
    <w:p>
      <w:pPr>
        <w:ind w:firstLine="638"/>
        <w:spacing w:after="0" w:line="269" w:lineRule="auto"/>
        <w:rPr>
          <w:sz w:val="20"/>
          <w:szCs w:val="20"/>
          <w:color w:val="auto"/>
        </w:rPr>
      </w:pPr>
      <w:r>
        <w:rPr>
          <w:rFonts w:ascii="Times New Roman" w:cs="Times New Roman" w:eastAsia="Times New Roman" w:hAnsi="Times New Roman"/>
          <w:sz w:val="21"/>
          <w:szCs w:val="21"/>
          <w:color w:val="010000"/>
        </w:rPr>
        <w:t xml:space="preserve">3.8 </w:t>
      </w:r>
      <w:r>
        <w:rPr>
          <w:rFonts w:ascii="Times New Roman" w:cs="Times New Roman" w:eastAsia="Times New Roman" w:hAnsi="Times New Roman"/>
          <w:sz w:val="21"/>
          <w:szCs w:val="21"/>
          <w:color w:val="000000"/>
        </w:rPr>
        <w:t>Regular Meetings. Regular meetings of the Board may be held without notice at such time and place, if any, as may be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determined from time to time by the Board; provided that any director who is absent when such a determination is made shall be given prompt notice of such determination.</w:t>
      </w:r>
    </w:p>
    <w:p>
      <w:pPr>
        <w:spacing w:after="0" w:line="172" w:lineRule="exact"/>
        <w:rPr>
          <w:sz w:val="20"/>
          <w:szCs w:val="20"/>
          <w:color w:val="auto"/>
        </w:rPr>
      </w:pPr>
    </w:p>
    <w:p>
      <w:pPr>
        <w:ind w:right="40" w:firstLine="638"/>
        <w:spacing w:after="0" w:line="257" w:lineRule="auto"/>
        <w:rPr>
          <w:sz w:val="20"/>
          <w:szCs w:val="20"/>
          <w:color w:val="auto"/>
        </w:rPr>
      </w:pPr>
      <w:r>
        <w:rPr>
          <w:rFonts w:ascii="Times New Roman" w:cs="Times New Roman" w:eastAsia="Times New Roman" w:hAnsi="Times New Roman"/>
          <w:sz w:val="21"/>
          <w:szCs w:val="21"/>
          <w:color w:val="010000"/>
        </w:rPr>
        <w:t xml:space="preserve">3.9 </w:t>
      </w:r>
      <w:r>
        <w:rPr>
          <w:rFonts w:ascii="Times New Roman" w:cs="Times New Roman" w:eastAsia="Times New Roman" w:hAnsi="Times New Roman"/>
          <w:sz w:val="21"/>
          <w:szCs w:val="21"/>
          <w:color w:val="000000"/>
        </w:rPr>
        <w:t>Special Meetings. Special meetings of the Board may be called by the Chair of the Board, the Chief Executive Officer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(if a director), or on the written request of two or more directors, or by one director in the event that there is only one director in office. Notice of the time and place, if any, of special meetings shall be delivered personally or by telephone to each director, or sent by first-class mail or commercial delivery service, facsimile transmission, or by electronic mail or other electronic means, charges prepaid, sent to such director’s business or home address as they appear upon the records of the corporation. In case such notice is mailed, it shall be deposited in the United States mail at least four days prior to the time of holding of the meeting. In case such notice is delivered personally or by telephone or by first-class mail or commercial delivery service, facsimile transmission, or electronic mail or other electronic means, it shall be so delivered at least twenty-four hours prior to the time of the holding of the meeting. A notice or waiver of notice of a meeting of the Board need not specify the purposes of the meeting.</w:t>
      </w:r>
    </w:p>
    <w:p>
      <w:pPr>
        <w:spacing w:after="0" w:line="172" w:lineRule="exact"/>
        <w:rPr>
          <w:sz w:val="20"/>
          <w:szCs w:val="20"/>
          <w:color w:val="auto"/>
        </w:rPr>
      </w:pPr>
    </w:p>
    <w:p>
      <w:pPr>
        <w:ind w:firstLine="638"/>
        <w:spacing w:after="0" w:line="259" w:lineRule="auto"/>
        <w:rPr>
          <w:sz w:val="20"/>
          <w:szCs w:val="20"/>
          <w:color w:val="auto"/>
        </w:rPr>
      </w:pPr>
      <w:r>
        <w:rPr>
          <w:rFonts w:ascii="Times New Roman" w:cs="Times New Roman" w:eastAsia="Times New Roman" w:hAnsi="Times New Roman"/>
          <w:sz w:val="21"/>
          <w:szCs w:val="21"/>
          <w:color w:val="010000"/>
        </w:rPr>
        <w:t xml:space="preserve">3.10 </w:t>
      </w:r>
      <w:r>
        <w:rPr>
          <w:rFonts w:ascii="Times New Roman" w:cs="Times New Roman" w:eastAsia="Times New Roman" w:hAnsi="Times New Roman"/>
          <w:sz w:val="21"/>
          <w:szCs w:val="21"/>
          <w:color w:val="000000"/>
        </w:rPr>
        <w:t>Quorum, Action at Meeting, Adjournments. At all meetings of the Board, a majority of directors then in office, but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no event less than one-third of the entire Board, shall constitute a quorum for the transaction of business and the affirmative vote of a majority of the directors present at any meeting at which there is a quorum shall be the act of the Board, except as may be otherwise specifically provided by law or by the Certificate of Incorporation. For purposes of this Section, the term “entire Board” shall mean the total number of authorized directors whether or not there exist any vacancies in previously authorized directorships. If a quorum shall not be present at any meeting of the Board, a majority of the directors present thereat may adjourn the meeting from time to time, without notice other than announcement at the meeting, until a quorum shall be present.</w:t>
      </w:r>
    </w:p>
    <w:p>
      <w:pPr>
        <w:spacing w:after="0" w:line="184" w:lineRule="exact"/>
        <w:rPr>
          <w:sz w:val="20"/>
          <w:szCs w:val="20"/>
          <w:color w:val="auto"/>
        </w:rPr>
      </w:pPr>
    </w:p>
    <w:p>
      <w:pPr>
        <w:ind w:firstLine="638"/>
        <w:spacing w:after="0" w:line="260" w:lineRule="auto"/>
        <w:rPr>
          <w:sz w:val="20"/>
          <w:szCs w:val="20"/>
          <w:color w:val="auto"/>
        </w:rPr>
      </w:pPr>
      <w:r>
        <w:rPr>
          <w:rFonts w:ascii="Times New Roman" w:cs="Times New Roman" w:eastAsia="Times New Roman" w:hAnsi="Times New Roman"/>
          <w:sz w:val="21"/>
          <w:szCs w:val="21"/>
          <w:color w:val="010000"/>
        </w:rPr>
        <w:t xml:space="preserve">3.11 </w:t>
      </w:r>
      <w:r>
        <w:rPr>
          <w:rFonts w:ascii="Times New Roman" w:cs="Times New Roman" w:eastAsia="Times New Roman" w:hAnsi="Times New Roman"/>
          <w:sz w:val="21"/>
          <w:szCs w:val="21"/>
          <w:color w:val="000000"/>
        </w:rPr>
        <w:t>Action Without Meeting. Unless otherwise restricted by the Certificate of Incorporation or these bylaws, any action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required or permitted to be taken at any meeting of the Board or of any committee thereof may be taken without a meeting, if all members of the Board or committee, as the case may be, consent thereto in writing or by electronic transmission. After an action is taken, the writing or writings or electronic transmission or transmissions shall be filed with the minutes of proceedings of the Board or committee, as applicable.</w:t>
      </w:r>
    </w:p>
    <w:p>
      <w:pPr>
        <w:spacing w:after="0" w:line="181" w:lineRule="exact"/>
        <w:rPr>
          <w:sz w:val="20"/>
          <w:szCs w:val="20"/>
          <w:color w:val="auto"/>
        </w:rPr>
      </w:pPr>
    </w:p>
    <w:p>
      <w:pPr>
        <w:ind w:right="20" w:firstLine="638"/>
        <w:spacing w:after="0" w:line="263" w:lineRule="auto"/>
        <w:rPr>
          <w:sz w:val="20"/>
          <w:szCs w:val="20"/>
          <w:color w:val="auto"/>
        </w:rPr>
      </w:pPr>
      <w:r>
        <w:rPr>
          <w:rFonts w:ascii="Times New Roman" w:cs="Times New Roman" w:eastAsia="Times New Roman" w:hAnsi="Times New Roman"/>
          <w:sz w:val="21"/>
          <w:szCs w:val="21"/>
          <w:color w:val="010000"/>
        </w:rPr>
        <w:t xml:space="preserve">3.12 </w:t>
      </w:r>
      <w:r>
        <w:rPr>
          <w:rFonts w:ascii="Times New Roman" w:cs="Times New Roman" w:eastAsia="Times New Roman" w:hAnsi="Times New Roman"/>
          <w:sz w:val="21"/>
          <w:szCs w:val="21"/>
          <w:color w:val="000000"/>
        </w:rPr>
        <w:t>Remote Meetings. Unless otherwise restricted by the Certificate of Incorporation or these bylaws, any member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Board or any committee thereof may participate in a meeting of the Board or of any committee, as the case may be, by means of conference telephone or by other communications equipment by means of which all persons participating in the meeting can hear each other, and such participation in a meeting shall constitute presence in person at the meeting.</w:t>
      </w:r>
    </w:p>
    <w:p>
      <w:pPr>
        <w:spacing w:after="0" w:line="165" w:lineRule="exact"/>
        <w:rPr>
          <w:sz w:val="20"/>
          <w:szCs w:val="20"/>
          <w:color w:val="auto"/>
        </w:rPr>
      </w:pPr>
    </w:p>
    <w:p>
      <w:pPr>
        <w:ind w:right="160" w:firstLine="638"/>
        <w:spacing w:after="0" w:line="286" w:lineRule="auto"/>
        <w:rPr>
          <w:sz w:val="20"/>
          <w:szCs w:val="20"/>
          <w:color w:val="auto"/>
        </w:rPr>
      </w:pPr>
      <w:r>
        <w:rPr>
          <w:rFonts w:ascii="Times New Roman" w:cs="Times New Roman" w:eastAsia="Times New Roman" w:hAnsi="Times New Roman"/>
          <w:sz w:val="21"/>
          <w:szCs w:val="21"/>
          <w:color w:val="010000"/>
        </w:rPr>
        <w:t xml:space="preserve">3.13 </w:t>
      </w:r>
      <w:r>
        <w:rPr>
          <w:rFonts w:ascii="Times New Roman" w:cs="Times New Roman" w:eastAsia="Times New Roman" w:hAnsi="Times New Roman"/>
          <w:sz w:val="21"/>
          <w:szCs w:val="21"/>
          <w:color w:val="000000"/>
        </w:rPr>
        <w:t>Committees. The Board may, by resolution, designate one or more committees, each committee to consist of one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more of the directors of the corporation. The Board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20"/>
          </w:cols>
          <w:pgMar w:left="320" w:top="1402" w:right="359" w:bottom="1440" w:gutter="0" w:footer="0" w:header="0"/>
        </w:sectPr>
      </w:pPr>
    </w:p>
    <w:bookmarkStart w:id="58" w:name="page59"/>
    <w:bookmarkEnd w:id="58"/>
    <w:p>
      <w:pPr>
        <w:ind w:right="40"/>
        <w:spacing w:after="0" w:line="255" w:lineRule="auto"/>
        <w:rPr>
          <w:sz w:val="20"/>
          <w:szCs w:val="20"/>
          <w:color w:val="auto"/>
        </w:rPr>
      </w:pPr>
      <w:r>
        <w:rPr>
          <w:rFonts w:ascii="Times New Roman" w:cs="Times New Roman" w:eastAsia="Times New Roman" w:hAnsi="Times New Roman"/>
          <w:sz w:val="21"/>
          <w:szCs w:val="21"/>
          <w:color w:val="auto"/>
        </w:rPr>
        <w:t>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the member or members present constitute a quorum, may unanimously appoint another member of the Board to act at the meeting in the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of these bylaws. Such committee or committees shall have such name or names as may be determined from time to time by resolution adopted by the Board. Each committee shall keep regular minutes of its meetings and make such reports to the Board as the Board may request. Except as the Board may otherwise determine, any committee may make rules for the conduct of its business, but unless otherwise provided by the directors or in such rules, its business shall be conducted as nearly as possible in the same manner as is provided in these bylaws for the conduct of its business by the Board.</w:t>
      </w:r>
    </w:p>
    <w:p>
      <w:pPr>
        <w:spacing w:after="0" w:line="197" w:lineRule="exact"/>
        <w:rPr>
          <w:sz w:val="20"/>
          <w:szCs w:val="20"/>
          <w:color w:val="auto"/>
        </w:rPr>
      </w:pPr>
    </w:p>
    <w:p>
      <w:pPr>
        <w:ind w:right="60" w:firstLine="638"/>
        <w:spacing w:after="0" w:line="261" w:lineRule="auto"/>
        <w:rPr>
          <w:sz w:val="20"/>
          <w:szCs w:val="20"/>
          <w:color w:val="auto"/>
        </w:rPr>
      </w:pPr>
      <w:r>
        <w:rPr>
          <w:rFonts w:ascii="Times New Roman" w:cs="Times New Roman" w:eastAsia="Times New Roman" w:hAnsi="Times New Roman"/>
          <w:sz w:val="21"/>
          <w:szCs w:val="21"/>
          <w:color w:val="010000"/>
        </w:rPr>
        <w:t xml:space="preserve">3.14 </w:t>
      </w:r>
      <w:r>
        <w:rPr>
          <w:rFonts w:ascii="Times New Roman" w:cs="Times New Roman" w:eastAsia="Times New Roman" w:hAnsi="Times New Roman"/>
          <w:sz w:val="21"/>
          <w:szCs w:val="21"/>
          <w:color w:val="000000"/>
        </w:rPr>
        <w:t>Fees and Compensation of Directors. Unless otherwise restricted by the Certificate of Incorporation or these bylaws,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Board shall have the authority to fix the compensation of directors. The directors may be paid their expenses, if any, of attendance at each meeting of the Board and may be paid a fixed sum for attendance at each meeting of the Board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0" w:lineRule="exact"/>
        <w:rPr>
          <w:sz w:val="20"/>
          <w:szCs w:val="20"/>
          <w:color w:val="auto"/>
        </w:rPr>
      </w:pPr>
    </w:p>
    <w:p>
      <w:pPr>
        <w:spacing w:after="0" w:line="229" w:lineRule="exact"/>
        <w:rPr>
          <w:sz w:val="20"/>
          <w:szCs w:val="20"/>
          <w:color w:val="auto"/>
        </w:rPr>
      </w:pPr>
    </w:p>
    <w:p>
      <w:pPr>
        <w:ind w:firstLine="638"/>
        <w:spacing w:after="0" w:line="256" w:lineRule="auto"/>
        <w:rPr>
          <w:sz w:val="20"/>
          <w:szCs w:val="20"/>
          <w:color w:val="auto"/>
        </w:rPr>
      </w:pPr>
      <w:r>
        <w:rPr>
          <w:rFonts w:ascii="Times New Roman" w:cs="Times New Roman" w:eastAsia="Times New Roman" w:hAnsi="Times New Roman"/>
          <w:sz w:val="21"/>
          <w:szCs w:val="21"/>
          <w:color w:val="010000"/>
        </w:rPr>
        <w:t xml:space="preserve">3.15 </w:t>
      </w:r>
      <w:r>
        <w:rPr>
          <w:rFonts w:ascii="Times New Roman" w:cs="Times New Roman" w:eastAsia="Times New Roman" w:hAnsi="Times New Roman"/>
          <w:sz w:val="21"/>
          <w:szCs w:val="21"/>
          <w:color w:val="000000"/>
        </w:rPr>
        <w:t>Submission of Questionnaire, Representation and Agreement. To be eligible to be a nominee of any stockholder for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election or reelection as a director of the corporation, the person proposed to be nominated must deliver (in accordance with the time periods prescribed for delivery of notice under Section 3.1 of these bylaws) to the Secretary of the corporation at the principal executive offices of the corporation all completed and signed questionnaires in the forms required by the corporation (which form the stockholder shall request in writing from the Secretary of the corporation and which the Secretary of the corporation shall provide to such stockholder within ten (10) days of receiving such request) with respect to the background and qualification of such nominee to serve as a director of the corporation and the background of any other person or entity on whose behalf, directly or indirectly, the nomination is being made and a signed representation and agreement (in the form available from the Secretary of the corporation upon written request) that such nominee: (a) is not and will not become a party to (i) any agreement, arrangement or understanding with, and has not given any commitment or assurance to, any person or entity as to how such nominee, if elected as a director of the corporation, will act or vote on any issue or question (a “Voting Commitment”) that has not been disclosed to the corporation or (ii) any Voting Commitment that could limit or interfere with such nominee’s ability to comply, if elected as a director of the corporation, with such nominee’s fiduciary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02" w:right="339" w:bottom="1440" w:gutter="0" w:footer="0" w:header="0"/>
        </w:sectPr>
      </w:pPr>
    </w:p>
    <w:bookmarkStart w:id="59" w:name="page60"/>
    <w:bookmarkEnd w:id="59"/>
    <w:p>
      <w:pPr>
        <w:ind w:right="100"/>
        <w:spacing w:after="0" w:line="260" w:lineRule="auto"/>
        <w:rPr>
          <w:sz w:val="20"/>
          <w:szCs w:val="20"/>
          <w:color w:val="auto"/>
        </w:rPr>
      </w:pPr>
      <w:r>
        <w:rPr>
          <w:rFonts w:ascii="Times New Roman" w:cs="Times New Roman" w:eastAsia="Times New Roman" w:hAnsi="Times New Roman"/>
          <w:sz w:val="21"/>
          <w:szCs w:val="21"/>
          <w:color w:val="auto"/>
        </w:rPr>
        <w:t>under applicable law, (b) is not and will not become a party to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 that has not been disclosed therein,</w:t>
      </w:r>
    </w:p>
    <w:p>
      <w:pPr>
        <w:spacing w:after="0" w:line="1" w:lineRule="exact"/>
        <w:rPr>
          <w:sz w:val="20"/>
          <w:szCs w:val="20"/>
          <w:color w:val="auto"/>
        </w:rPr>
      </w:pPr>
    </w:p>
    <w:p>
      <w:pPr>
        <w:ind w:firstLine="6"/>
        <w:spacing w:after="0" w:line="254" w:lineRule="auto"/>
        <w:tabs>
          <w:tab w:leader="none" w:pos="289"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any proxy materials relating to the corporation’s next meeting and agrees to serve if elected as a director, (g) intends to serve as a director for the full term for which such individual is to stand for election, (h) represents and warrants that his or her candidacy or, if elected, Board membership, would not violate applicable state or federal law, the Certificate of Incorporation, these bylaws, or the rules of any stock exchange on which shares of the corporation’s common stock are traded, and (i)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180" w:lineRule="exact"/>
        <w:rPr>
          <w:sz w:val="20"/>
          <w:szCs w:val="20"/>
          <w:color w:val="auto"/>
        </w:rPr>
      </w:pPr>
    </w:p>
    <w:p>
      <w:pPr>
        <w:ind w:right="60" w:firstLine="638"/>
        <w:spacing w:after="0" w:line="259" w:lineRule="auto"/>
        <w:rPr>
          <w:sz w:val="20"/>
          <w:szCs w:val="20"/>
          <w:color w:val="auto"/>
        </w:rPr>
      </w:pPr>
      <w:r>
        <w:rPr>
          <w:rFonts w:ascii="Times New Roman" w:cs="Times New Roman" w:eastAsia="Times New Roman" w:hAnsi="Times New Roman"/>
          <w:sz w:val="21"/>
          <w:szCs w:val="21"/>
          <w:color w:val="auto"/>
        </w:rPr>
        <w:t>The Board may request that any stockholder, beneficial owner, if any, or any associated person of such stockholder or beneficial owner and any proposed nominee of such stockholder, beneficial owner, if any, or any associated person of such stockholder or beneficial owner furnish such additional information as may be reasonably required by the Board. Such stockholder or beneficial owner, if any, or any associated person of such stockholder or beneficial owner and/or proposed nominee thereof shall provide such additional information within ten (10) days after it has been requested by the Board. The Board may require any such proposed nominee to submit to interviews with the Board or any committee thereof, and such proposed nominee shall make themself available for any such interviews within no less than ten (10) business days following the date of such request.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10000"/>
        </w:rPr>
        <w:t>ARTICLE 4</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OFFICERS</w:t>
      </w:r>
    </w:p>
    <w:p>
      <w:pPr>
        <w:spacing w:after="0" w:line="212" w:lineRule="exact"/>
        <w:rPr>
          <w:sz w:val="20"/>
          <w:szCs w:val="20"/>
          <w:color w:val="auto"/>
        </w:rPr>
      </w:pPr>
    </w:p>
    <w:p>
      <w:pPr>
        <w:ind w:right="20" w:firstLine="638"/>
        <w:spacing w:after="0" w:line="260" w:lineRule="auto"/>
        <w:rPr>
          <w:sz w:val="20"/>
          <w:szCs w:val="20"/>
          <w:color w:val="auto"/>
        </w:rPr>
      </w:pPr>
      <w:r>
        <w:rPr>
          <w:rFonts w:ascii="Times New Roman" w:cs="Times New Roman" w:eastAsia="Times New Roman" w:hAnsi="Times New Roman"/>
          <w:sz w:val="21"/>
          <w:szCs w:val="21"/>
          <w:color w:val="010000"/>
        </w:rPr>
        <w:t xml:space="preserve">4.1 </w:t>
      </w:r>
      <w:r>
        <w:rPr>
          <w:rFonts w:ascii="Times New Roman" w:cs="Times New Roman" w:eastAsia="Times New Roman" w:hAnsi="Times New Roman"/>
          <w:sz w:val="21"/>
          <w:szCs w:val="21"/>
          <w:color w:val="000000"/>
        </w:rPr>
        <w:t>Officers Designated. The officers of the corporation shall be a Chief Executive Officer and/or President, a Secretary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a Chief Financial Officer, each of whom shall be appointed by the Board. The Board may also appoint one or more Vice Presidents, a Treasurer, and one or more assistant Secretaries or assistant Treasurers and such other officers as the Board may deem desirable or appropriate and may give any of them such further designations or alternate titles as it considers desirable. Any number of offices may be held by the same person, unless the Certificate of Incorporation or these bylaws otherwise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402" w:right="339" w:bottom="1440" w:gutter="0" w:footer="0" w:header="0"/>
        </w:sectPr>
      </w:pPr>
    </w:p>
    <w:bookmarkStart w:id="60" w:name="page61"/>
    <w:bookmarkEnd w:id="60"/>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010000"/>
        </w:rPr>
        <w:t>4.2</w:t>
      </w:r>
      <w:r>
        <w:rPr>
          <w:rFonts w:ascii="Times New Roman" w:cs="Times New Roman" w:eastAsia="Times New Roman" w:hAnsi="Times New Roman"/>
          <w:sz w:val="21"/>
          <w:szCs w:val="21"/>
          <w:color w:val="auto"/>
        </w:rPr>
        <w:tab/>
        <w:t>[Reserved].</w:t>
      </w:r>
    </w:p>
    <w:p>
      <w:pPr>
        <w:spacing w:after="0" w:line="224" w:lineRule="exact"/>
        <w:rPr>
          <w:sz w:val="20"/>
          <w:szCs w:val="20"/>
          <w:color w:val="auto"/>
        </w:rPr>
      </w:pPr>
    </w:p>
    <w:p>
      <w:pPr>
        <w:ind w:right="40" w:firstLine="638"/>
        <w:spacing w:after="0" w:line="259" w:lineRule="auto"/>
        <w:rPr>
          <w:sz w:val="20"/>
          <w:szCs w:val="20"/>
          <w:color w:val="auto"/>
        </w:rPr>
      </w:pPr>
      <w:r>
        <w:rPr>
          <w:rFonts w:ascii="Times New Roman" w:cs="Times New Roman" w:eastAsia="Times New Roman" w:hAnsi="Times New Roman"/>
          <w:sz w:val="21"/>
          <w:szCs w:val="21"/>
          <w:color w:val="010000"/>
        </w:rPr>
        <w:t xml:space="preserve">4.3 </w:t>
      </w:r>
      <w:r>
        <w:rPr>
          <w:rFonts w:ascii="Times New Roman" w:cs="Times New Roman" w:eastAsia="Times New Roman" w:hAnsi="Times New Roman"/>
          <w:sz w:val="21"/>
          <w:szCs w:val="21"/>
          <w:color w:val="000000"/>
        </w:rPr>
        <w:t>Tenure. Each officer of the corporation shall hold office until such officer’s successor is elected and qualified, unless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different term is specified in the vote choosing or appointing such officer, or until such officer’s earlier death, resignation or removal. Any officer may be removed with or without cause at any time by the affirmative vote of a majority of the Board or a committee of the Board duly authorized to do so. Designation of an officer shall not of itself create any contractual rights. Any vacancy occurring in any office of the corporation may be filled by the Board, at its discretion. Any officer may resign by delivering such officer’s written resignation to the corporation at its principal place of business or to the Chief Executive Officer or the Secretary. Such resignation shall be effective upon receipt unless it is specified to be effective at some other time or upon the happening of some other event.</w:t>
      </w:r>
    </w:p>
    <w:p>
      <w:pPr>
        <w:spacing w:after="0" w:line="176" w:lineRule="exact"/>
        <w:rPr>
          <w:sz w:val="20"/>
          <w:szCs w:val="20"/>
          <w:color w:val="auto"/>
        </w:rPr>
      </w:pPr>
    </w:p>
    <w:p>
      <w:pPr>
        <w:ind w:firstLine="638"/>
        <w:spacing w:after="0" w:line="259" w:lineRule="auto"/>
        <w:rPr>
          <w:sz w:val="20"/>
          <w:szCs w:val="20"/>
          <w:color w:val="auto"/>
        </w:rPr>
      </w:pPr>
      <w:r>
        <w:rPr>
          <w:rFonts w:ascii="Times New Roman" w:cs="Times New Roman" w:eastAsia="Times New Roman" w:hAnsi="Times New Roman"/>
          <w:sz w:val="21"/>
          <w:szCs w:val="21"/>
          <w:color w:val="010000"/>
        </w:rPr>
        <w:t xml:space="preserve">4.4 </w:t>
      </w:r>
      <w:r>
        <w:rPr>
          <w:rFonts w:ascii="Times New Roman" w:cs="Times New Roman" w:eastAsia="Times New Roman" w:hAnsi="Times New Roman"/>
          <w:sz w:val="21"/>
          <w:szCs w:val="21"/>
          <w:color w:val="000000"/>
        </w:rPr>
        <w:t>Chief Executive Officer. The Chief Executive Officer shall, subject to the control of the Board, have general executive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charge, management and control of the business of the corporation and its officers and see that all orders and resolutions of the Board are carried into effect. In addition, the Chief Executive Officer shall perform such other duties and have such other powers as may from time to time be prescribed by the Board or as are set forth in the Certificate of Incorporation or these bylaws. If the Board of Directors has not elected or appointed a President or the office of the President is otherwise vacant, and no officer otherwise functions with the powers and duties of the President, then, unless otherwise determined by the Board of Directors, the Chief Executive Officer shall also have all the powers and duties of the President.</w:t>
      </w:r>
    </w:p>
    <w:p>
      <w:pPr>
        <w:spacing w:after="0" w:line="170" w:lineRule="exact"/>
        <w:rPr>
          <w:sz w:val="20"/>
          <w:szCs w:val="20"/>
          <w:color w:val="auto"/>
        </w:rPr>
      </w:pPr>
    </w:p>
    <w:p>
      <w:pPr>
        <w:ind w:right="100" w:firstLine="638"/>
        <w:spacing w:after="0" w:line="263" w:lineRule="auto"/>
        <w:rPr>
          <w:sz w:val="20"/>
          <w:szCs w:val="20"/>
          <w:color w:val="auto"/>
        </w:rPr>
      </w:pPr>
      <w:r>
        <w:rPr>
          <w:rFonts w:ascii="Times New Roman" w:cs="Times New Roman" w:eastAsia="Times New Roman" w:hAnsi="Times New Roman"/>
          <w:sz w:val="21"/>
          <w:szCs w:val="21"/>
          <w:color w:val="010000"/>
        </w:rPr>
        <w:t xml:space="preserve">4.5 </w:t>
      </w:r>
      <w:r>
        <w:rPr>
          <w:rFonts w:ascii="Times New Roman" w:cs="Times New Roman" w:eastAsia="Times New Roman" w:hAnsi="Times New Roman"/>
          <w:sz w:val="21"/>
          <w:szCs w:val="21"/>
          <w:color w:val="000000"/>
        </w:rPr>
        <w:t>President. The President shall, in the event there be no Chief Executive Officer or in the absence of the Chief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Executive Officer or in the event of his or her inability or refusal to act, perform the duties of the Chief Executive Officer, and when so acting, shall have the powers of and be subject to all the restrictions upon the Chief Executive Officer. The President shall perform such other duties and have such other powers as may from time to time be prescribed by the Board, the Chief Executive Officer or these bylaws.</w:t>
      </w:r>
    </w:p>
    <w:p>
      <w:pPr>
        <w:spacing w:after="0" w:line="166" w:lineRule="exact"/>
        <w:rPr>
          <w:sz w:val="20"/>
          <w:szCs w:val="20"/>
          <w:color w:val="auto"/>
        </w:rPr>
      </w:pPr>
    </w:p>
    <w:p>
      <w:pPr>
        <w:ind w:right="20" w:firstLine="638"/>
        <w:spacing w:after="0" w:line="258" w:lineRule="auto"/>
        <w:rPr>
          <w:sz w:val="20"/>
          <w:szCs w:val="20"/>
          <w:color w:val="auto"/>
        </w:rPr>
      </w:pPr>
      <w:r>
        <w:rPr>
          <w:rFonts w:ascii="Times New Roman" w:cs="Times New Roman" w:eastAsia="Times New Roman" w:hAnsi="Times New Roman"/>
          <w:sz w:val="21"/>
          <w:szCs w:val="21"/>
          <w:color w:val="010000"/>
        </w:rPr>
        <w:t xml:space="preserve">4.6 </w:t>
      </w:r>
      <w:r>
        <w:rPr>
          <w:rFonts w:ascii="Times New Roman" w:cs="Times New Roman" w:eastAsia="Times New Roman" w:hAnsi="Times New Roman"/>
          <w:sz w:val="21"/>
          <w:szCs w:val="21"/>
          <w:color w:val="000000"/>
        </w:rPr>
        <w:t>Chief Financial Officer. The Chief Financial Officer shall supervise the corporation’s treasury functions and financial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reporting to external bodies. The Chief Financial Officer shall have the custody of the corporate funds and securities and shall keep, or cause to be kept, full and accurate accounts of receipts and disbursements in books belonging to the corporation and shall deposit, or cause to be deposited, all moneys and other valuable effects in the name and to the credit of the corporation in such depositories as may be designated by the Board. The Chief Financial Officer shall disburse, or cause to be disbursed, the funds of the corporation as may be ordered by the Board, taking proper vouchers for such disbursements, and shall render to the Chief Executive Officer and the Board, at its regular meetings, or when the Board so requires, an account of all his or her transactions as Chief Financial Officer and of the financial condition of the corporation. The Chief Financial Officer shall perform such other duties and have other powers as may from time to time be prescribed by the Board, the Chief Executive Officer, the President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02" w:right="339" w:bottom="1440" w:gutter="0" w:footer="0" w:header="0"/>
        </w:sectPr>
      </w:pPr>
    </w:p>
    <w:bookmarkStart w:id="61" w:name="page62"/>
    <w:bookmarkEnd w:id="61"/>
    <w:p>
      <w:pPr>
        <w:ind w:right="320" w:firstLine="638"/>
        <w:spacing w:after="0" w:line="269" w:lineRule="auto"/>
        <w:rPr>
          <w:sz w:val="20"/>
          <w:szCs w:val="20"/>
          <w:color w:val="auto"/>
        </w:rPr>
      </w:pPr>
      <w:r>
        <w:rPr>
          <w:rFonts w:ascii="Times New Roman" w:cs="Times New Roman" w:eastAsia="Times New Roman" w:hAnsi="Times New Roman"/>
          <w:sz w:val="21"/>
          <w:szCs w:val="21"/>
          <w:color w:val="010000"/>
        </w:rPr>
        <w:t xml:space="preserve">4.7 </w:t>
      </w:r>
      <w:r>
        <w:rPr>
          <w:rFonts w:ascii="Times New Roman" w:cs="Times New Roman" w:eastAsia="Times New Roman" w:hAnsi="Times New Roman"/>
          <w:sz w:val="21"/>
          <w:szCs w:val="21"/>
          <w:color w:val="000000"/>
        </w:rPr>
        <w:t>Vice President. Each Vice President, if any are elected, of whom one or more may be designated an Executive Vice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President or Senior Vice President, shall perform such other duties and have such other powers as may from time to time be prescribed for him or her by the Board, the Chief Executive Officer, the President, or these bylaws.</w:t>
      </w:r>
    </w:p>
    <w:p>
      <w:pPr>
        <w:spacing w:after="0" w:line="172" w:lineRule="exact"/>
        <w:rPr>
          <w:sz w:val="20"/>
          <w:szCs w:val="20"/>
          <w:color w:val="auto"/>
        </w:rPr>
      </w:pPr>
    </w:p>
    <w:p>
      <w:pPr>
        <w:ind w:right="80" w:firstLine="638"/>
        <w:spacing w:after="0" w:line="258" w:lineRule="auto"/>
        <w:rPr>
          <w:sz w:val="20"/>
          <w:szCs w:val="20"/>
          <w:color w:val="auto"/>
        </w:rPr>
      </w:pPr>
      <w:r>
        <w:rPr>
          <w:rFonts w:ascii="Times New Roman" w:cs="Times New Roman" w:eastAsia="Times New Roman" w:hAnsi="Times New Roman"/>
          <w:sz w:val="21"/>
          <w:szCs w:val="21"/>
          <w:color w:val="010000"/>
        </w:rPr>
        <w:t xml:space="preserve">4.8 </w:t>
      </w:r>
      <w:r>
        <w:rPr>
          <w:rFonts w:ascii="Times New Roman" w:cs="Times New Roman" w:eastAsia="Times New Roman" w:hAnsi="Times New Roman"/>
          <w:sz w:val="21"/>
          <w:szCs w:val="21"/>
          <w:color w:val="000000"/>
        </w:rPr>
        <w:t>Secretary. The Secretary shall keep or cause to be kept minutes of all meetings and actions of the Board, committees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the Board and the stockholders. The Secretary shall give, or cause to be given, notice of all meetings of stockholders and special meetings of the Board required by these bylaws or otherwise. The Secretary shall keep, or cause to be kept, at the principal executive office of the corporation or at the office of the corporation’s transfer agent or registrar, a share register, or a duplicate share register, showing the names of all stockholders and their addresses, the number and classes of shares held by each, the number and date of certificates issued for the same and the number and date of cancellation of every certificate surrendered for cancellation. The Secretary shall perform such other duties and have such other powers as may from time to time be prescribed by the Board, the Chief Executive Officer, the President or these bylaws.</w:t>
      </w:r>
    </w:p>
    <w:p>
      <w:pPr>
        <w:spacing w:after="0" w:line="170" w:lineRule="exact"/>
        <w:rPr>
          <w:sz w:val="20"/>
          <w:szCs w:val="20"/>
          <w:color w:val="auto"/>
        </w:rPr>
      </w:pPr>
    </w:p>
    <w:p>
      <w:pPr>
        <w:ind w:right="140" w:firstLine="638"/>
        <w:spacing w:after="0" w:line="263" w:lineRule="auto"/>
        <w:rPr>
          <w:sz w:val="20"/>
          <w:szCs w:val="20"/>
          <w:color w:val="auto"/>
        </w:rPr>
      </w:pPr>
      <w:r>
        <w:rPr>
          <w:rFonts w:ascii="Times New Roman" w:cs="Times New Roman" w:eastAsia="Times New Roman" w:hAnsi="Times New Roman"/>
          <w:sz w:val="21"/>
          <w:szCs w:val="21"/>
          <w:color w:val="010000"/>
        </w:rPr>
        <w:t xml:space="preserve">4.9 </w:t>
      </w:r>
      <w:r>
        <w:rPr>
          <w:rFonts w:ascii="Times New Roman" w:cs="Times New Roman" w:eastAsia="Times New Roman" w:hAnsi="Times New Roman"/>
          <w:sz w:val="21"/>
          <w:szCs w:val="21"/>
          <w:color w:val="000000"/>
        </w:rPr>
        <w:t>Assistant Secretary. The Assistant Secretary, or if there be more than one, any Assistant Secretaries in the order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designated by the Board (or in the absence of any designation, in the order of their election) shall assist the Secretary in the performance of his or her duties and, in the absence of the Secretary or in the event of his or her inability or refusal to act, perform the duties and exercise the powers of the Secretary and shall perform such other duties and have such other powers as may from time to time be prescribed by the Board.</w:t>
      </w:r>
    </w:p>
    <w:p>
      <w:pPr>
        <w:spacing w:after="0" w:line="166" w:lineRule="exact"/>
        <w:rPr>
          <w:sz w:val="20"/>
          <w:szCs w:val="20"/>
          <w:color w:val="auto"/>
        </w:rPr>
      </w:pPr>
    </w:p>
    <w:p>
      <w:pPr>
        <w:ind w:firstLine="638"/>
        <w:spacing w:after="0" w:line="261" w:lineRule="auto"/>
        <w:rPr>
          <w:sz w:val="20"/>
          <w:szCs w:val="20"/>
          <w:color w:val="auto"/>
        </w:rPr>
      </w:pPr>
      <w:r>
        <w:rPr>
          <w:rFonts w:ascii="Times New Roman" w:cs="Times New Roman" w:eastAsia="Times New Roman" w:hAnsi="Times New Roman"/>
          <w:sz w:val="21"/>
          <w:szCs w:val="21"/>
          <w:color w:val="010000"/>
        </w:rPr>
        <w:t xml:space="preserve">4.10 </w:t>
      </w:r>
      <w:r>
        <w:rPr>
          <w:rFonts w:ascii="Times New Roman" w:cs="Times New Roman" w:eastAsia="Times New Roman" w:hAnsi="Times New Roman"/>
          <w:sz w:val="21"/>
          <w:szCs w:val="21"/>
          <w:color w:val="000000"/>
        </w:rPr>
        <w:t>Treasurer and Assistant Treasurers. The Treasurer (if one is appointed) shall have such duties as may be specified by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Chief Financial Officer to assist the Chief Financial Officer in the performance of his or her duties and shall perform such other duties and have other powers as may from time to time be prescribed by the Board, the Chief Executive Officer or the President. It shall be the duty of any Assistant Treasurers to assist the Treasurer in the performance of his or her duties and to perform such other duties and have such other powers as may from time to time be prescribed by the Board, the Chief Executive Officer or the President.</w:t>
      </w:r>
    </w:p>
    <w:p>
      <w:pPr>
        <w:spacing w:after="0" w:line="200" w:lineRule="exact"/>
        <w:rPr>
          <w:sz w:val="20"/>
          <w:szCs w:val="20"/>
          <w:color w:val="auto"/>
        </w:rPr>
      </w:pPr>
    </w:p>
    <w:p>
      <w:pPr>
        <w:spacing w:after="0" w:line="229" w:lineRule="exact"/>
        <w:rPr>
          <w:sz w:val="20"/>
          <w:szCs w:val="20"/>
          <w:color w:val="auto"/>
        </w:rPr>
      </w:pPr>
    </w:p>
    <w:p>
      <w:pPr>
        <w:ind w:right="200" w:firstLine="638"/>
        <w:spacing w:after="0" w:line="286" w:lineRule="auto"/>
        <w:rPr>
          <w:sz w:val="20"/>
          <w:szCs w:val="20"/>
          <w:color w:val="auto"/>
        </w:rPr>
      </w:pPr>
      <w:r>
        <w:rPr>
          <w:rFonts w:ascii="Times New Roman" w:cs="Times New Roman" w:eastAsia="Times New Roman" w:hAnsi="Times New Roman"/>
          <w:sz w:val="21"/>
          <w:szCs w:val="21"/>
          <w:color w:val="010000"/>
        </w:rPr>
        <w:t xml:space="preserve">4.11 </w:t>
      </w:r>
      <w:r>
        <w:rPr>
          <w:rFonts w:ascii="Times New Roman" w:cs="Times New Roman" w:eastAsia="Times New Roman" w:hAnsi="Times New Roman"/>
          <w:sz w:val="21"/>
          <w:szCs w:val="21"/>
          <w:color w:val="000000"/>
        </w:rPr>
        <w:t>Delegation of Authority. The Board may from time to time delegate the powers or duties of any officer to any other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officers or agents, notwithstanding any provision hereof.</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10000"/>
        </w:rPr>
        <w:t>ARTICLE 5</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NOTICES</w:t>
      </w:r>
    </w:p>
    <w:p>
      <w:pPr>
        <w:spacing w:after="0" w:line="200" w:lineRule="exact"/>
        <w:rPr>
          <w:sz w:val="20"/>
          <w:szCs w:val="20"/>
          <w:color w:val="auto"/>
        </w:rPr>
      </w:pPr>
    </w:p>
    <w:p>
      <w:pPr>
        <w:ind w:right="20" w:firstLine="638"/>
        <w:spacing w:after="0" w:line="260" w:lineRule="auto"/>
        <w:rPr>
          <w:sz w:val="20"/>
          <w:szCs w:val="20"/>
          <w:color w:val="auto"/>
        </w:rPr>
      </w:pPr>
      <w:r>
        <w:rPr>
          <w:rFonts w:ascii="Times New Roman" w:cs="Times New Roman" w:eastAsia="Times New Roman" w:hAnsi="Times New Roman"/>
          <w:sz w:val="21"/>
          <w:szCs w:val="21"/>
          <w:color w:val="010000"/>
        </w:rPr>
        <w:t xml:space="preserve">5.1 </w:t>
      </w:r>
      <w:r>
        <w:rPr>
          <w:rFonts w:ascii="Times New Roman" w:cs="Times New Roman" w:eastAsia="Times New Roman" w:hAnsi="Times New Roman"/>
          <w:sz w:val="21"/>
          <w:szCs w:val="21"/>
          <w:color w:val="000000"/>
        </w:rPr>
        <w:t>Form and Delivery. Except as otherwise required by law, notice may be given in writing directed to a stockholder’s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mailing address as it appears on the records of the corporation and shall be given: (a) if mailed, when notice is deposited in the U.S. mail, postage prepaid; and (b) if delivered by courier service, the earlier of when the notice is received or left at such stockholder’s address. So long as the corporation is subject to the SEC’s proxy rules set forth in Regulation 14A under the Exchange Act, notice shall be given in the manner required by such rules. To the extent permitted by such rules, or if the corporation is not subject to Regulation 14A, notice may be given by electronic transmission directed to the stockholder’s electronic 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1402" w:right="339" w:bottom="1440" w:gutter="0" w:footer="0" w:header="0"/>
        </w:sectPr>
      </w:pPr>
    </w:p>
    <w:bookmarkStart w:id="62" w:name="page63"/>
    <w:bookmarkEnd w:id="62"/>
    <w:p>
      <w:pPr>
        <w:ind w:right="20"/>
        <w:spacing w:after="0" w:line="263" w:lineRule="auto"/>
        <w:rPr>
          <w:sz w:val="20"/>
          <w:szCs w:val="20"/>
          <w:color w:val="auto"/>
        </w:rPr>
      </w:pPr>
      <w:r>
        <w:rPr>
          <w:rFonts w:ascii="Times New Roman" w:cs="Times New Roman" w:eastAsia="Times New Roman" w:hAnsi="Times New Roman"/>
          <w:sz w:val="21"/>
          <w:szCs w:val="21"/>
          <w:color w:val="auto"/>
        </w:rPr>
        <w:t>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166" w:lineRule="exact"/>
        <w:rPr>
          <w:sz w:val="20"/>
          <w:szCs w:val="20"/>
          <w:color w:val="auto"/>
        </w:rPr>
      </w:pPr>
    </w:p>
    <w:p>
      <w:pPr>
        <w:ind w:right="80" w:firstLine="638"/>
        <w:spacing w:after="0" w:line="269" w:lineRule="auto"/>
        <w:rPr>
          <w:sz w:val="20"/>
          <w:szCs w:val="20"/>
          <w:color w:val="auto"/>
        </w:rPr>
      </w:pPr>
      <w:r>
        <w:rPr>
          <w:rFonts w:ascii="Times New Roman" w:cs="Times New Roman" w:eastAsia="Times New Roman" w:hAnsi="Times New Roman"/>
          <w:sz w:val="21"/>
          <w:szCs w:val="21"/>
          <w:color w:val="010000"/>
        </w:rPr>
        <w:t xml:space="preserve">5.2 </w:t>
      </w:r>
      <w:r>
        <w:rPr>
          <w:rFonts w:ascii="Times New Roman" w:cs="Times New Roman" w:eastAsia="Times New Roman" w:hAnsi="Times New Roman"/>
          <w:sz w:val="21"/>
          <w:szCs w:val="21"/>
          <w:color w:val="000000"/>
        </w:rPr>
        <w:t>Affidavit of Giving Notice. An affidavit of the Secretary or an Assistant Secretary of the corporation or of the transfer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agent or other agent of the corporation that the notice has been given shall, in the absence of fraud, be prima facie evidence of the facts stated therein.</w:t>
      </w:r>
    </w:p>
    <w:p>
      <w:pPr>
        <w:spacing w:after="0" w:line="172" w:lineRule="exact"/>
        <w:rPr>
          <w:sz w:val="20"/>
          <w:szCs w:val="20"/>
          <w:color w:val="auto"/>
        </w:rPr>
      </w:pPr>
    </w:p>
    <w:p>
      <w:pPr>
        <w:ind w:right="20" w:firstLine="638"/>
        <w:spacing w:after="0" w:line="259" w:lineRule="auto"/>
        <w:rPr>
          <w:sz w:val="20"/>
          <w:szCs w:val="20"/>
          <w:color w:val="auto"/>
        </w:rPr>
      </w:pPr>
      <w:r>
        <w:rPr>
          <w:rFonts w:ascii="Times New Roman" w:cs="Times New Roman" w:eastAsia="Times New Roman" w:hAnsi="Times New Roman"/>
          <w:sz w:val="21"/>
          <w:szCs w:val="21"/>
          <w:color w:val="010000"/>
        </w:rPr>
        <w:t xml:space="preserve">5.3 </w:t>
      </w:r>
      <w:r>
        <w:rPr>
          <w:rFonts w:ascii="Times New Roman" w:cs="Times New Roman" w:eastAsia="Times New Roman" w:hAnsi="Times New Roman"/>
          <w:sz w:val="21"/>
          <w:szCs w:val="21"/>
          <w:color w:val="000000"/>
        </w:rPr>
        <w:t>Waiver of Notice. Whenever any notice is required to be given under any provisions of the DGCL, the Certificate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Incorporation or of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010000"/>
        </w:rPr>
        <w:t>ARTICLE 6</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INDEMNIFICATION AND INSURANCE</w:t>
      </w:r>
    </w:p>
    <w:p>
      <w:pPr>
        <w:spacing w:after="0" w:line="200"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1"/>
          <w:szCs w:val="21"/>
          <w:color w:val="010000"/>
        </w:rPr>
        <w:t>6.1</w:t>
      </w:r>
      <w:r>
        <w:rPr>
          <w:rFonts w:ascii="Times New Roman" w:cs="Times New Roman" w:eastAsia="Times New Roman" w:hAnsi="Times New Roman"/>
          <w:sz w:val="21"/>
          <w:szCs w:val="21"/>
          <w:color w:val="auto"/>
        </w:rPr>
        <w:tab/>
        <w:t>Indemnification.</w:t>
      </w:r>
    </w:p>
    <w:p>
      <w:pPr>
        <w:spacing w:after="0" w:line="224" w:lineRule="exact"/>
        <w:rPr>
          <w:sz w:val="20"/>
          <w:szCs w:val="20"/>
          <w:color w:val="auto"/>
        </w:rPr>
      </w:pPr>
    </w:p>
    <w:p>
      <w:pPr>
        <w:ind w:firstLine="638"/>
        <w:spacing w:after="0" w:line="257" w:lineRule="auto"/>
        <w:rPr>
          <w:sz w:val="20"/>
          <w:szCs w:val="20"/>
          <w:color w:val="auto"/>
        </w:rPr>
      </w:pPr>
      <w:r>
        <w:rPr>
          <w:rFonts w:ascii="Times New Roman" w:cs="Times New Roman" w:eastAsia="Times New Roman" w:hAnsi="Times New Roman"/>
          <w:sz w:val="21"/>
          <w:szCs w:val="21"/>
          <w:color w:val="auto"/>
        </w:rPr>
        <w:t>Each person who was or is made a party or is threatened to be made a party to or is involved (including, without limitation, as a witness) in any actual or threatened action, suit or proceeding, whether civil, criminal, administrative or investigative (hereinafter a “proceeding”), by reason of the fact that he or she or a person of whom he or she is the legal representative is or was a director or officer of the corporation (or any predecessor), or while a director or officer of the corporation is or was serving at the request of the corporation (or any predecessor) as a director, officer, employee or agent of another corporation or of a partnership, limited liability company, joint venture, trust, employee benefit plan sponsored or maintained by the corporation, or other enterprise (or any predecessor of any of such entities) (hereinafter an “Indemnitee”),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and related disbursements, judgments, fines, excise taxes or penalties under the Employee Retirement Income Security Act of 1974, as amended from time to time, penalties and amounts paid or to be paid in settlement) actually and reasonably incurred or suffered by such Indemnitee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02" w:right="339" w:bottom="1440" w:gutter="0" w:footer="0" w:header="0"/>
        </w:sectPr>
      </w:pPr>
    </w:p>
    <w:bookmarkStart w:id="63" w:name="page64"/>
    <w:bookmarkEnd w:id="63"/>
    <w:p>
      <w:pPr>
        <w:ind w:right="20"/>
        <w:spacing w:after="0" w:line="258" w:lineRule="auto"/>
        <w:rPr>
          <w:sz w:val="20"/>
          <w:szCs w:val="20"/>
          <w:color w:val="auto"/>
        </w:rPr>
      </w:pPr>
      <w:r>
        <w:rPr>
          <w:rFonts w:ascii="Times New Roman" w:cs="Times New Roman" w:eastAsia="Times New Roman" w:hAnsi="Times New Roman"/>
          <w:sz w:val="21"/>
          <w:szCs w:val="21"/>
          <w:color w:val="auto"/>
        </w:rPr>
        <w:t>connection therewith. Each director or officer of the corporation (or any predecessor) who is or was serving as a director, officer, employee or agent of a subsidiary of the corporation shall be deemed to be serving, or have served, at the request of the corporation (or any predecessor).The corporation shall not be required to indemnify or make advances pursuant to Section 6.2 below to a person (A) other than as provided in Section 6.4 with respect to suits to enforce rights under this Article 6, in connection with a proceeding (or part thereof) initiated by such person unless such proceeding (or part thereof) was authorized by the Board, either generally or in the specific instance or (B) if the obligation to indemnify or make advances under the circumstances is specifically limited by the terms of any agreement between such person and the corporation. The right to indemnification conferred in this Section 6.1 shall be a contract right.</w:t>
      </w:r>
    </w:p>
    <w:p>
      <w:pPr>
        <w:spacing w:after="0" w:line="184" w:lineRule="exact"/>
        <w:rPr>
          <w:sz w:val="20"/>
          <w:szCs w:val="20"/>
          <w:color w:val="auto"/>
        </w:rPr>
      </w:pPr>
    </w:p>
    <w:p>
      <w:pPr>
        <w:ind w:right="100" w:firstLine="638"/>
        <w:spacing w:after="0" w:line="257" w:lineRule="auto"/>
        <w:rPr>
          <w:sz w:val="20"/>
          <w:szCs w:val="20"/>
          <w:color w:val="auto"/>
        </w:rPr>
      </w:pPr>
      <w:r>
        <w:rPr>
          <w:rFonts w:ascii="Times New Roman" w:cs="Times New Roman" w:eastAsia="Times New Roman" w:hAnsi="Times New Roman"/>
          <w:sz w:val="21"/>
          <w:szCs w:val="21"/>
          <w:color w:val="010000"/>
        </w:rPr>
        <w:t xml:space="preserve">6.2 </w:t>
      </w:r>
      <w:r>
        <w:rPr>
          <w:rFonts w:ascii="Times New Roman" w:cs="Times New Roman" w:eastAsia="Times New Roman" w:hAnsi="Times New Roman"/>
          <w:sz w:val="21"/>
          <w:szCs w:val="21"/>
          <w:color w:val="000000"/>
        </w:rPr>
        <w:t>Advance Payment. The right to indemnification under this Article 6 shall include the right to be paid by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corporation the expenses incurred by an Indemnitee in defending any such proceeding in advance of its final disposition, such advances to be paid by the corporation within 30 days after the receipt by the corporation of a statement or statements from the claimant requesting such advance or advances from time to time;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receipt by the corporation of a written undertaking by or on behalf of such director or officer to repay all amounts so advanced if it shall ultimately be determined that such director or officer is not entitled to be indemnified under Section 6.1 or otherwise.</w:t>
      </w:r>
    </w:p>
    <w:p>
      <w:pPr>
        <w:spacing w:after="0" w:line="172" w:lineRule="exact"/>
        <w:rPr>
          <w:sz w:val="20"/>
          <w:szCs w:val="20"/>
          <w:color w:val="auto"/>
        </w:rPr>
      </w:pPr>
    </w:p>
    <w:p>
      <w:pPr>
        <w:ind w:right="40" w:firstLine="638"/>
        <w:spacing w:after="0" w:line="259" w:lineRule="auto"/>
        <w:rPr>
          <w:sz w:val="20"/>
          <w:szCs w:val="20"/>
          <w:color w:val="auto"/>
        </w:rPr>
      </w:pPr>
      <w:r>
        <w:rPr>
          <w:rFonts w:ascii="Times New Roman" w:cs="Times New Roman" w:eastAsia="Times New Roman" w:hAnsi="Times New Roman"/>
          <w:sz w:val="21"/>
          <w:szCs w:val="21"/>
          <w:color w:val="010000"/>
        </w:rPr>
        <w:t xml:space="preserve">6.3 </w:t>
      </w:r>
      <w:r>
        <w:rPr>
          <w:rFonts w:ascii="Times New Roman" w:cs="Times New Roman" w:eastAsia="Times New Roman" w:hAnsi="Times New Roman"/>
          <w:sz w:val="21"/>
          <w:szCs w:val="21"/>
          <w:color w:val="000000"/>
        </w:rPr>
        <w:t>Non-Exclusivity and Survival of Rights; Amendments. The right to indemnification and the payment of expenses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incurred in defending a proceeding in advance of its final disposition conferred in this Article 6 shall not be deemed exclusive of any other right which any person may have or hereafter acquire under any statute, provision of the Certificate of Incorporation, bylaws, agreement, vote of stockholders or otherwise, and shall continue as to a person who has ceased to be a director, officer, employee or agent of the corporation and shall inure to the benefit of the heirs, executors and administrators of such a person. Any repeal or modification of the provisions of this Article 6 shall not in any way diminish or adversely affect the rights of any director, officer, employee or agent of the corporation hereunder in respect of any occurrence or matter arising prior to any such repeal or modification.</w:t>
      </w:r>
    </w:p>
    <w:p>
      <w:pPr>
        <w:spacing w:after="0" w:line="176" w:lineRule="exact"/>
        <w:rPr>
          <w:sz w:val="20"/>
          <w:szCs w:val="20"/>
          <w:color w:val="auto"/>
        </w:rPr>
      </w:pPr>
    </w:p>
    <w:p>
      <w:pPr>
        <w:ind w:firstLine="638"/>
        <w:spacing w:after="0" w:line="260" w:lineRule="auto"/>
        <w:rPr>
          <w:sz w:val="20"/>
          <w:szCs w:val="20"/>
          <w:color w:val="auto"/>
        </w:rPr>
      </w:pPr>
      <w:r>
        <w:rPr>
          <w:rFonts w:ascii="Times New Roman" w:cs="Times New Roman" w:eastAsia="Times New Roman" w:hAnsi="Times New Roman"/>
          <w:sz w:val="21"/>
          <w:szCs w:val="21"/>
          <w:color w:val="010000"/>
        </w:rPr>
        <w:t xml:space="preserve">6.4 </w:t>
      </w:r>
      <w:r>
        <w:rPr>
          <w:rFonts w:ascii="Times New Roman" w:cs="Times New Roman" w:eastAsia="Times New Roman" w:hAnsi="Times New Roman"/>
          <w:sz w:val="21"/>
          <w:szCs w:val="21"/>
          <w:color w:val="000000"/>
        </w:rPr>
        <w:t>Determination; Claim. If a claim for indemnification (following the final disposition of a proceeding) or advancement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of expenses is not paid in full within 60 days (30 days in the case of a claim for advancement of expenses) after a written claim therefor has been received by the corporation, the Indemnitee may at any time thereafter bring suit against the corporation to recover the unpaid amount of such claim and, if successful in whole or in part, shall be entitled to be paid the expense of prosecuting such suit to the fullest extent permitted by law. In any such action, the corporation shall have the burden of proving that the Indemnitee was not entitled to the requested indemnification or payment of expenses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220"/>
          </w:cols>
          <w:pgMar w:left="320" w:top="1402" w:right="359" w:bottom="1440" w:gutter="0" w:footer="0" w:header="0"/>
        </w:sectPr>
      </w:pPr>
    </w:p>
    <w:bookmarkStart w:id="64" w:name="page65"/>
    <w:bookmarkEnd w:id="64"/>
    <w:p>
      <w:pPr>
        <w:ind w:firstLine="638"/>
        <w:spacing w:after="0" w:line="260" w:lineRule="auto"/>
        <w:rPr>
          <w:sz w:val="20"/>
          <w:szCs w:val="20"/>
          <w:color w:val="auto"/>
        </w:rPr>
      </w:pPr>
      <w:r>
        <w:rPr>
          <w:rFonts w:ascii="Times New Roman" w:cs="Times New Roman" w:eastAsia="Times New Roman" w:hAnsi="Times New Roman"/>
          <w:sz w:val="21"/>
          <w:szCs w:val="21"/>
          <w:color w:val="010000"/>
        </w:rPr>
        <w:t xml:space="preserve">6.5 </w:t>
      </w:r>
      <w:r>
        <w:rPr>
          <w:rFonts w:ascii="Times New Roman" w:cs="Times New Roman" w:eastAsia="Times New Roman" w:hAnsi="Times New Roman"/>
          <w:sz w:val="21"/>
          <w:szCs w:val="21"/>
          <w:color w:val="000000"/>
        </w:rPr>
        <w:t>Insurance. The corporation may purchase and maintain insurance on its own behalf and on behalf of any person who 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or was a director, officer, employee or agent of the corporation, or is or was serving at the request of the corporation as a director, officer, employee or agent of another corporation, partnership, joint venture, trust, employee benefit plan or other enterprise against any expense, liability or loss asserted against such person and incurred by such person in any such capacity, or arising out of such person’s status as such, whether or not the corporation would have the power to indemnify such person against such expense, liability or loss under the provisions of the DGCL.</w:t>
      </w:r>
    </w:p>
    <w:p>
      <w:pPr>
        <w:spacing w:after="0" w:line="172" w:lineRule="exact"/>
        <w:rPr>
          <w:sz w:val="20"/>
          <w:szCs w:val="20"/>
          <w:color w:val="auto"/>
        </w:rPr>
      </w:pPr>
    </w:p>
    <w:p>
      <w:pPr>
        <w:ind w:right="40" w:firstLine="638"/>
        <w:spacing w:after="0" w:line="259" w:lineRule="auto"/>
        <w:rPr>
          <w:sz w:val="20"/>
          <w:szCs w:val="20"/>
          <w:color w:val="auto"/>
        </w:rPr>
      </w:pPr>
      <w:r>
        <w:rPr>
          <w:rFonts w:ascii="Times New Roman" w:cs="Times New Roman" w:eastAsia="Times New Roman" w:hAnsi="Times New Roman"/>
          <w:sz w:val="21"/>
          <w:szCs w:val="21"/>
          <w:color w:val="010000"/>
        </w:rPr>
        <w:t xml:space="preserve">6.6 </w:t>
      </w:r>
      <w:r>
        <w:rPr>
          <w:rFonts w:ascii="Times New Roman" w:cs="Times New Roman" w:eastAsia="Times New Roman" w:hAnsi="Times New Roman"/>
          <w:sz w:val="21"/>
          <w:szCs w:val="21"/>
          <w:color w:val="000000"/>
        </w:rPr>
        <w:t>Severability. If any word, clause, provision or provisions of this Article 6 shall be held to be invalid, illegal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unenforceable for any reason whatsoever: (i) the validity, legality and enforceability of the remaining provisions of this Article 6 (including, without limitation, each portion of any section or paragraph of this Article 6 containing any such provision held to be invalid, illegal or unenforceable, that is not itself held to be invalid, illegal or unenforceable) shall not in any way be affected or impaired thereby; and (ii) to the fullest extent possible, the provisions of this Article 6 (including, without limitation, each such portion of any section or paragraph of this Article 6 containing any such provision held to be invalid, illegal or unenforceable) shall be construed so as to give effect to the intent manifested by the provision held invalid, illegal or unenforceable.</w:t>
      </w:r>
    </w:p>
    <w:p>
      <w:pPr>
        <w:spacing w:after="0" w:line="170" w:lineRule="exact"/>
        <w:rPr>
          <w:sz w:val="20"/>
          <w:szCs w:val="20"/>
          <w:color w:val="auto"/>
        </w:rPr>
      </w:pPr>
    </w:p>
    <w:p>
      <w:pPr>
        <w:ind w:right="100" w:firstLine="638"/>
        <w:spacing w:after="0" w:line="263" w:lineRule="auto"/>
        <w:rPr>
          <w:sz w:val="20"/>
          <w:szCs w:val="20"/>
          <w:color w:val="auto"/>
        </w:rPr>
      </w:pPr>
      <w:r>
        <w:rPr>
          <w:rFonts w:ascii="Times New Roman" w:cs="Times New Roman" w:eastAsia="Times New Roman" w:hAnsi="Times New Roman"/>
          <w:sz w:val="21"/>
          <w:szCs w:val="21"/>
          <w:color w:val="010000"/>
        </w:rPr>
        <w:t xml:space="preserve">6.7 </w:t>
      </w:r>
      <w:r>
        <w:rPr>
          <w:rFonts w:ascii="Times New Roman" w:cs="Times New Roman" w:eastAsia="Times New Roman" w:hAnsi="Times New Roman"/>
          <w:sz w:val="21"/>
          <w:szCs w:val="21"/>
          <w:color w:val="000000"/>
        </w:rPr>
        <w:t>Reliance. Persons who after the date of the adoption of this provision become or remain directors or officers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corporation shall be conclusively presumed to have relied on the rights to indemnity, advance of expenses and other rights contained in this Article 6 in entering into or continuing such service. The rights to indemnification and to the advance of expenses conferred in this Article 6 shall apply to claims made against an Indemnitee arising out of acts or omissions that occurred or occur both prior and subsequent to the adoption hereof.</w:t>
      </w:r>
    </w:p>
    <w:p>
      <w:pPr>
        <w:spacing w:after="0" w:line="166" w:lineRule="exact"/>
        <w:rPr>
          <w:sz w:val="20"/>
          <w:szCs w:val="20"/>
          <w:color w:val="auto"/>
        </w:rPr>
      </w:pPr>
    </w:p>
    <w:p>
      <w:pPr>
        <w:ind w:right="40" w:firstLine="638"/>
        <w:spacing w:after="0" w:line="261" w:lineRule="auto"/>
        <w:rPr>
          <w:sz w:val="20"/>
          <w:szCs w:val="20"/>
          <w:color w:val="auto"/>
        </w:rPr>
      </w:pPr>
      <w:r>
        <w:rPr>
          <w:rFonts w:ascii="Times New Roman" w:cs="Times New Roman" w:eastAsia="Times New Roman" w:hAnsi="Times New Roman"/>
          <w:sz w:val="21"/>
          <w:szCs w:val="21"/>
          <w:color w:val="010000"/>
        </w:rPr>
        <w:t xml:space="preserve">6.8 </w:t>
      </w:r>
      <w:r>
        <w:rPr>
          <w:rFonts w:ascii="Times New Roman" w:cs="Times New Roman" w:eastAsia="Times New Roman" w:hAnsi="Times New Roman"/>
          <w:sz w:val="21"/>
          <w:szCs w:val="21"/>
          <w:color w:val="000000"/>
        </w:rPr>
        <w:t>Indemnification of Other Persons. This Article 6 shall not limit the right of the corporation, to the extent and in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manner permitted by law, to indemnify and to advance expenses to persons other than those persons identified in Section 6.1 when and as authorized by the Board or by the action of a committee of the Board or designated officers of the corporation established by or designated in resolutions approved by the Board; provided, however, that the payment of expenses incurred by such a person in advance of the final disposition of the proceeding shall be made only upon receipt by the corporation of a written undertaking by such person to repay all amounts so advanced if it shall ultimately be determined that such person is not entitled to be indemnified under this Article 6 or otherwise.</w:t>
      </w:r>
    </w:p>
    <w:p>
      <w:pPr>
        <w:spacing w:after="0" w:line="169" w:lineRule="exact"/>
        <w:rPr>
          <w:sz w:val="20"/>
          <w:szCs w:val="20"/>
          <w:color w:val="auto"/>
        </w:rPr>
      </w:pPr>
    </w:p>
    <w:p>
      <w:pPr>
        <w:ind w:right="180" w:firstLine="638"/>
        <w:spacing w:after="0" w:line="260" w:lineRule="auto"/>
        <w:rPr>
          <w:sz w:val="20"/>
          <w:szCs w:val="20"/>
          <w:color w:val="auto"/>
        </w:rPr>
      </w:pPr>
      <w:r>
        <w:rPr>
          <w:rFonts w:ascii="Times New Roman" w:cs="Times New Roman" w:eastAsia="Times New Roman" w:hAnsi="Times New Roman"/>
          <w:sz w:val="21"/>
          <w:szCs w:val="21"/>
          <w:color w:val="010000"/>
        </w:rPr>
        <w:t xml:space="preserve">6.9 </w:t>
      </w:r>
      <w:r>
        <w:rPr>
          <w:rFonts w:ascii="Times New Roman" w:cs="Times New Roman" w:eastAsia="Times New Roman" w:hAnsi="Times New Roman"/>
          <w:sz w:val="21"/>
          <w:szCs w:val="21"/>
          <w:color w:val="000000"/>
        </w:rPr>
        <w:t>Indemnification for Successful Defense. To the extent that an Indemnitee has been successful on the merits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otherwise in defense of any proceeding (or in defense of any claim, issue or matter therein), such Indemnitee shall be indemnified under this Section 6.9 against expenses (including attorneys’ fees) actually and reasonably incurred in connection with such defense. Indemnification under this Section 6.9 shall not be subject to satisfaction of a standard of conduct, and the corporation may not assert the failure to satisfy a standard of conduct as a basis to deny indemnification or recover amounts advanced, including in a suit brought pursuant to Section 6.4 (notwithstanding anything to the contrary therein);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40"/>
          </w:cols>
          <w:pgMar w:left="320" w:top="1402" w:right="339" w:bottom="1440" w:gutter="0" w:footer="0" w:header="0"/>
        </w:sectPr>
      </w:pPr>
    </w:p>
    <w:bookmarkStart w:id="65" w:name="page66"/>
    <w:bookmarkEnd w:id="65"/>
    <w:p>
      <w:pPr>
        <w:spacing w:after="0" w:line="267" w:lineRule="auto"/>
        <w:rPr>
          <w:sz w:val="20"/>
          <w:szCs w:val="20"/>
          <w:color w:val="auto"/>
        </w:rPr>
      </w:pPr>
      <w:r>
        <w:rPr>
          <w:rFonts w:ascii="Times New Roman" w:cs="Times New Roman" w:eastAsia="Times New Roman" w:hAnsi="Times New Roman"/>
          <w:sz w:val="21"/>
          <w:szCs w:val="21"/>
          <w:color w:val="auto"/>
        </w:rPr>
        <w:t>however, that, any Indemnitee who is not a current or former director or officer (as such term is defined in the final sentence of Section 145(c)(1) of the DGCL) of the corporation shall be entitled to indemnification under Section 6.1 and this Section 6.9 only if such Indemnitee has satisfied the standard of conduct required for indemnification under Section 145(a) or Section 145(b) of the DGCL.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010000"/>
        </w:rPr>
        <w:t>ARTICLE 7</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CAPITAL STOCK</w:t>
      </w:r>
    </w:p>
    <w:p>
      <w:pPr>
        <w:spacing w:after="0" w:line="200" w:lineRule="exact"/>
        <w:rPr>
          <w:sz w:val="20"/>
          <w:szCs w:val="20"/>
          <w:color w:val="auto"/>
        </w:rPr>
      </w:pPr>
    </w:p>
    <w:p>
      <w:pPr>
        <w:ind w:firstLine="638"/>
        <w:spacing w:after="0" w:line="259" w:lineRule="auto"/>
        <w:rPr>
          <w:sz w:val="20"/>
          <w:szCs w:val="20"/>
          <w:color w:val="auto"/>
        </w:rPr>
      </w:pPr>
      <w:r>
        <w:rPr>
          <w:rFonts w:ascii="Times New Roman" w:cs="Times New Roman" w:eastAsia="Times New Roman" w:hAnsi="Times New Roman"/>
          <w:sz w:val="21"/>
          <w:szCs w:val="21"/>
          <w:color w:val="010000"/>
        </w:rPr>
        <w:t xml:space="preserve">7.1 </w:t>
      </w:r>
      <w:r>
        <w:rPr>
          <w:rFonts w:ascii="Times New Roman" w:cs="Times New Roman" w:eastAsia="Times New Roman" w:hAnsi="Times New Roman"/>
          <w:sz w:val="21"/>
          <w:szCs w:val="21"/>
          <w:color w:val="000000"/>
        </w:rPr>
        <w:t>Certificates for Shares. The shares of the corporation shall be represented by certificates or shall be uncertificated as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provided in Section 158 of the DGCL. Certificates for shares, if any, shall be signed by, or in the name of the corporation by, by any two authorized officers of the Corporation (it being understood that each of the Chief Executive Officer, the President, any Vice President, the Chief Financial Officer, the Treasurer, any Assistant Treasurer, the Secretary or any Assistant Secretary of the corporation shall be an authorized officer for such purpose). 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right="20" w:firstLine="638"/>
        <w:spacing w:after="0" w:line="263" w:lineRule="auto"/>
        <w:rPr>
          <w:sz w:val="20"/>
          <w:szCs w:val="20"/>
          <w:color w:val="auto"/>
        </w:rPr>
      </w:pPr>
      <w:r>
        <w:rPr>
          <w:rFonts w:ascii="Times New Roman" w:cs="Times New Roman" w:eastAsia="Times New Roman" w:hAnsi="Times New Roman"/>
          <w:sz w:val="21"/>
          <w:szCs w:val="21"/>
          <w:color w:val="auto"/>
        </w:rPr>
        <w:t>Within a reasonable time after the issuance or transfer of uncertificated stock, the corporation shall send or cause to be sent to the registered owner thereof a written notice containing the information required by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6" w:lineRule="exact"/>
        <w:rPr>
          <w:sz w:val="20"/>
          <w:szCs w:val="20"/>
          <w:color w:val="auto"/>
        </w:rPr>
      </w:pPr>
    </w:p>
    <w:p>
      <w:pPr>
        <w:ind w:right="100" w:firstLine="638"/>
        <w:spacing w:after="0" w:line="267" w:lineRule="auto"/>
        <w:rPr>
          <w:sz w:val="20"/>
          <w:szCs w:val="20"/>
          <w:color w:val="auto"/>
        </w:rPr>
      </w:pPr>
      <w:r>
        <w:rPr>
          <w:rFonts w:ascii="Times New Roman" w:cs="Times New Roman" w:eastAsia="Times New Roman" w:hAnsi="Times New Roman"/>
          <w:sz w:val="21"/>
          <w:szCs w:val="21"/>
          <w:color w:val="010000"/>
        </w:rPr>
        <w:t xml:space="preserve">7.2 </w:t>
      </w:r>
      <w:r>
        <w:rPr>
          <w:rFonts w:ascii="Times New Roman" w:cs="Times New Roman" w:eastAsia="Times New Roman" w:hAnsi="Times New Roman"/>
          <w:sz w:val="21"/>
          <w:szCs w:val="21"/>
          <w:color w:val="000000"/>
        </w:rPr>
        <w:t>Signatures on Certificates. Any or all of the signatures on a certificate may be a facsimile. In case any officer, transfer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62" w:lineRule="exact"/>
        <w:rPr>
          <w:sz w:val="20"/>
          <w:szCs w:val="20"/>
          <w:color w:val="auto"/>
        </w:rPr>
      </w:pPr>
    </w:p>
    <w:p>
      <w:pPr>
        <w:ind w:right="20" w:firstLine="638"/>
        <w:spacing w:after="0" w:line="257" w:lineRule="auto"/>
        <w:rPr>
          <w:sz w:val="20"/>
          <w:szCs w:val="20"/>
          <w:color w:val="auto"/>
        </w:rPr>
      </w:pPr>
      <w:r>
        <w:rPr>
          <w:rFonts w:ascii="Times New Roman" w:cs="Times New Roman" w:eastAsia="Times New Roman" w:hAnsi="Times New Roman"/>
          <w:sz w:val="21"/>
          <w:szCs w:val="21"/>
          <w:color w:val="010000"/>
        </w:rPr>
        <w:t xml:space="preserve">7.3 </w:t>
      </w:r>
      <w:r>
        <w:rPr>
          <w:rFonts w:ascii="Times New Roman" w:cs="Times New Roman" w:eastAsia="Times New Roman" w:hAnsi="Times New Roman"/>
          <w:sz w:val="21"/>
          <w:szCs w:val="21"/>
          <w:color w:val="000000"/>
        </w:rPr>
        <w:t>Transfer of Stock. Shares of stock of the corporation shall be transferable in the manner prescribed by law and in these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bylaws. Shares of stock of the corporation shall be transferred on the books of the corporation only by the holder of record thereof or by such holder’s attorney duly authorized in writing, upon surrender to the corporation or the transfer agent of the corporation of a certificate or certificates representing such shares duly endorsed or accompanied by proper evidence of succession, assignment or authority to transfer, and proper evidence of compliance with other conditions to rightful transfer as the corporation may reasonably require. Upon receipt of proper transfer instructions and proper evidence of compliance of other conditions to rightful transfer as the corporation may reasonably require from the registered owner of uncertificated shares, such uncertificated shares shall be canceled and issuance of new equivalent uncertificated shares or certificated shares shall be made to the person entitled thereto. No transfer of stock shall be valid as against the corporation for any purposes until it shall have been entered in the stock records of the corporation by an entry showing the names of the persons from and to whom it was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402" w:right="339" w:bottom="1440" w:gutter="0" w:footer="0" w:header="0"/>
        </w:sectPr>
      </w:pPr>
    </w:p>
    <w:bookmarkStart w:id="66" w:name="page67"/>
    <w:bookmarkEnd w:id="66"/>
    <w:p>
      <w:pPr>
        <w:ind w:firstLine="638"/>
        <w:spacing w:after="0" w:line="263" w:lineRule="auto"/>
        <w:rPr>
          <w:sz w:val="20"/>
          <w:szCs w:val="20"/>
          <w:color w:val="auto"/>
        </w:rPr>
      </w:pPr>
      <w:r>
        <w:rPr>
          <w:rFonts w:ascii="Times New Roman" w:cs="Times New Roman" w:eastAsia="Times New Roman" w:hAnsi="Times New Roman"/>
          <w:sz w:val="21"/>
          <w:szCs w:val="21"/>
          <w:color w:val="010000"/>
        </w:rPr>
        <w:t xml:space="preserve">7.4 </w:t>
      </w:r>
      <w:r>
        <w:rPr>
          <w:rFonts w:ascii="Times New Roman" w:cs="Times New Roman" w:eastAsia="Times New Roman" w:hAnsi="Times New Roman"/>
          <w:sz w:val="21"/>
          <w:szCs w:val="21"/>
          <w:color w:val="000000"/>
        </w:rPr>
        <w:t>Registered Stockholders. The corporation shall be entitled to recognize the exclusive right of a person registered on its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66" w:lineRule="exact"/>
        <w:rPr>
          <w:sz w:val="20"/>
          <w:szCs w:val="20"/>
          <w:color w:val="auto"/>
        </w:rPr>
      </w:pPr>
    </w:p>
    <w:p>
      <w:pPr>
        <w:ind w:right="60" w:firstLine="638"/>
        <w:spacing w:after="0" w:line="259" w:lineRule="auto"/>
        <w:rPr>
          <w:sz w:val="20"/>
          <w:szCs w:val="20"/>
          <w:color w:val="auto"/>
        </w:rPr>
      </w:pPr>
      <w:r>
        <w:rPr>
          <w:rFonts w:ascii="Times New Roman" w:cs="Times New Roman" w:eastAsia="Times New Roman" w:hAnsi="Times New Roman"/>
          <w:sz w:val="21"/>
          <w:szCs w:val="21"/>
          <w:color w:val="010000"/>
        </w:rPr>
        <w:t xml:space="preserve">7.5 </w:t>
      </w:r>
      <w:r>
        <w:rPr>
          <w:rFonts w:ascii="Times New Roman" w:cs="Times New Roman" w:eastAsia="Times New Roman" w:hAnsi="Times New Roman"/>
          <w:sz w:val="21"/>
          <w:szCs w:val="21"/>
          <w:color w:val="000000"/>
        </w:rPr>
        <w:t>Lost, Stolen or Destroyed Certificates. The corporation may direct that a new certificate or certificates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uncertificated shares be issued to replace any certificate or certificates theretofore issued by the corporation alleged to have been lost, stolen or destroyed. When authorizing the issue of a new certificate or certificates, the corporation may, in its discretion and as a condition precedent to the issuance thereof, require the owner of the lost, stolen or destroyed certificate or certificates, or his or her legal representative to give the corporation a bond or other adequate security sufficient to indemnify it against any claim that may be made against the corporation with respect to the certificate alleged to have been lost, stolen or destroyed or the issue of such new certificate or uncertificated shares.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010000"/>
        </w:rPr>
        <w:t>ARTICLE 8</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GENERAL PROVISIONS</w:t>
      </w:r>
    </w:p>
    <w:p>
      <w:pPr>
        <w:spacing w:after="0" w:line="213" w:lineRule="exact"/>
        <w:rPr>
          <w:sz w:val="20"/>
          <w:szCs w:val="20"/>
          <w:color w:val="auto"/>
        </w:rPr>
      </w:pPr>
    </w:p>
    <w:p>
      <w:pPr>
        <w:ind w:right="60" w:firstLine="638"/>
        <w:spacing w:after="0" w:line="263" w:lineRule="auto"/>
        <w:rPr>
          <w:sz w:val="20"/>
          <w:szCs w:val="20"/>
          <w:color w:val="auto"/>
        </w:rPr>
      </w:pPr>
      <w:r>
        <w:rPr>
          <w:rFonts w:ascii="Times New Roman" w:cs="Times New Roman" w:eastAsia="Times New Roman" w:hAnsi="Times New Roman"/>
          <w:sz w:val="21"/>
          <w:szCs w:val="21"/>
          <w:color w:val="010000"/>
        </w:rPr>
        <w:t xml:space="preserve">8.1 </w:t>
      </w:r>
      <w:r>
        <w:rPr>
          <w:rFonts w:ascii="Times New Roman" w:cs="Times New Roman" w:eastAsia="Times New Roman" w:hAnsi="Times New Roman"/>
          <w:sz w:val="21"/>
          <w:szCs w:val="21"/>
          <w:color w:val="000000"/>
        </w:rPr>
        <w:t>Dividends. Dividends upon the capital stock of the corporation, subject to any restrictions contained in the DGCL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provisions of the Certificate of Incorporation, if any, may be declared by the Board at any regular or special meeting or by unanimous written consent. Dividends may be paid in cash, in property or in shares of capital stock, subject to the provisions of the Certificate of Incorporation and applicable law.</w:t>
      </w:r>
    </w:p>
    <w:p>
      <w:pPr>
        <w:spacing w:after="0" w:line="165" w:lineRule="exact"/>
        <w:rPr>
          <w:sz w:val="20"/>
          <w:szCs w:val="20"/>
          <w:color w:val="auto"/>
        </w:rPr>
      </w:pPr>
    </w:p>
    <w:p>
      <w:pPr>
        <w:ind w:right="260" w:firstLine="638"/>
        <w:spacing w:after="0" w:line="275" w:lineRule="auto"/>
        <w:rPr>
          <w:sz w:val="20"/>
          <w:szCs w:val="20"/>
          <w:color w:val="auto"/>
        </w:rPr>
      </w:pPr>
      <w:r>
        <w:rPr>
          <w:rFonts w:ascii="Times New Roman" w:cs="Times New Roman" w:eastAsia="Times New Roman" w:hAnsi="Times New Roman"/>
          <w:sz w:val="21"/>
          <w:szCs w:val="21"/>
          <w:color w:val="010000"/>
        </w:rPr>
        <w:t xml:space="preserve">8.2 </w:t>
      </w:r>
      <w:r>
        <w:rPr>
          <w:rFonts w:ascii="Times New Roman" w:cs="Times New Roman" w:eastAsia="Times New Roman" w:hAnsi="Times New Roman"/>
          <w:sz w:val="21"/>
          <w:szCs w:val="21"/>
          <w:color w:val="000000"/>
        </w:rPr>
        <w:t>Checks. All checks or demands for money and notes of the corporation shall be signed by such officer or officers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such other person or persons as the Board, or such officers of the corporation as may be designated by the Board to make such designation, may from time to time designate.</w:t>
      </w:r>
    </w:p>
    <w:p>
      <w:pPr>
        <w:spacing w:after="0" w:line="154" w:lineRule="exact"/>
        <w:rPr>
          <w:sz w:val="20"/>
          <w:szCs w:val="20"/>
          <w:color w:val="auto"/>
        </w:rPr>
      </w:pPr>
    </w:p>
    <w:p>
      <w:pPr>
        <w:ind w:right="120" w:firstLine="638"/>
        <w:spacing w:after="0" w:line="269" w:lineRule="auto"/>
        <w:rPr>
          <w:sz w:val="20"/>
          <w:szCs w:val="20"/>
          <w:color w:val="auto"/>
        </w:rPr>
      </w:pPr>
      <w:r>
        <w:rPr>
          <w:rFonts w:ascii="Times New Roman" w:cs="Times New Roman" w:eastAsia="Times New Roman" w:hAnsi="Times New Roman"/>
          <w:sz w:val="21"/>
          <w:szCs w:val="21"/>
          <w:color w:val="010000"/>
        </w:rPr>
        <w:t xml:space="preserve">8.3 </w:t>
      </w:r>
      <w:r>
        <w:rPr>
          <w:rFonts w:ascii="Times New Roman" w:cs="Times New Roman" w:eastAsia="Times New Roman" w:hAnsi="Times New Roman"/>
          <w:sz w:val="21"/>
          <w:szCs w:val="21"/>
          <w:color w:val="000000"/>
        </w:rPr>
        <w:t>Corporate Seal. The Board may, by resolution, adopt a corporate seal. The corporate seal shall have inscribed thereon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name of the corporation, the year of its organization and the word “Delaware.” The seal may be used by causing it or a facsimile thereof to be impressed or affixed or otherwise reproduced. The seal may be altered from time to time by the Board.</w:t>
      </w:r>
    </w:p>
    <w:p>
      <w:pPr>
        <w:spacing w:after="0" w:line="172" w:lineRule="exact"/>
        <w:rPr>
          <w:sz w:val="20"/>
          <w:szCs w:val="20"/>
          <w:color w:val="auto"/>
        </w:rPr>
      </w:pPr>
    </w:p>
    <w:p>
      <w:pPr>
        <w:ind w:right="300" w:firstLine="638"/>
        <w:spacing w:after="0" w:line="260" w:lineRule="auto"/>
        <w:rPr>
          <w:sz w:val="20"/>
          <w:szCs w:val="20"/>
          <w:color w:val="auto"/>
        </w:rPr>
      </w:pPr>
      <w:r>
        <w:rPr>
          <w:rFonts w:ascii="Times New Roman" w:cs="Times New Roman" w:eastAsia="Times New Roman" w:hAnsi="Times New Roman"/>
          <w:sz w:val="21"/>
          <w:szCs w:val="21"/>
          <w:color w:val="010000"/>
        </w:rPr>
        <w:t xml:space="preserve">8.4 </w:t>
      </w:r>
      <w:r>
        <w:rPr>
          <w:rFonts w:ascii="Times New Roman" w:cs="Times New Roman" w:eastAsia="Times New Roman" w:hAnsi="Times New Roman"/>
          <w:sz w:val="21"/>
          <w:szCs w:val="21"/>
          <w:color w:val="000000"/>
        </w:rPr>
        <w:t>Execution of Corporate Contracts and Instruments. The Board, except as otherwise provided in these bylaws, may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02" w:right="339" w:bottom="1440" w:gutter="0" w:footer="0" w:header="0"/>
        </w:sectPr>
      </w:pPr>
    </w:p>
    <w:bookmarkStart w:id="67" w:name="page68"/>
    <w:bookmarkEnd w:id="67"/>
    <w:p>
      <w:pPr>
        <w:ind w:firstLine="638"/>
        <w:spacing w:after="0" w:line="259" w:lineRule="auto"/>
        <w:rPr>
          <w:sz w:val="20"/>
          <w:szCs w:val="20"/>
          <w:color w:val="auto"/>
        </w:rPr>
      </w:pPr>
      <w:r>
        <w:rPr>
          <w:rFonts w:ascii="Times New Roman" w:cs="Times New Roman" w:eastAsia="Times New Roman" w:hAnsi="Times New Roman"/>
          <w:sz w:val="21"/>
          <w:szCs w:val="21"/>
          <w:color w:val="010000"/>
        </w:rPr>
        <w:t xml:space="preserve">8.5 </w:t>
      </w:r>
      <w:r>
        <w:rPr>
          <w:rFonts w:ascii="Times New Roman" w:cs="Times New Roman" w:eastAsia="Times New Roman" w:hAnsi="Times New Roman"/>
          <w:sz w:val="21"/>
          <w:szCs w:val="21"/>
          <w:color w:val="000000"/>
        </w:rPr>
        <w:t>Representation of Shares of Other Corporations. The Chief Executive Officer, the President or any Vice President,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Chief Financial Officer or the Treasurer or any Assistant Treasurer, or the Secretary or any Assistant Secretary of the corporation is authorized to vote, represent and exercise on behalf of the corporation all rights incident to any and all shares of any corporation or corporations or similar ownership interests of other business entities standing in the name of the corporation. The authority herein granted to said officers to vote or represent on behalf of the corporation any and all shares or similar ownership interests held by the corporation in any other corporation or corporations or other business entities may be exercised either by such officers in person or by any other person authorized so to do by proxy or power of attorney duly executed by said officers.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010000"/>
        </w:rPr>
        <w:t>ARTICLE 9</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AMENDMENTS</w:t>
      </w:r>
    </w:p>
    <w:p>
      <w:pPr>
        <w:spacing w:after="0" w:line="212" w:lineRule="exact"/>
        <w:rPr>
          <w:sz w:val="20"/>
          <w:szCs w:val="20"/>
          <w:color w:val="auto"/>
        </w:rPr>
      </w:pPr>
    </w:p>
    <w:p>
      <w:pPr>
        <w:ind w:right="80" w:firstLine="638"/>
        <w:spacing w:after="0" w:line="256" w:lineRule="auto"/>
        <w:rPr>
          <w:sz w:val="20"/>
          <w:szCs w:val="20"/>
          <w:color w:val="auto"/>
        </w:rPr>
      </w:pPr>
      <w:r>
        <w:rPr>
          <w:rFonts w:ascii="Times New Roman" w:cs="Times New Roman" w:eastAsia="Times New Roman" w:hAnsi="Times New Roman"/>
          <w:sz w:val="21"/>
          <w:szCs w:val="21"/>
          <w:color w:val="auto"/>
        </w:rPr>
        <w:t>The Board is expressly empowered to adopt, amend or repeal these bylaws; provided, however, that any adoption, amendment or repeal of these bylaws by the Board shall require the approval of at least a majority of the directors of the corporation then in office. The stockholders shall also have power to adopt, amend or repeal these bylaws; provided, however, that in addition to any vote of the holders of any class or series of stock of the corporation required by law or by the Certificate of Incorporation, the affirmative vote of the holders of at least sixty-six and two-thirds percent of the voting power of all of the then outstanding shares of the capital stock of the corporation entitled to vote generally in the election of directors, voting together as a single class, shall be required for such adoption, amendment or repeal by the stockholders of any provision of these bylaws and notice of such adoption, amendment or repeal shall be contained in the notice of such meeting; and provided further, however, that the affirmative vote of the holders representing only a majority of the voting power of the shares of the capital stock of the corporation entitled to vote in the election of directors, voting as one class, shall be required if such adoption, amendment or repeal of the bylaws has been previously approved by the affirmative vote of at least two-thirds of the directors of the corporation then in office.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010000"/>
        </w:rPr>
        <w:t>ARTICLE 10</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EXCLUSIVE FORUM</w:t>
      </w:r>
    </w:p>
    <w:p>
      <w:pPr>
        <w:spacing w:after="0" w:line="200" w:lineRule="exact"/>
        <w:rPr>
          <w:sz w:val="20"/>
          <w:szCs w:val="20"/>
          <w:color w:val="auto"/>
        </w:rPr>
      </w:pPr>
    </w:p>
    <w:p>
      <w:pPr>
        <w:ind w:right="60" w:firstLine="638"/>
        <w:spacing w:after="0" w:line="275" w:lineRule="auto"/>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of 1933, as amended.</w:t>
      </w:r>
    </w:p>
    <w:p>
      <w:pPr>
        <w:spacing w:after="0" w:line="154" w:lineRule="exact"/>
        <w:rPr>
          <w:sz w:val="20"/>
          <w:szCs w:val="20"/>
          <w:color w:val="auto"/>
        </w:rPr>
      </w:pPr>
    </w:p>
    <w:p>
      <w:pPr>
        <w:ind w:right="60" w:firstLine="638"/>
        <w:spacing w:after="0" w:line="286" w:lineRule="auto"/>
        <w:rPr>
          <w:sz w:val="20"/>
          <w:szCs w:val="20"/>
          <w:color w:val="auto"/>
        </w:rPr>
      </w:pPr>
      <w:r>
        <w:rPr>
          <w:rFonts w:ascii="Times New Roman" w:cs="Times New Roman" w:eastAsia="Times New Roman" w:hAnsi="Times New Roman"/>
          <w:sz w:val="21"/>
          <w:szCs w:val="21"/>
          <w:color w:val="auto"/>
        </w:rPr>
        <w:t>Any person or entity purchasing or otherwise acquiring or holding any interest in any security of the corporation shall be deemed to have notice of and consented to the provisions of this Article 10 as well as Article IX of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02"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CERTIFICATION OF AMENDED AND RESTATED BYLAWS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VERACYTE, INC.</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ind w:firstLine="638"/>
        <w:spacing w:after="0" w:line="506" w:lineRule="auto"/>
        <w:rPr>
          <w:sz w:val="20"/>
          <w:szCs w:val="20"/>
          <w:color w:val="auto"/>
        </w:rPr>
      </w:pPr>
      <w:r>
        <w:rPr>
          <w:rFonts w:ascii="Times New Roman" w:cs="Times New Roman" w:eastAsia="Times New Roman" w:hAnsi="Times New Roman"/>
          <w:sz w:val="21"/>
          <w:szCs w:val="21"/>
          <w:color w:val="auto"/>
        </w:rPr>
        <w:t>I, Annie McGuire, certify that I am General Counsel and Secretary of Veracyte, Inc., a Delaware corporation (the “Corporation”), that I am duly authorized to make and deliver this certification, that the attached bylaws are a true and complete copy of the Amended and Restated Bylaws of the corporation in effect as of the date of this certificate.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May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/s/ Annie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-8890</wp:posOffset>
            </wp:positionV>
            <wp:extent cx="11817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spacing w:after="0" w:line="9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Annie McGuire</w:t>
      </w:r>
    </w:p>
    <w:p>
      <w:pPr>
        <w:spacing w:after="0" w:line="3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1"/>
          <w:szCs w:val="21"/>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385"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1"/>
          <w:szCs w:val="2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15240</wp:posOffset>
            </wp:positionV>
            <wp:extent cx="2026285" cy="430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26285"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222222"/>
        </w:rPr>
        <w:t>February 24, 2026</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222222"/>
        </w:rPr>
        <w:t>Kevin Haas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222222"/>
        </w:rPr>
        <w:t>krhaas31@gmail.com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w:t>
      </w:r>
      <w:r>
        <w:rPr>
          <w:rFonts w:ascii="Arial" w:cs="Arial" w:eastAsia="Arial" w:hAnsi="Arial"/>
          <w:sz w:val="18"/>
          <w:szCs w:val="18"/>
          <w:color w:val="222222"/>
        </w:rPr>
        <w:t>Kevin,</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0070C0"/>
        </w:rPr>
        <w:t>Congratulations! Exceptional cancer care begins with exceptional people. Welcome to Veracyte!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On behalf of Veracyte, Inc. (Nasdaq: VCYT) (the “Company”), we are very pleased to offer you the following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Position Title: </w:t>
      </w:r>
      <w:r>
        <w:rPr>
          <w:rFonts w:ascii="Arial" w:cs="Arial" w:eastAsia="Arial" w:hAnsi="Arial"/>
          <w:sz w:val="18"/>
          <w:szCs w:val="18"/>
          <w:b w:val="1"/>
          <w:bCs w:val="1"/>
          <w:color w:val="auto"/>
        </w:rPr>
        <w:t>Chief Development and Technology Officer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Reporting to: </w:t>
      </w:r>
      <w:r>
        <w:rPr>
          <w:rFonts w:ascii="Arial" w:cs="Arial" w:eastAsia="Arial" w:hAnsi="Arial"/>
          <w:sz w:val="18"/>
          <w:szCs w:val="18"/>
          <w:b w:val="1"/>
          <w:bCs w:val="1"/>
          <w:color w:val="auto"/>
        </w:rPr>
        <w:t>Marc Stapley, CEO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22222"/>
        </w:rPr>
        <w:t xml:space="preserve">This is a full-time, exempt </w:t>
      </w:r>
      <w:r>
        <w:rPr>
          <w:rFonts w:ascii="Arial" w:cs="Arial" w:eastAsia="Arial" w:hAnsi="Arial"/>
          <w:sz w:val="18"/>
          <w:szCs w:val="18"/>
          <w:color w:val="000000"/>
        </w:rPr>
        <w:t>position based in</w:t>
      </w:r>
      <w:r>
        <w:rPr>
          <w:rFonts w:ascii="Arial" w:cs="Arial" w:eastAsia="Arial" w:hAnsi="Arial"/>
          <w:sz w:val="18"/>
          <w:szCs w:val="18"/>
          <w:color w:val="222222"/>
        </w:rPr>
        <w:t xml:space="preserve"> South San Francisco, California or San Diego, California.</w:t>
      </w:r>
    </w:p>
    <w:p>
      <w:pPr>
        <w:spacing w:after="0" w:line="245"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Your anticipated start date will be on or before March 23, 2026 (such date on which you start your employment the “Start Date”). (You should note that the Company may modify job titles and reporting relationships from time to time as it deems necessary.)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this offer and the benefits currently provided by the Company are as follows:</w:t>
      </w:r>
    </w:p>
    <w:p>
      <w:pPr>
        <w:spacing w:after="0" w:line="24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rendering services to the Company, you will not engage in any other employment, consulting, or other business activity (whether full-time or part-time) that would create a conflict of interest with the Company. You will not assist any other person or organization in competing with the Company or in preparing to engage in competition with the business or proposed business of the Company. By signing this letter, you confirm to the Company that you have no contractual commitments or other legal obligations that would prohibit you from performing your duties to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You will receive a base salary of $500,000 </w:t>
      </w:r>
      <w:r>
        <w:rPr>
          <w:rFonts w:ascii="Arial" w:cs="Arial" w:eastAsia="Arial" w:hAnsi="Arial"/>
          <w:sz w:val="18"/>
          <w:szCs w:val="18"/>
          <w:color w:val="222222"/>
        </w:rPr>
        <w:t>per year</w:t>
      </w:r>
      <w:r>
        <w:rPr>
          <w:rFonts w:ascii="Arial" w:cs="Arial" w:eastAsia="Arial" w:hAnsi="Arial"/>
          <w:sz w:val="18"/>
          <w:szCs w:val="18"/>
          <w:color w:val="auto"/>
        </w:rPr>
        <w:t>, less all applicable taxes and withholdings. You will be paid in accordance with Veracyte’s established payroll schedule, which is presently biweekly and is subject to change.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TARGET</w:t>
      </w:r>
    </w:p>
    <w:p>
      <w:pPr>
        <w:spacing w:after="0" w:line="24"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In addition, the Company offers a performance-based variable cash bonus program (“Bonus Plan”). The Bonus Plan may be amended or terminated at any time. Subject to an acceptable level of corporate performance, the Board of Directors may approve payment of cash bonuses. If bonuses are paid, your target percentage will be 55% of Eligible Annual Earnings (as defined in the Bonus Plan). Your actual bonus payment, if any, will depend on your own and the Company’s performance for the applicable performance year. Bonus payments will be pro-rated based on Start Date. You must be actively employed on the bonus payment date to be eligible to receive the bonus payment.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reserves the right to change or otherwise modify, in its sole discretion, the preceding terms of compensation.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veracyte.com | T: 650.243.6300 | F: 650.243.6301</w:t>
      </w:r>
    </w:p>
    <w:p>
      <w:pPr>
        <w:sectPr>
          <w:pgSz w:w="11900" w:h="16838" w:orient="portrait"/>
          <w:cols w:equalWidth="0" w:num="1">
            <w:col w:w="11240"/>
          </w:cols>
          <w:pgMar w:left="320" w:top="126"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2765425</wp:posOffset>
            </wp:positionH>
            <wp:positionV relativeFrom="page">
              <wp:posOffset>375920</wp:posOffset>
            </wp:positionV>
            <wp:extent cx="2026285" cy="430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026285"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HIRE EQUITY</w:t>
      </w:r>
    </w:p>
    <w:p>
      <w:pPr>
        <w:spacing w:after="0" w:line="2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Restricted Stock Unit (RSU) Grant: Subject to the approval of the Committee, you will be granted RSUs in an amount equal to approximately $1,500,000 (“RSU Value”) on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month following the month of your Start Date (“Grant Date”). The number of RSUs will be calculated by dividing the RSU Value by the 30- trading day trailing average price ending on the last day of the month prior to your Grant Date, rounded down to the nearest whole share. The RSUs will vest over four years, with the first 1/4th of the RSUs vesting on the first annual anniversary of the Designated Quarterly Vesting date (as defined below) that coincides with, or immediately follows, your Grant Date and an additional 1/16th of the RSUs vesting on each subsequent Designated Quarterly Vesting Date thereafter, so long as you remain in Service (as defined in the Plan) on each vesting date except as may be provided in the Severance Agreement. The Company’s “Designated Quarterly Vesting Dates” are March 2, June 2, September 2, and December 2.</w:t>
      </w:r>
    </w:p>
    <w:p>
      <w:pPr>
        <w:spacing w:after="0" w:line="22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Performance Restricted Stock Unit (PSU) Grant: Subject to the approval of the Committee, you will be granted PSUs in an amount equal to $1,500,000 at “target” level achievement (“PSU Value”). The number of PSUs will be calculated by dividing the PSU Value by the 30-trading day trailing average price ending on the last day of the month prior to your Grant Date, rounded down to the nearest whole share. The PSU will be subject to the same terms and conditions, including performance metrics and vesting requirements, as the PSUs granted to certain of the Company’s executive officers in February 2026 (the “2026 PSUs”).The 2026 PSUs are split between two-year and three-year performance periods with 70% of the total target number of shares subject to the achievement of the pre-determined performance target(s) for 2027 and 30% of the total target number of shares subject to the achievement of the pre-determined performance target(s) for 2028. PSUs subject to the two-year performance period that meet or exceed performance threshold will cliff vest following certification of achievement of the two-year performance targets. PSUs subject to the three-year performance period that meet or exceed performance threshold will cliff vest following certification of achievement of the three-year performance targets. Achievement between threshold, target and maximum levels of performance of each metric is interpolated, with a maximum achievement level of 150% of the target PSUs for each performance period.</w:t>
      </w:r>
    </w:p>
    <w:p>
      <w:pPr>
        <w:spacing w:after="0" w:line="219" w:lineRule="exact"/>
        <w:rPr>
          <w:sz w:val="20"/>
          <w:szCs w:val="20"/>
          <w:color w:val="auto"/>
        </w:rPr>
      </w:pPr>
    </w:p>
    <w:p>
      <w:pPr>
        <w:ind w:right="240"/>
        <w:spacing w:after="0" w:line="306" w:lineRule="auto"/>
        <w:rPr>
          <w:sz w:val="20"/>
          <w:szCs w:val="20"/>
          <w:color w:val="auto"/>
        </w:rPr>
      </w:pPr>
      <w:r>
        <w:rPr>
          <w:rFonts w:ascii="Arial" w:cs="Arial" w:eastAsia="Arial" w:hAnsi="Arial"/>
          <w:sz w:val="18"/>
          <w:szCs w:val="18"/>
          <w:color w:val="auto"/>
        </w:rPr>
        <w:t>All grants will be made under, and are subject to the terms and conditions set forth in, the Company’s 2023 Equity Incentive Plan (the “Plan”) and applicable written or electronic award agreements (the “Award Grant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RELOCATION REIMBURSEMENT</w:t>
      </w:r>
    </w:p>
    <w:p>
      <w:pPr>
        <w:spacing w:after="0" w:line="24" w:lineRule="exact"/>
        <w:rPr>
          <w:sz w:val="20"/>
          <w:szCs w:val="20"/>
          <w:color w:val="auto"/>
        </w:rPr>
      </w:pPr>
    </w:p>
    <w:p>
      <w:pPr>
        <w:ind w:right="80"/>
        <w:spacing w:after="0" w:line="214" w:lineRule="exact"/>
        <w:rPr>
          <w:sz w:val="20"/>
          <w:szCs w:val="20"/>
          <w:color w:val="auto"/>
        </w:rPr>
      </w:pPr>
      <w:r>
        <w:rPr>
          <w:rFonts w:ascii="Arial" w:cs="Arial" w:eastAsia="Arial" w:hAnsi="Arial"/>
          <w:sz w:val="18"/>
          <w:szCs w:val="18"/>
          <w:color w:val="auto"/>
        </w:rPr>
        <w:t>If you elect to relocate your primary residence to the San Diego, California area within the first two (2) years of your employment start date, the Company will reimburse you reasonable relocation expenses up to the gross amount of $50,000 (less applicable taxes and withholdings). This relocation reimbursement is offered solely in connection with a qualifying relocation to San Diego and will not be paid if you do not relocate within the two-year period. The reimbursement is intended to assist with documented relocation</w:t>
      </w:r>
      <w:r>
        <w:rPr>
          <w:rFonts w:ascii="MS PGothic" w:cs="MS PGothic" w:eastAsia="MS PGothic" w:hAnsi="MS PGothic"/>
          <w:sz w:val="18"/>
          <w:szCs w:val="18"/>
          <w:color w:val="auto"/>
        </w:rPr>
        <w:t>‑</w:t>
      </w:r>
      <w:r>
        <w:rPr>
          <w:rFonts w:ascii="Arial" w:cs="Arial" w:eastAsia="Arial" w:hAnsi="Arial"/>
          <w:sz w:val="18"/>
          <w:szCs w:val="18"/>
          <w:color w:val="auto"/>
        </w:rPr>
        <w:t>related expenses and will be paid in accordance with the Company’s standard payroll practices.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BENEFITS</w:t>
      </w:r>
    </w:p>
    <w:p>
      <w:pPr>
        <w:spacing w:after="0" w:line="24"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You will be eligible to participate in the Company’s regular medical, dental, vision, and life insurance benefits, 401(k), and Employee Stock Purchase Plan, and the other employee benefit plans established by the Company for its employees from time to time.</w:t>
      </w:r>
    </w:p>
    <w:p>
      <w:pPr>
        <w:spacing w:after="0" w:line="17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You will also be eligible to receive paid time off and Company paid holidays in accordance with the Company’s established policies. These and other policies are explained fully in the Company’s employee handbook.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WILL EMPLOYMENT / CONFIDENTIALITY AGREEMENT</w:t>
      </w:r>
    </w:p>
    <w:p>
      <w:pPr>
        <w:spacing w:after="0" w:line="2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Although we hope that your employment with the Company is mutually satisfactory, please note that, should you accept our offer, your employment at the Company is “at will”. This means that your employment is for no specific period of time and the employment relationship can be terminated by either you or the Company for any reason, at any time, without prior notice and with or without cause. However, if employment is terminated by you, the Company requests that you provide as much notice as possible.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veracyte.com | T: 650.243.6300 | F: 650.243.6301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2765425</wp:posOffset>
            </wp:positionH>
            <wp:positionV relativeFrom="page">
              <wp:posOffset>375920</wp:posOffset>
            </wp:positionV>
            <wp:extent cx="2026285" cy="430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2026285"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is the entire agreement between you and Veracyte regarding the topic herein. Any statements or representations to the contrary are superseded by this agreement. Further, your participation in any equity incentive plan or benefit program is not a guaranty of employment. Although your job duties, title, compensation, and benefits, as well as the Company’s personnel policies and practices, may change from time to time, the “at-will” nature of your employment may be changed only in an express, written employment agreement signed by you and a duly authorized officer of the Company.</w:t>
      </w:r>
    </w:p>
    <w:p>
      <w:pPr>
        <w:spacing w:after="0" w:line="20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an employee of the Company, you will have access to certain confidential information about the Company and you may, during the course of your employment, develop certain information or inventions that will be the property of the Company. To protect the Company’s interests, you must sign and abide by the Company’s At-Will Employment, Confidential Information and Invention Assignment and Arbitration Agreement (the “Confidentiality Agreement”). This requires, among other provisions, the assignment of rights to any invention made within the scope of and during your employment with the Company, as well as non-disclosure of Company confidential and proprietary information. There is also a requirement for resolution by binding arbitration of any dispute arising out of our employment relationship as permitted by law. The terms of these agreements are described in detail in the Confidentiality Agreement, a copy of which is enclosed with this offer.</w:t>
      </w:r>
    </w:p>
    <w:p>
      <w:pPr>
        <w:spacing w:after="0" w:line="2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wish to impress upon you that we do not want you to, and we hereby direct you not to bring with you any confidential or proprietary material of any former employer or violate any other obligations you may have to any former employer. You represent that your signing of this offer letter, agreement(s) concerning equity granted to you, if any, under the Plan and the Company’s Confidential Agreement and your commencement of employment with the Company will not violate any agreement currently in place between yourself and current or past employers.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AND INDEMNIFICATION</w:t>
      </w:r>
    </w:p>
    <w:p>
      <w:pPr>
        <w:spacing w:after="0" w:line="24"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You will be offered a Change of Control Agreement, attached hereto as Exhibit A. As an officer of the Company, you also will be offered an Indemnification Agreement, attached hereto as Exhibit B.</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CONTIGENCY</w:t>
      </w:r>
    </w:p>
    <w:p>
      <w:pPr>
        <w:spacing w:after="0" w:line="2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Our offer is contingent on (a) Veracyte’s satisfactory verification of criminal, education, and/or employment background, and completed references (b) your delivery to the Company, within three (3) business days of your date of hire, of documentation demonstrating that you have authorization to work in the United States, as required by Federal law. If you have questions about this requirement, which applies to U.S. citizens and non-citizens alike, you may contact Human Resources.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2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To accept our offer, please sign and date this letter below. This letter, together with the Confidentiality Agreement and any other agreements described herein, set forth the terms of your employment with the Company, and supersedes all prior offers, negotiations, representations, or agreements relating to such subject matter, whether written or oral, including, but not limited to, any representations made during your recruitment, interviews, or pre-employment negotiations. You acknowledge that neither the Company nor its agents have made any promise, representation, or warranty whatsoever, either express or implied, written or oral, which is not contained in this agreement for the purposed of inducing you to execute the agreement, and you acknowledge that you have executed this agreement in reliance only upon such promises, representations, and warranties as are contained herein.</w:t>
      </w:r>
    </w:p>
    <w:p>
      <w:pPr>
        <w:spacing w:after="0" w:line="215" w:lineRule="exact"/>
        <w:rPr>
          <w:sz w:val="20"/>
          <w:szCs w:val="20"/>
          <w:color w:val="auto"/>
        </w:rPr>
      </w:pPr>
    </w:p>
    <w:p>
      <w:pPr>
        <w:ind w:right="380"/>
        <w:spacing w:after="0" w:line="276" w:lineRule="auto"/>
        <w:rPr>
          <w:sz w:val="20"/>
          <w:szCs w:val="20"/>
          <w:color w:val="auto"/>
        </w:rPr>
      </w:pPr>
      <w:r>
        <w:rPr>
          <w:rFonts w:ascii="Arial" w:cs="Arial" w:eastAsia="Arial" w:hAnsi="Arial"/>
          <w:sz w:val="18"/>
          <w:szCs w:val="18"/>
          <w:color w:val="auto"/>
        </w:rPr>
        <w:t>The provisions of this offer letter are severable, and if any part of it is found to be invalid or unenforceable, the other parts shall remain fully valid and enforceable.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veracyte.com | T: 650.243.6300 | F: 650.243.6301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2765425</wp:posOffset>
            </wp:positionH>
            <wp:positionV relativeFrom="page">
              <wp:posOffset>375920</wp:posOffset>
            </wp:positionV>
            <wp:extent cx="2026285" cy="430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2026285"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We’re all keenly looking forward to welcoming you aboard! If you have any questions about this offer or its terms, please feel free to contact 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 Marc Stapley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Marc Stapley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 Kevin Haas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Printed Name: </w:t>
      </w:r>
      <w:r>
        <w:rPr>
          <w:rFonts w:ascii="Arial" w:cs="Arial" w:eastAsia="Arial" w:hAnsi="Arial"/>
          <w:sz w:val="18"/>
          <w:szCs w:val="18"/>
          <w:u w:val="single" w:color="auto"/>
          <w:color w:val="auto"/>
        </w:rPr>
        <w:t>Kevin Haas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veracyte.com | T: 650.243.6300 | F: 650.243.6301</w:t>
      </w:r>
    </w:p>
    <w:p>
      <w:pPr>
        <w:sectPr>
          <w:pgSz w:w="11900" w:h="16838" w:orient="portrait"/>
          <w:cols w:equalWidth="0" w:num="1">
            <w:col w:w="10900"/>
          </w:cols>
          <w:pgMar w:left="320" w:top="1440" w:right="67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9"/>
          <w:szCs w:val="19"/>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u w:val="single" w:color="auto"/>
          <w:color w:val="auto"/>
        </w:rPr>
        <w:t>VERACYTE, INC.</w:t>
      </w:r>
    </w:p>
    <w:p>
      <w:pPr>
        <w:spacing w:after="0" w:line="2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CHANGE OF CONTROL AND SEVERANCE AGREEMENT</w:t>
      </w:r>
    </w:p>
    <w:p>
      <w:pPr>
        <w:spacing w:after="0" w:line="127" w:lineRule="exact"/>
        <w:rPr>
          <w:sz w:val="20"/>
          <w:szCs w:val="20"/>
          <w:color w:val="auto"/>
        </w:rPr>
      </w:pPr>
    </w:p>
    <w:p>
      <w:pPr>
        <w:ind w:left="20" w:right="480" w:firstLine="637"/>
        <w:spacing w:after="0" w:line="291" w:lineRule="auto"/>
        <w:rPr>
          <w:sz w:val="20"/>
          <w:szCs w:val="20"/>
          <w:color w:val="auto"/>
        </w:rPr>
      </w:pPr>
      <w:r>
        <w:rPr>
          <w:rFonts w:ascii="Times New Roman" w:cs="Times New Roman" w:eastAsia="Times New Roman" w:hAnsi="Times New Roman"/>
          <w:sz w:val="19"/>
          <w:szCs w:val="19"/>
          <w:color w:val="auto"/>
        </w:rPr>
        <w:t>This Change of Control and Severance Agreement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and entered into by and between Kevin Haas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and Veracyte,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effective as of March 24, 2026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u w:val="single" w:color="auto"/>
          <w:color w:val="auto"/>
        </w:rPr>
        <w:t>RECITALS</w:t>
      </w:r>
    </w:p>
    <w:p>
      <w:pPr>
        <w:spacing w:after="0" w:line="110" w:lineRule="exact"/>
        <w:rPr>
          <w:sz w:val="20"/>
          <w:szCs w:val="20"/>
          <w:color w:val="auto"/>
        </w:rPr>
      </w:pPr>
    </w:p>
    <w:p>
      <w:pPr>
        <w:jc w:val="both"/>
        <w:ind w:left="20" w:right="480" w:firstLine="632"/>
        <w:spacing w:after="0" w:line="270" w:lineRule="auto"/>
        <w:tabs>
          <w:tab w:leader="none" w:pos="1097"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Lea to a Change of Control and to motivate Executive to maximize the value of the Company upon a Change of Control for the benefit of its stockholders.</w:t>
      </w:r>
    </w:p>
    <w:p>
      <w:pPr>
        <w:spacing w:after="0" w:line="51" w:lineRule="exact"/>
        <w:rPr>
          <w:rFonts w:ascii="Times New Roman" w:cs="Times New Roman" w:eastAsia="Times New Roman" w:hAnsi="Times New Roman"/>
          <w:sz w:val="19"/>
          <w:szCs w:val="19"/>
          <w:color w:val="auto"/>
        </w:rPr>
      </w:pPr>
    </w:p>
    <w:p>
      <w:pPr>
        <w:jc w:val="both"/>
        <w:ind w:left="20" w:right="480" w:firstLine="632"/>
        <w:spacing w:after="0" w:line="274" w:lineRule="auto"/>
        <w:tabs>
          <w:tab w:leader="none" w:pos="1024"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62" w:lineRule="exact"/>
        <w:rPr>
          <w:rFonts w:ascii="Times New Roman" w:cs="Times New Roman" w:eastAsia="Times New Roman" w:hAnsi="Times New Roman"/>
          <w:sz w:val="19"/>
          <w:szCs w:val="19"/>
          <w:color w:val="auto"/>
        </w:rPr>
      </w:pPr>
    </w:p>
    <w:p>
      <w:pPr>
        <w:ind w:left="1000" w:hanging="347"/>
        <w:spacing w:after="0"/>
        <w:tabs>
          <w:tab w:leader="none" w:pos="100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Certain capitalized terms used in the Agreement are defined in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below.</w:t>
      </w:r>
    </w:p>
    <w:p>
      <w:pPr>
        <w:spacing w:after="0" w:line="1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9"/>
          <w:szCs w:val="19"/>
          <w:u w:val="single" w:color="auto"/>
          <w:color w:val="auto"/>
        </w:rPr>
        <w:t>AGREEMENT</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 xml:space="preserve">NOW, THEREFORE, in consideration of the mutual covenants contained herein, the parties hereto agree as </w:t>
      </w:r>
      <w:r>
        <w:rPr>
          <w:rFonts w:ascii="Times New Roman" w:cs="Times New Roman" w:eastAsia="Times New Roman" w:hAnsi="Times New Roman"/>
          <w:sz w:val="19"/>
          <w:szCs w:val="19"/>
          <w:color w:val="1F1F23"/>
        </w:rPr>
        <w:t>follows:</w:t>
      </w:r>
    </w:p>
    <w:p>
      <w:pPr>
        <w:spacing w:after="0" w:line="127" w:lineRule="exact"/>
        <w:rPr>
          <w:sz w:val="20"/>
          <w:szCs w:val="20"/>
          <w:color w:val="auto"/>
        </w:rPr>
      </w:pPr>
    </w:p>
    <w:p>
      <w:pPr>
        <w:jc w:val="both"/>
        <w:ind w:right="460" w:firstLine="653"/>
        <w:spacing w:after="0" w:line="262" w:lineRule="auto"/>
        <w:tabs>
          <w:tab w:leader="none" w:pos="106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of Agreement</w:t>
      </w:r>
      <w:r>
        <w:rPr>
          <w:rFonts w:ascii="Times New Roman" w:cs="Times New Roman" w:eastAsia="Times New Roman" w:hAnsi="Times New Roman"/>
          <w:sz w:val="19"/>
          <w:szCs w:val="19"/>
          <w:color w:val="auto"/>
        </w:rPr>
        <w:t>. This Agreement will have an initial term of four (4) years commencing on the Effective Date (the “</w:t>
      </w:r>
      <w:r>
        <w:rPr>
          <w:rFonts w:ascii="Times New Roman" w:cs="Times New Roman" w:eastAsia="Times New Roman" w:hAnsi="Times New Roman"/>
          <w:sz w:val="19"/>
          <w:szCs w:val="19"/>
          <w:b w:val="1"/>
          <w:bCs w:val="1"/>
          <w:i w:val="1"/>
          <w:iCs w:val="1"/>
          <w:color w:val="auto"/>
        </w:rPr>
        <w:t>Initial Term</w:t>
      </w:r>
      <w:r>
        <w:rPr>
          <w:rFonts w:ascii="Times New Roman" w:cs="Times New Roman" w:eastAsia="Times New Roman" w:hAnsi="Times New Roman"/>
          <w:sz w:val="19"/>
          <w:szCs w:val="19"/>
          <w:color w:val="auto"/>
        </w:rPr>
        <w:t>”). On the fourth anniversary of the Effective Date, this Agreement will renew automatically for additional one (1) year terms (each an “</w:t>
      </w:r>
      <w:r>
        <w:rPr>
          <w:rFonts w:ascii="Times New Roman" w:cs="Times New Roman" w:eastAsia="Times New Roman" w:hAnsi="Times New Roman"/>
          <w:sz w:val="19"/>
          <w:szCs w:val="19"/>
          <w:b w:val="1"/>
          <w:bCs w:val="1"/>
          <w:i w:val="1"/>
          <w:iCs w:val="1"/>
          <w:color w:val="auto"/>
        </w:rPr>
        <w:t>Additional Term</w:t>
      </w:r>
      <w:r>
        <w:rPr>
          <w:rFonts w:ascii="Times New Roman" w:cs="Times New Roman" w:eastAsia="Times New Roman" w:hAnsi="Times New Roman"/>
          <w:sz w:val="19"/>
          <w:szCs w:val="19"/>
          <w:color w:val="auto"/>
        </w:rPr>
        <w:t xml:space="preserve">”),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during the term of this Agreement, the Agreement will not terminate until all of the obligations of the parties hereto with respect to this Agreement have been satisfied.</w:t>
      </w:r>
    </w:p>
    <w:p>
      <w:pPr>
        <w:spacing w:after="0" w:line="73" w:lineRule="exact"/>
        <w:rPr>
          <w:rFonts w:ascii="Times New Roman" w:cs="Times New Roman" w:eastAsia="Times New Roman" w:hAnsi="Times New Roman"/>
          <w:sz w:val="19"/>
          <w:szCs w:val="19"/>
          <w:color w:val="auto"/>
        </w:rPr>
      </w:pPr>
    </w:p>
    <w:p>
      <w:pPr>
        <w:jc w:val="both"/>
        <w:ind w:left="20" w:right="460" w:firstLine="632"/>
        <w:spacing w:after="0" w:line="274" w:lineRule="auto"/>
        <w:tabs>
          <w:tab w:leader="none" w:pos="998"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At-Will Employment</w:t>
      </w:r>
      <w:r>
        <w:rPr>
          <w:rFonts w:ascii="Times New Roman" w:cs="Times New Roman" w:eastAsia="Times New Roman" w:hAnsi="Times New Roman"/>
          <w:sz w:val="19"/>
          <w:szCs w:val="19"/>
          <w:color w:val="auto"/>
        </w:rPr>
        <w:t>. The Company and Executive acknowledge that Executive’s employment is and will continue to be at-will, as defined under applicable law</w:t>
      </w:r>
      <w:r>
        <w:rPr>
          <w:rFonts w:ascii="Times New Roman" w:cs="Times New Roman" w:eastAsia="Times New Roman" w:hAnsi="Times New Roman"/>
          <w:sz w:val="19"/>
          <w:szCs w:val="19"/>
          <w:color w:val="4A4A4A"/>
        </w:rPr>
        <w:t>.</w:t>
      </w:r>
      <w:r>
        <w:rPr>
          <w:rFonts w:ascii="Times New Roman" w:cs="Times New Roman" w:eastAsia="Times New Roman" w:hAnsi="Times New Roman"/>
          <w:sz w:val="19"/>
          <w:szCs w:val="19"/>
          <w:color w:val="auto"/>
        </w:rPr>
        <w:t xml:space="preserve"> As an at-will employee, either the Company or the Executive may terminate the employment relationship at any time, with or without Cause.</w:t>
      </w:r>
    </w:p>
    <w:p>
      <w:pPr>
        <w:spacing w:after="0" w:line="49" w:lineRule="exact"/>
        <w:rPr>
          <w:rFonts w:ascii="Times New Roman" w:cs="Times New Roman" w:eastAsia="Times New Roman" w:hAnsi="Times New Roman"/>
          <w:sz w:val="19"/>
          <w:szCs w:val="19"/>
          <w:color w:val="auto"/>
        </w:rPr>
      </w:pPr>
    </w:p>
    <w:p>
      <w:pPr>
        <w:ind w:left="1000" w:hanging="347"/>
        <w:spacing w:after="0"/>
        <w:tabs>
          <w:tab w:leader="none" w:pos="10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Benefits</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jc w:val="both"/>
        <w:ind w:left="20" w:right="480" w:firstLine="1270"/>
        <w:spacing w:after="0" w:line="270" w:lineRule="auto"/>
        <w:tabs>
          <w:tab w:leader="none" w:pos="176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without Cause or Resignation for Good Reason Unrelated to a Change of Control</w:t>
      </w:r>
      <w:r>
        <w:rPr>
          <w:rFonts w:ascii="Times New Roman" w:cs="Times New Roman" w:eastAsia="Times New Roman" w:hAnsi="Times New Roman"/>
          <w:sz w:val="19"/>
          <w:szCs w:val="19"/>
          <w:color w:val="auto"/>
        </w:rPr>
        <w:t xml:space="preserve">. If the Company terminates Executive’s employment with the Company without Cause (excluding death or Disability) or if Executive resigns from such employment for Good Reason, and such termination occurs outside of the Change of Control Period, then subject to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Executive will receive the following:</w:t>
      </w:r>
    </w:p>
    <w:p>
      <w:pPr>
        <w:spacing w:after="0" w:line="53" w:lineRule="exact"/>
        <w:rPr>
          <w:rFonts w:ascii="Times New Roman" w:cs="Times New Roman" w:eastAsia="Times New Roman" w:hAnsi="Times New Roman"/>
          <w:sz w:val="19"/>
          <w:szCs w:val="19"/>
          <w:color w:val="auto"/>
        </w:rPr>
      </w:pPr>
    </w:p>
    <w:p>
      <w:pPr>
        <w:ind w:left="20" w:right="480" w:firstLine="1908"/>
        <w:spacing w:after="0" w:line="301" w:lineRule="auto"/>
        <w:tabs>
          <w:tab w:leader="none" w:pos="2459" w:val="left"/>
        </w:tabs>
        <w:numPr>
          <w:ilvl w:val="2"/>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Accrued Compensation</w:t>
      </w:r>
      <w:r>
        <w:rPr>
          <w:rFonts w:ascii="Times New Roman" w:cs="Times New Roman" w:eastAsia="Times New Roman" w:hAnsi="Times New Roman"/>
          <w:sz w:val="19"/>
          <w:szCs w:val="19"/>
          <w:color w:val="auto"/>
        </w:rPr>
        <w:t>. The Company will pay Executive all accrued but unpaid vacation, expense reimbursements, wages, and other benefits due to Executive under any Company-provided plans, policies, and arrangements.</w:t>
      </w:r>
    </w:p>
    <w:p>
      <w:pPr>
        <w:sectPr>
          <w:pgSz w:w="11900" w:h="16838" w:orient="portrait"/>
          <w:cols w:equalWidth="0" w:num="1">
            <w:col w:w="11160"/>
          </w:cols>
          <w:pgMar w:left="400" w:top="104" w:right="339" w:bottom="1440" w:gutter="0" w:footer="0" w:header="0"/>
        </w:sectPr>
      </w:pPr>
    </w:p>
    <w:bookmarkStart w:id="74" w:name="page75"/>
    <w:bookmarkEnd w:id="74"/>
    <w:p>
      <w:pPr>
        <w:jc w:val="both"/>
        <w:ind w:left="5" w:right="20" w:firstLine="1908"/>
        <w:spacing w:after="0" w:line="274" w:lineRule="auto"/>
        <w:tabs>
          <w:tab w:leader="none" w:pos="2405"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Continuing Severance Payments</w:t>
      </w:r>
      <w:r>
        <w:rPr>
          <w:rFonts w:ascii="Times New Roman" w:cs="Times New Roman" w:eastAsia="Times New Roman" w:hAnsi="Times New Roman"/>
          <w:sz w:val="19"/>
          <w:szCs w:val="19"/>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62" w:lineRule="exact"/>
        <w:rPr>
          <w:rFonts w:ascii="Times New Roman" w:cs="Times New Roman" w:eastAsia="Times New Roman" w:hAnsi="Times New Roman"/>
          <w:sz w:val="19"/>
          <w:szCs w:val="19"/>
          <w:color w:val="auto"/>
        </w:rPr>
      </w:pPr>
    </w:p>
    <w:p>
      <w:pPr>
        <w:jc w:val="both"/>
        <w:ind w:left="5" w:firstLine="1908"/>
        <w:spacing w:after="0" w:line="258" w:lineRule="auto"/>
        <w:tabs>
          <w:tab w:leader="none" w:pos="2419"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Continuation Coverage</w:t>
      </w:r>
      <w:r>
        <w:rPr>
          <w:rFonts w:ascii="Times New Roman" w:cs="Times New Roman" w:eastAsia="Times New Roman" w:hAnsi="Times New Roman"/>
          <w:sz w:val="19"/>
          <w:szCs w:val="19"/>
          <w:color w:val="auto"/>
        </w:rPr>
        <w:t xml:space="preserve">. If Executive elects continuation coverage pursuant to the Consolidated Omnibus Budget Reconciliation Act of 1985, as amended </w:t>
      </w:r>
      <w:r>
        <w:rPr>
          <w:rFonts w:ascii="Times New Roman" w:cs="Times New Roman" w:eastAsia="Times New Roman" w:hAnsi="Times New Roman"/>
          <w:sz w:val="19"/>
          <w:szCs w:val="19"/>
          <w:b w:val="1"/>
          <w:bCs w:val="1"/>
          <w:i w:val="1"/>
          <w:iCs w:val="1"/>
          <w:color w:val="auto"/>
        </w:rPr>
        <w:t>(“COBRA”)</w:t>
      </w:r>
      <w:r>
        <w:rPr>
          <w:rFonts w:ascii="Times New Roman" w:cs="Times New Roman" w:eastAsia="Times New Roman" w:hAnsi="Times New Roman"/>
          <w:sz w:val="19"/>
          <w:szCs w:val="19"/>
          <w:color w:val="auto"/>
        </w:rPr>
        <w:t xml:space="preserve">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w:t>
      </w:r>
      <w:r>
        <w:rPr>
          <w:rFonts w:ascii="Times New Roman" w:cs="Times New Roman" w:eastAsia="Times New Roman" w:hAnsi="Times New Roman"/>
          <w:sz w:val="19"/>
          <w:szCs w:val="19"/>
          <w:u w:val="single" w:color="auto"/>
          <w:color w:val="auto"/>
        </w:rPr>
        <w:t>Section 3(a)(iii)</w:t>
      </w:r>
      <w:r>
        <w:rPr>
          <w:rFonts w:ascii="Times New Roman" w:cs="Times New Roman" w:eastAsia="Times New Roman" w:hAnsi="Times New Roman"/>
          <w:sz w:val="19"/>
          <w:szCs w:val="19"/>
          <w:color w:val="auto"/>
        </w:rPr>
        <w:t>,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w:t>
      </w:r>
    </w:p>
    <w:p>
      <w:pPr>
        <w:spacing w:after="0" w:line="5" w:lineRule="exact"/>
        <w:rPr>
          <w:rFonts w:ascii="Times New Roman" w:cs="Times New Roman" w:eastAsia="Times New Roman" w:hAnsi="Times New Roman"/>
          <w:sz w:val="19"/>
          <w:szCs w:val="19"/>
          <w:color w:val="auto"/>
        </w:rPr>
      </w:pPr>
    </w:p>
    <w:p>
      <w:pPr>
        <w:jc w:val="both"/>
        <w:ind w:left="5" w:right="20" w:hanging="5"/>
        <w:spacing w:after="0" w:line="267" w:lineRule="auto"/>
        <w:tabs>
          <w:tab w:leader="none" w:pos="283"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67" w:lineRule="exact"/>
        <w:rPr>
          <w:rFonts w:ascii="Times New Roman" w:cs="Times New Roman" w:eastAsia="Times New Roman" w:hAnsi="Times New Roman"/>
          <w:sz w:val="19"/>
          <w:szCs w:val="19"/>
          <w:color w:val="auto"/>
        </w:rPr>
      </w:pPr>
    </w:p>
    <w:p>
      <w:pPr>
        <w:jc w:val="both"/>
        <w:ind w:left="5" w:firstLine="1270"/>
        <w:spacing w:after="0" w:line="266" w:lineRule="auto"/>
        <w:tabs>
          <w:tab w:leader="none" w:pos="1822"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without Cause or Resignation for Good Reason in Connection with a Change of Control</w:t>
      </w:r>
      <w:r>
        <w:rPr>
          <w:rFonts w:ascii="Times New Roman" w:cs="Times New Roman" w:eastAsia="Times New Roman" w:hAnsi="Times New Roman"/>
          <w:sz w:val="19"/>
          <w:szCs w:val="19"/>
          <w:color w:val="auto"/>
        </w:rPr>
        <w:t xml:space="preserve">. If the Company terminates Executive’s employment with the Company without Cause (excluding death or Disability) or if Executive resigns from such employment for Good Reason, and, in each case, such termination occurs during the Change of Control Period, then subject to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Executive will receive the following</w:t>
      </w:r>
      <w:r>
        <w:rPr>
          <w:rFonts w:ascii="Times New Roman" w:cs="Times New Roman" w:eastAsia="Times New Roman" w:hAnsi="Times New Roman"/>
          <w:sz w:val="19"/>
          <w:szCs w:val="19"/>
          <w:color w:val="444444"/>
        </w:rPr>
        <w:t>:</w:t>
      </w:r>
    </w:p>
    <w:p>
      <w:pPr>
        <w:spacing w:after="0" w:line="68" w:lineRule="exact"/>
        <w:rPr>
          <w:rFonts w:ascii="Times New Roman" w:cs="Times New Roman" w:eastAsia="Times New Roman" w:hAnsi="Times New Roman"/>
          <w:sz w:val="19"/>
          <w:szCs w:val="19"/>
          <w:color w:val="auto"/>
        </w:rPr>
      </w:pPr>
    </w:p>
    <w:p>
      <w:pPr>
        <w:ind w:left="5" w:right="20" w:firstLine="1908"/>
        <w:spacing w:after="0" w:line="301" w:lineRule="auto"/>
        <w:tabs>
          <w:tab w:leader="none" w:pos="2444" w:val="left"/>
        </w:tabs>
        <w:numPr>
          <w:ilvl w:val="2"/>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Accrued Compensation</w:t>
      </w:r>
      <w:r>
        <w:rPr>
          <w:rFonts w:ascii="Times New Roman" w:cs="Times New Roman" w:eastAsia="Times New Roman" w:hAnsi="Times New Roman"/>
          <w:sz w:val="19"/>
          <w:szCs w:val="19"/>
          <w:color w:val="444444"/>
        </w:rPr>
        <w:t>.</w:t>
      </w:r>
      <w:r>
        <w:rPr>
          <w:rFonts w:ascii="Times New Roman" w:cs="Times New Roman" w:eastAsia="Times New Roman" w:hAnsi="Times New Roman"/>
          <w:sz w:val="19"/>
          <w:szCs w:val="19"/>
          <w:color w:val="auto"/>
        </w:rPr>
        <w:t xml:space="preserve"> The Company will pay Executive all accrued but unpaid vacation, expense reimbursements, wages, and other benefits due to Executive under any Company-provided plans, policies, and arrangements.</w:t>
      </w:r>
    </w:p>
    <w:p>
      <w:pPr>
        <w:spacing w:after="0" w:line="23" w:lineRule="exact"/>
        <w:rPr>
          <w:rFonts w:ascii="Times New Roman" w:cs="Times New Roman" w:eastAsia="Times New Roman" w:hAnsi="Times New Roman"/>
          <w:sz w:val="19"/>
          <w:szCs w:val="19"/>
          <w:color w:val="auto"/>
        </w:rPr>
      </w:pPr>
    </w:p>
    <w:p>
      <w:pPr>
        <w:jc w:val="both"/>
        <w:ind w:left="5" w:firstLine="1908"/>
        <w:spacing w:after="0" w:line="262" w:lineRule="auto"/>
        <w:tabs>
          <w:tab w:leader="none" w:pos="2352" w:val="left"/>
        </w:tabs>
        <w:numPr>
          <w:ilvl w:val="2"/>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 Payment</w:t>
      </w:r>
      <w:r>
        <w:rPr>
          <w:rFonts w:ascii="Times New Roman" w:cs="Times New Roman" w:eastAsia="Times New Roman" w:hAnsi="Times New Roman"/>
          <w:sz w:val="19"/>
          <w:szCs w:val="19"/>
          <w:color w:val="auto"/>
        </w:rPr>
        <w:t xml:space="preserve">. Executive will receive a lump-sum payment (less applicable withholding taxes) equal to eighteen (18) months of Executive’s annual base salary as in effect immediately prior to Executive’s termination date or, if greater, at the level in effect immediately prior to the Change of Control. For the avoidance of doubt, if (x) Executive </w:t>
      </w:r>
      <w:r>
        <w:rPr>
          <w:rFonts w:ascii="Times New Roman" w:cs="Times New Roman" w:eastAsia="Times New Roman" w:hAnsi="Times New Roman"/>
          <w:sz w:val="19"/>
          <w:szCs w:val="19"/>
          <w:color w:val="343436"/>
        </w:rPr>
        <w:t>incurred</w:t>
      </w:r>
      <w:r>
        <w:rPr>
          <w:rFonts w:ascii="Times New Roman" w:cs="Times New Roman" w:eastAsia="Times New Roman" w:hAnsi="Times New Roman"/>
          <w:sz w:val="19"/>
          <w:szCs w:val="19"/>
          <w:color w:val="auto"/>
        </w:rPr>
        <w:t xml:space="preserve"> a termination prior to a Change of Control that qualifies Executive for severance payments under </w:t>
      </w:r>
      <w:r>
        <w:rPr>
          <w:rFonts w:ascii="Times New Roman" w:cs="Times New Roman" w:eastAsia="Times New Roman" w:hAnsi="Times New Roman"/>
          <w:sz w:val="19"/>
          <w:szCs w:val="19"/>
          <w:u w:val="single" w:color="auto"/>
          <w:color w:val="auto"/>
        </w:rPr>
        <w:t>Section 3(a)(ii)</w:t>
      </w:r>
      <w:r>
        <w:rPr>
          <w:rFonts w:ascii="Times New Roman" w:cs="Times New Roman" w:eastAsia="Times New Roman" w:hAnsi="Times New Roman"/>
          <w:sz w:val="19"/>
          <w:szCs w:val="19"/>
          <w:color w:val="auto"/>
        </w:rPr>
        <w:t xml:space="preserve">; and (y) a Change of Control occurs within the two (2)-month period following Executive’s termination of employment that qualifies Executive for the superior benefits under this </w:t>
      </w:r>
      <w:r>
        <w:rPr>
          <w:rFonts w:ascii="Times New Roman" w:cs="Times New Roman" w:eastAsia="Times New Roman" w:hAnsi="Times New Roman"/>
          <w:sz w:val="19"/>
          <w:szCs w:val="19"/>
          <w:u w:val="single" w:color="auto"/>
          <w:color w:val="auto"/>
        </w:rPr>
        <w:t>Section 3(b)(ii)</w:t>
      </w:r>
      <w:r>
        <w:rPr>
          <w:rFonts w:ascii="Times New Roman" w:cs="Times New Roman" w:eastAsia="Times New Roman" w:hAnsi="Times New Roman"/>
          <w:sz w:val="19"/>
          <w:szCs w:val="19"/>
          <w:color w:val="auto"/>
        </w:rPr>
        <w:t xml:space="preserve">, then Executive shall be entitled to a lump-sum payment of the amount calculated under this </w:t>
      </w:r>
      <w:r>
        <w:rPr>
          <w:rFonts w:ascii="Times New Roman" w:cs="Times New Roman" w:eastAsia="Times New Roman" w:hAnsi="Times New Roman"/>
          <w:sz w:val="19"/>
          <w:szCs w:val="19"/>
          <w:u w:val="single" w:color="auto"/>
          <w:color w:val="auto"/>
        </w:rPr>
        <w:t>Section 3(b)(ii)</w:t>
      </w:r>
      <w:r>
        <w:rPr>
          <w:rFonts w:ascii="Times New Roman" w:cs="Times New Roman" w:eastAsia="Times New Roman" w:hAnsi="Times New Roman"/>
          <w:sz w:val="19"/>
          <w:szCs w:val="19"/>
          <w:color w:val="auto"/>
        </w:rPr>
        <w:t xml:space="preserve">, less amounts already paid under </w:t>
      </w:r>
      <w:r>
        <w:rPr>
          <w:rFonts w:ascii="Times New Roman" w:cs="Times New Roman" w:eastAsia="Times New Roman" w:hAnsi="Times New Roman"/>
          <w:sz w:val="19"/>
          <w:szCs w:val="19"/>
          <w:u w:val="single" w:color="auto"/>
          <w:color w:val="auto"/>
        </w:rPr>
        <w:t>Section 3(a)(ii)</w:t>
      </w:r>
      <w:r>
        <w:rPr>
          <w:rFonts w:ascii="Times New Roman" w:cs="Times New Roman" w:eastAsia="Times New Roman" w:hAnsi="Times New Roman"/>
          <w:sz w:val="19"/>
          <w:szCs w:val="19"/>
          <w:color w:val="auto"/>
        </w:rPr>
        <w:t xml:space="preserve"> and such amount lump-sum amount shall be payable upon the later of (A) the Change of Control, (B) the date the Release (as defined below) is effective and irrevocable; or (C) such later date required by </w:t>
      </w:r>
      <w:r>
        <w:rPr>
          <w:rFonts w:ascii="Times New Roman" w:cs="Times New Roman" w:eastAsia="Times New Roman" w:hAnsi="Times New Roman"/>
          <w:sz w:val="19"/>
          <w:szCs w:val="19"/>
          <w:u w:val="single" w:color="auto"/>
          <w:color w:val="auto"/>
        </w:rPr>
        <w:t>Section 4(c)</w:t>
      </w:r>
      <w:r>
        <w:rPr>
          <w:rFonts w:ascii="Times New Roman" w:cs="Times New Roman" w:eastAsia="Times New Roman" w:hAnsi="Times New Roman"/>
          <w:sz w:val="19"/>
          <w:szCs w:val="19"/>
          <w:color w:val="auto"/>
        </w:rPr>
        <w:t>.</w:t>
      </w:r>
    </w:p>
    <w:p>
      <w:pPr>
        <w:spacing w:after="0" w:line="73" w:lineRule="exact"/>
        <w:rPr>
          <w:rFonts w:ascii="Times New Roman" w:cs="Times New Roman" w:eastAsia="Times New Roman" w:hAnsi="Times New Roman"/>
          <w:sz w:val="19"/>
          <w:szCs w:val="19"/>
          <w:color w:val="auto"/>
        </w:rPr>
      </w:pPr>
    </w:p>
    <w:p>
      <w:pPr>
        <w:jc w:val="both"/>
        <w:ind w:left="5" w:right="20" w:firstLine="1908"/>
        <w:spacing w:after="0" w:line="270" w:lineRule="auto"/>
        <w:tabs>
          <w:tab w:leader="none" w:pos="2446" w:val="left"/>
        </w:tabs>
        <w:numPr>
          <w:ilvl w:val="2"/>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Bonus Payment</w:t>
      </w:r>
      <w:r>
        <w:rPr>
          <w:rFonts w:ascii="Times New Roman" w:cs="Times New Roman" w:eastAsia="Times New Roman" w:hAnsi="Times New Roman"/>
          <w:sz w:val="19"/>
          <w:szCs w:val="19"/>
          <w:color w:val="auto"/>
        </w:rPr>
        <w:t>. Executive will receive a lump-sum payment equal to one hundred fifty percent (150%) of the higher of (A)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w:t>
      </w:r>
    </w:p>
    <w:p>
      <w:pPr>
        <w:sectPr>
          <w:pgSz w:w="11900" w:h="16838" w:orient="portrait"/>
          <w:cols w:equalWidth="0" w:num="1">
            <w:col w:w="10685"/>
          </w:cols>
          <w:pgMar w:left="415" w:top="1406" w:right="799" w:bottom="1440" w:gutter="0" w:footer="0" w:header="0"/>
        </w:sectPr>
      </w:pPr>
    </w:p>
    <w:bookmarkStart w:id="75" w:name="page76"/>
    <w:bookmarkEnd w:id="75"/>
    <w:p>
      <w:pPr>
        <w:jc w:val="both"/>
        <w:ind w:right="20"/>
        <w:spacing w:after="0" w:line="274" w:lineRule="auto"/>
        <w:rPr>
          <w:sz w:val="20"/>
          <w:szCs w:val="20"/>
          <w:color w:val="auto"/>
        </w:rPr>
      </w:pPr>
      <w:r>
        <w:rPr>
          <w:rFonts w:ascii="Times New Roman" w:cs="Times New Roman" w:eastAsia="Times New Roman" w:hAnsi="Times New Roman"/>
          <w:sz w:val="19"/>
          <w:szCs w:val="19"/>
          <w:color w:val="auto"/>
        </w:rPr>
        <w:t xml:space="preserve">the calendar year during which the termination of employment occurs. For avoidance of doubt, the amount paid to Executive pursuant to this </w:t>
      </w:r>
      <w:r>
        <w:rPr>
          <w:rFonts w:ascii="Times New Roman" w:cs="Times New Roman" w:eastAsia="Times New Roman" w:hAnsi="Times New Roman"/>
          <w:sz w:val="19"/>
          <w:szCs w:val="19"/>
          <w:u w:val="single" w:color="auto"/>
          <w:color w:val="auto"/>
        </w:rPr>
        <w:t>Section 3(b)(iii)</w:t>
      </w:r>
      <w:r>
        <w:rPr>
          <w:rFonts w:ascii="Times New Roman" w:cs="Times New Roman" w:eastAsia="Times New Roman" w:hAnsi="Times New Roman"/>
          <w:sz w:val="19"/>
          <w:szCs w:val="19"/>
          <w:color w:val="auto"/>
        </w:rPr>
        <w:t xml:space="preserve"> will not be prorated based on the actual amount of time Executive is employed by the Company during the fiscal year (or the relevant performance period if something different than a fiscal year) during which the termination occurs.</w:t>
      </w:r>
    </w:p>
    <w:p>
      <w:pPr>
        <w:spacing w:after="0" w:line="63" w:lineRule="exact"/>
        <w:rPr>
          <w:sz w:val="20"/>
          <w:szCs w:val="20"/>
          <w:color w:val="auto"/>
        </w:rPr>
      </w:pPr>
    </w:p>
    <w:p>
      <w:pPr>
        <w:jc w:val="both"/>
        <w:ind w:firstLine="1908"/>
        <w:spacing w:after="0" w:line="259" w:lineRule="auto"/>
        <w:tabs>
          <w:tab w:leader="none" w:pos="2456"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Continuation Coverage</w:t>
      </w:r>
      <w:r>
        <w:rPr>
          <w:rFonts w:ascii="Times New Roman" w:cs="Times New Roman" w:eastAsia="Times New Roman" w:hAnsi="Times New Roman"/>
          <w:sz w:val="19"/>
          <w:szCs w:val="19"/>
          <w:color w:val="585858"/>
        </w:rPr>
        <w:t>.</w:t>
      </w:r>
      <w:r>
        <w:rPr>
          <w:rFonts w:ascii="Times New Roman" w:cs="Times New Roman" w:eastAsia="Times New Roman" w:hAnsi="Times New Roman"/>
          <w:sz w:val="19"/>
          <w:szCs w:val="19"/>
          <w:color w:val="auto"/>
        </w:rPr>
        <w:t xml:space="preserve">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w:t>
      </w:r>
      <w:r>
        <w:rPr>
          <w:rFonts w:ascii="Times New Roman" w:cs="Times New Roman" w:eastAsia="Times New Roman" w:hAnsi="Times New Roman"/>
          <w:sz w:val="19"/>
          <w:szCs w:val="19"/>
          <w:u w:val="single" w:color="auto"/>
          <w:color w:val="auto"/>
        </w:rPr>
        <w:t>Section 3(b)(iv)</w:t>
      </w:r>
      <w:r>
        <w:rPr>
          <w:rFonts w:ascii="Times New Roman" w:cs="Times New Roman" w:eastAsia="Times New Roman" w:hAnsi="Times New Roman"/>
          <w:sz w:val="19"/>
          <w:szCs w:val="19"/>
          <w:color w:val="auto"/>
        </w:rPr>
        <w:t>,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 payments. For the avoidance of doubt, the taxable payments in lieu of COBRA reimbursements may be used for any purpose, including, but not limited to continuation coverage under COBRA, and will be subject to all applicable tax withholdings.</w:t>
      </w:r>
    </w:p>
    <w:p>
      <w:pPr>
        <w:spacing w:after="0" w:line="319" w:lineRule="exact"/>
        <w:rPr>
          <w:rFonts w:ascii="Times New Roman" w:cs="Times New Roman" w:eastAsia="Times New Roman" w:hAnsi="Times New Roman"/>
          <w:sz w:val="19"/>
          <w:szCs w:val="19"/>
          <w:color w:val="auto"/>
        </w:rPr>
      </w:pPr>
    </w:p>
    <w:p>
      <w:pPr>
        <w:jc w:val="both"/>
        <w:ind w:right="20" w:firstLine="1908"/>
        <w:spacing w:after="0" w:line="265" w:lineRule="auto"/>
        <w:tabs>
          <w:tab w:leader="none" w:pos="2362"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Accelerated Vesting of Equity Awards</w:t>
      </w:r>
      <w:r>
        <w:rPr>
          <w:rFonts w:ascii="Times New Roman" w:cs="Times New Roman" w:eastAsia="Times New Roman" w:hAnsi="Times New Roman"/>
          <w:sz w:val="19"/>
          <w:szCs w:val="19"/>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70" w:lineRule="exact"/>
        <w:rPr>
          <w:rFonts w:ascii="Times New Roman" w:cs="Times New Roman" w:eastAsia="Times New Roman" w:hAnsi="Times New Roman"/>
          <w:sz w:val="19"/>
          <w:szCs w:val="19"/>
          <w:color w:val="auto"/>
        </w:rPr>
      </w:pPr>
    </w:p>
    <w:p>
      <w:pPr>
        <w:jc w:val="both"/>
        <w:ind w:right="20" w:firstLine="1270"/>
        <w:spacing w:after="0" w:line="266" w:lineRule="auto"/>
        <w:tabs>
          <w:tab w:leader="none" w:pos="1833"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Resignation; Termination for Cause</w:t>
      </w:r>
      <w:r>
        <w:rPr>
          <w:rFonts w:ascii="Times New Roman" w:cs="Times New Roman" w:eastAsia="Times New Roman" w:hAnsi="Times New Roman"/>
          <w:sz w:val="19"/>
          <w:szCs w:val="19"/>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68" w:lineRule="exact"/>
        <w:rPr>
          <w:rFonts w:ascii="Times New Roman" w:cs="Times New Roman" w:eastAsia="Times New Roman" w:hAnsi="Times New Roman"/>
          <w:sz w:val="19"/>
          <w:szCs w:val="19"/>
          <w:color w:val="auto"/>
        </w:rPr>
      </w:pPr>
    </w:p>
    <w:p>
      <w:pPr>
        <w:jc w:val="both"/>
        <w:ind w:right="20" w:firstLine="1270"/>
        <w:spacing w:after="0" w:line="270" w:lineRule="auto"/>
        <w:tabs>
          <w:tab w:leader="none" w:pos="1790"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 Death</w:t>
      </w:r>
      <w:r>
        <w:rPr>
          <w:rFonts w:ascii="Times New Roman" w:cs="Times New Roman" w:eastAsia="Times New Roman" w:hAnsi="Times New Roman"/>
          <w:sz w:val="19"/>
          <w:szCs w:val="19"/>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53" w:lineRule="exact"/>
        <w:rPr>
          <w:rFonts w:ascii="Times New Roman" w:cs="Times New Roman" w:eastAsia="Times New Roman" w:hAnsi="Times New Roman"/>
          <w:sz w:val="19"/>
          <w:szCs w:val="19"/>
          <w:color w:val="auto"/>
        </w:rPr>
      </w:pPr>
    </w:p>
    <w:p>
      <w:pPr>
        <w:jc w:val="both"/>
        <w:ind w:firstLine="1270"/>
        <w:spacing w:after="0" w:line="264" w:lineRule="auto"/>
        <w:tabs>
          <w:tab w:leader="none" w:pos="1700"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Exclusive Remedy</w:t>
      </w:r>
      <w:r>
        <w:rPr>
          <w:rFonts w:ascii="Times New Roman" w:cs="Times New Roman" w:eastAsia="Times New Roman" w:hAnsi="Times New Roman"/>
          <w:sz w:val="19"/>
          <w:szCs w:val="19"/>
          <w:color w:val="auto"/>
        </w:rPr>
        <w:t xml:space="preserve">. In the event of a termination of Executive’s employment as set forth in </w:t>
      </w:r>
      <w:r>
        <w:rPr>
          <w:rFonts w:ascii="Times New Roman" w:cs="Times New Roman" w:eastAsia="Times New Roman" w:hAnsi="Times New Roman"/>
          <w:sz w:val="19"/>
          <w:szCs w:val="19"/>
          <w:u w:val="single" w:color="auto"/>
          <w:color w:val="auto"/>
        </w:rPr>
        <w:t>Section 3(a), (b) or (c)</w:t>
      </w:r>
      <w:r>
        <w:rPr>
          <w:rFonts w:ascii="Times New Roman" w:cs="Times New Roman" w:eastAsia="Times New Roman" w:hAnsi="Times New Roman"/>
          <w:sz w:val="19"/>
          <w:szCs w:val="19"/>
          <w:color w:val="auto"/>
        </w:rPr>
        <w:t xml:space="preserve"> of this Agreement, the provisions of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73" w:lineRule="exact"/>
        <w:rPr>
          <w:rFonts w:ascii="Times New Roman" w:cs="Times New Roman" w:eastAsia="Times New Roman" w:hAnsi="Times New Roman"/>
          <w:sz w:val="19"/>
          <w:szCs w:val="19"/>
          <w:color w:val="auto"/>
        </w:rPr>
      </w:pPr>
    </w:p>
    <w:p>
      <w:pPr>
        <w:ind w:left="980" w:hanging="347"/>
        <w:spacing w:after="0"/>
        <w:tabs>
          <w:tab w:leader="none" w:pos="98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Conditions to Receipt of Severance</w:t>
      </w:r>
    </w:p>
    <w:p>
      <w:pPr>
        <w:sectPr>
          <w:pgSz w:w="11900" w:h="16838" w:orient="portrait"/>
          <w:cols w:equalWidth="0" w:num="1">
            <w:col w:w="10680"/>
          </w:cols>
          <w:pgMar w:left="420" w:top="1406" w:right="799" w:bottom="1440" w:gutter="0" w:footer="0" w:header="0"/>
        </w:sectPr>
      </w:pPr>
    </w:p>
    <w:bookmarkStart w:id="76" w:name="page77"/>
    <w:bookmarkEnd w:id="76"/>
    <w:p>
      <w:pPr>
        <w:jc w:val="both"/>
        <w:ind w:left="-1020" w:right="20" w:firstLine="1270"/>
        <w:spacing w:after="0" w:line="264" w:lineRule="auto"/>
        <w:tabs>
          <w:tab w:leader="none" w:pos="693"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Release of Claims Agreement. The receipt of any severance payments or benefits (other than the accrued benefits set forth in either </w:t>
      </w:r>
      <w:r>
        <w:rPr>
          <w:rFonts w:ascii="Times New Roman" w:cs="Times New Roman" w:eastAsia="Times New Roman" w:hAnsi="Times New Roman"/>
          <w:sz w:val="19"/>
          <w:szCs w:val="19"/>
          <w:u w:val="single" w:color="auto"/>
          <w:color w:val="auto"/>
        </w:rPr>
        <w:t>Sections 3(a)(i) or 3(b)(i))</w:t>
      </w:r>
      <w:r>
        <w:rPr>
          <w:rFonts w:ascii="Times New Roman" w:cs="Times New Roman" w:eastAsia="Times New Roman" w:hAnsi="Times New Roman"/>
          <w:sz w:val="19"/>
          <w:szCs w:val="19"/>
          <w:color w:val="auto"/>
        </w:rPr>
        <w:t xml:space="preserve"> pursuant to this Agreement is subject to Executive signing and not revoking a separation agreement and release of claims in substantially the form attached hereto as Exhibit A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which must become effective and irrevocable no later than the sixtieth (60th) day following Executive’s termination of employment (the “</w:t>
      </w:r>
      <w:r>
        <w:rPr>
          <w:rFonts w:ascii="Times New Roman" w:cs="Times New Roman" w:eastAsia="Times New Roman" w:hAnsi="Times New Roman"/>
          <w:sz w:val="19"/>
          <w:szCs w:val="19"/>
          <w:b w:val="1"/>
          <w:bCs w:val="1"/>
          <w:i w:val="1"/>
          <w:iCs w:val="1"/>
          <w:color w:val="auto"/>
        </w:rPr>
        <w:t>Release Deadline</w:t>
      </w:r>
      <w:r>
        <w:rPr>
          <w:rFonts w:ascii="Times New Roman" w:cs="Times New Roman" w:eastAsia="Times New Roman" w:hAnsi="Times New Roman"/>
          <w:sz w:val="19"/>
          <w:szCs w:val="19"/>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59" w:lineRule="exact"/>
        <w:rPr>
          <w:rFonts w:ascii="Times New Roman" w:cs="Times New Roman" w:eastAsia="Times New Roman" w:hAnsi="Times New Roman"/>
          <w:sz w:val="19"/>
          <w:szCs w:val="19"/>
          <w:color w:val="auto"/>
        </w:rPr>
      </w:pPr>
    </w:p>
    <w:p>
      <w:pPr>
        <w:jc w:val="both"/>
        <w:ind w:left="-1020" w:right="20" w:firstLine="1270"/>
        <w:spacing w:after="0" w:line="270" w:lineRule="auto"/>
        <w:tabs>
          <w:tab w:leader="none" w:pos="70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 and Invention Assignment Agreements</w:t>
      </w:r>
      <w:r>
        <w:rPr>
          <w:rFonts w:ascii="Times New Roman" w:cs="Times New Roman" w:eastAsia="Times New Roman" w:hAnsi="Times New Roman"/>
          <w:sz w:val="19"/>
          <w:szCs w:val="19"/>
          <w:color w:val="auto"/>
        </w:rPr>
        <w:t xml:space="preserve">. Executive’s receipt of any payments or benefits under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(other than the accrued benefits set forth in either </w:t>
      </w:r>
      <w:r>
        <w:rPr>
          <w:rFonts w:ascii="Times New Roman" w:cs="Times New Roman" w:eastAsia="Times New Roman" w:hAnsi="Times New Roman"/>
          <w:sz w:val="19"/>
          <w:szCs w:val="19"/>
          <w:u w:val="single" w:color="auto"/>
          <w:color w:val="auto"/>
        </w:rPr>
        <w:t>Sections 3(a)(i) or 3(b)(i))</w:t>
      </w:r>
      <w:r>
        <w:rPr>
          <w:rFonts w:ascii="Times New Roman" w:cs="Times New Roman" w:eastAsia="Times New Roman" w:hAnsi="Times New Roman"/>
          <w:sz w:val="19"/>
          <w:szCs w:val="19"/>
          <w:color w:val="auto"/>
        </w:rPr>
        <w:t xml:space="preserve"> will be subject to Executive continuing to comply with the terms of the Confidentiality Agreement, dated on or about March 23, 2026, between the Company and Executive, as such agreement may be amended from time to time.</w:t>
      </w:r>
    </w:p>
    <w:p>
      <w:pPr>
        <w:spacing w:after="0" w:line="67" w:lineRule="exact"/>
        <w:rPr>
          <w:rFonts w:ascii="Times New Roman" w:cs="Times New Roman" w:eastAsia="Times New Roman" w:hAnsi="Times New Roman"/>
          <w:sz w:val="19"/>
          <w:szCs w:val="19"/>
          <w:color w:val="auto"/>
        </w:rPr>
      </w:pPr>
    </w:p>
    <w:p>
      <w:pPr>
        <w:ind w:left="660" w:hanging="409"/>
        <w:spacing w:after="0"/>
        <w:tabs>
          <w:tab w:leader="none" w:pos="6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113" w:lineRule="exact"/>
        <w:rPr>
          <w:rFonts w:ascii="Times New Roman" w:cs="Times New Roman" w:eastAsia="Times New Roman" w:hAnsi="Times New Roman"/>
          <w:sz w:val="19"/>
          <w:szCs w:val="19"/>
          <w:color w:val="auto"/>
        </w:rPr>
      </w:pPr>
    </w:p>
    <w:p>
      <w:pPr>
        <w:jc w:val="both"/>
        <w:ind w:left="-1020" w:firstLine="1908"/>
        <w:spacing w:after="0" w:line="264" w:lineRule="auto"/>
        <w:tabs>
          <w:tab w:leader="none" w:pos="1347"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Times New Roman" w:cs="Times New Roman" w:eastAsia="Times New Roman" w:hAnsi="Times New Roman"/>
          <w:sz w:val="19"/>
          <w:szCs w:val="19"/>
          <w:b w:val="1"/>
          <w:bCs w:val="1"/>
          <w:i w:val="1"/>
          <w:iCs w:val="1"/>
          <w:color w:val="auto"/>
        </w:rPr>
        <w:t>Section 409A</w:t>
      </w:r>
      <w:r>
        <w:rPr>
          <w:rFonts w:ascii="Times New Roman" w:cs="Times New Roman" w:eastAsia="Times New Roman" w:hAnsi="Times New Roman"/>
          <w:sz w:val="19"/>
          <w:szCs w:val="19"/>
          <w:color w:val="auto"/>
        </w:rPr>
        <w:t>”) (together, the “</w:t>
      </w:r>
      <w:r>
        <w:rPr>
          <w:rFonts w:ascii="Times New Roman" w:cs="Times New Roman" w:eastAsia="Times New Roman" w:hAnsi="Times New Roman"/>
          <w:sz w:val="19"/>
          <w:szCs w:val="19"/>
          <w:b w:val="1"/>
          <w:bCs w:val="1"/>
          <w:i w:val="1"/>
          <w:iCs w:val="1"/>
          <w:color w:val="auto"/>
        </w:rPr>
        <w:t>Deferred Payments</w:t>
      </w:r>
      <w:r>
        <w:rPr>
          <w:rFonts w:ascii="Times New Roman" w:cs="Times New Roman" w:eastAsia="Times New Roman" w:hAnsi="Times New Roman"/>
          <w:sz w:val="19"/>
          <w:szCs w:val="19"/>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72" w:lineRule="exact"/>
        <w:rPr>
          <w:rFonts w:ascii="Times New Roman" w:cs="Times New Roman" w:eastAsia="Times New Roman" w:hAnsi="Times New Roman"/>
          <w:sz w:val="19"/>
          <w:szCs w:val="19"/>
          <w:color w:val="auto"/>
        </w:rPr>
      </w:pPr>
    </w:p>
    <w:p>
      <w:pPr>
        <w:jc w:val="both"/>
        <w:ind w:left="-1020" w:right="20" w:firstLine="1908"/>
        <w:spacing w:after="0"/>
        <w:tabs>
          <w:tab w:leader="none" w:pos="1501"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It is intended that none of the severance payments under this Agreement will constitute Deferred Payments but rather will be exempt from Section 409A as a payment that would fall within the </w:t>
      </w:r>
      <w:r>
        <w:rPr>
          <w:rFonts w:ascii="Times New Roman" w:cs="Times New Roman" w:eastAsia="Times New Roman" w:hAnsi="Times New Roman"/>
          <w:sz w:val="19"/>
          <w:szCs w:val="19"/>
          <w:color w:val="343436"/>
        </w:rPr>
        <w:t>“short-term</w:t>
      </w:r>
      <w:r>
        <w:rPr>
          <w:rFonts w:ascii="Times New Roman" w:cs="Times New Roman" w:eastAsia="Times New Roman" w:hAnsi="Times New Roman"/>
          <w:sz w:val="19"/>
          <w:szCs w:val="19"/>
          <w:color w:val="auto"/>
        </w:rPr>
        <w:t xml:space="preserve"> deferral period” as described in </w:t>
      </w:r>
      <w:r>
        <w:rPr>
          <w:rFonts w:ascii="Times New Roman" w:cs="Times New Roman" w:eastAsia="Times New Roman" w:hAnsi="Times New Roman"/>
          <w:sz w:val="19"/>
          <w:szCs w:val="19"/>
          <w:u w:val="single" w:color="auto"/>
          <w:color w:val="auto"/>
        </w:rPr>
        <w:t>Section 4(c)(iv)</w:t>
      </w:r>
      <w:r>
        <w:rPr>
          <w:rFonts w:ascii="Times New Roman" w:cs="Times New Roman" w:eastAsia="Times New Roman" w:hAnsi="Times New Roman"/>
          <w:sz w:val="19"/>
          <w:szCs w:val="19"/>
          <w:color w:val="auto"/>
        </w:rPr>
        <w:t xml:space="preserve"> below or resulting from an involuntary separation from service as described in </w:t>
      </w:r>
      <w:r>
        <w:rPr>
          <w:rFonts w:ascii="Times New Roman" w:cs="Times New Roman" w:eastAsia="Times New Roman" w:hAnsi="Times New Roman"/>
          <w:sz w:val="19"/>
          <w:szCs w:val="19"/>
          <w:u w:val="single" w:color="auto"/>
          <w:color w:val="auto"/>
        </w:rPr>
        <w:t>Section 4(c)(v)</w:t>
      </w:r>
      <w:r>
        <w:rPr>
          <w:rFonts w:ascii="Times New Roman" w:cs="Times New Roman" w:eastAsia="Times New Roman" w:hAnsi="Times New Roman"/>
          <w:sz w:val="19"/>
          <w:szCs w:val="19"/>
          <w:color w:val="auto"/>
        </w:rPr>
        <w:t xml:space="preserve"> below. Any severance payments or benefits under this Agreement will be paid on, or, in the case of installments, will commence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xml:space="preserve">) day following Executive’s separation from service, or, if later, such time as required by Section 4(c)(iii). Except as required by </w:t>
      </w:r>
      <w:r>
        <w:rPr>
          <w:rFonts w:ascii="Times New Roman" w:cs="Times New Roman" w:eastAsia="Times New Roman" w:hAnsi="Times New Roman"/>
          <w:sz w:val="19"/>
          <w:szCs w:val="19"/>
          <w:u w:val="single" w:color="auto"/>
          <w:color w:val="auto"/>
        </w:rPr>
        <w:t>Section 4(c)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any installment payments that would have been made to Executive during the sixty (60) day period immediately following Executive’s separation from service but for the preceding sentence will be paid to Executive on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9"/>
          <w:szCs w:val="19"/>
          <w:color w:val="auto"/>
        </w:rPr>
        <w:t>) day following Executive’s separation from service and the remaining payments will be made as provided in this Agreement.</w:t>
      </w:r>
    </w:p>
    <w:p>
      <w:pPr>
        <w:spacing w:after="0" w:line="82" w:lineRule="exact"/>
        <w:rPr>
          <w:rFonts w:ascii="Times New Roman" w:cs="Times New Roman" w:eastAsia="Times New Roman" w:hAnsi="Times New Roman"/>
          <w:sz w:val="19"/>
          <w:szCs w:val="19"/>
          <w:color w:val="auto"/>
        </w:rPr>
      </w:pPr>
    </w:p>
    <w:p>
      <w:pPr>
        <w:jc w:val="both"/>
        <w:ind w:left="-1020" w:firstLine="1908"/>
        <w:spacing w:after="0" w:line="262" w:lineRule="auto"/>
        <w:tabs>
          <w:tab w:leader="none" w:pos="1503"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(I)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ectPr>
          <w:pgSz w:w="11900" w:h="16838" w:orient="portrait"/>
          <w:cols w:equalWidth="0" w:num="1">
            <w:col w:w="9660"/>
          </w:cols>
          <w:pgMar w:left="1440" w:top="1406" w:right="799" w:bottom="1440" w:gutter="0" w:footer="0" w:header="0"/>
        </w:sectPr>
      </w:pPr>
    </w:p>
    <w:bookmarkStart w:id="77" w:name="page78"/>
    <w:bookmarkEnd w:id="77"/>
    <w:p>
      <w:pPr>
        <w:ind w:right="20" w:firstLine="1908"/>
        <w:spacing w:after="0" w:line="301" w:lineRule="auto"/>
        <w:tabs>
          <w:tab w:leader="none" w:pos="2385" w:val="left"/>
        </w:tabs>
        <w:numPr>
          <w:ilvl w:val="2"/>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23" w:lineRule="exact"/>
        <w:rPr>
          <w:rFonts w:ascii="Times New Roman" w:cs="Times New Roman" w:eastAsia="Times New Roman" w:hAnsi="Times New Roman"/>
          <w:sz w:val="19"/>
          <w:szCs w:val="19"/>
          <w:color w:val="auto"/>
        </w:rPr>
      </w:pPr>
    </w:p>
    <w:p>
      <w:pPr>
        <w:jc w:val="both"/>
        <w:ind w:firstLine="1908"/>
        <w:spacing w:after="0" w:line="282" w:lineRule="auto"/>
        <w:tabs>
          <w:tab w:leader="none" w:pos="2409" w:val="left"/>
        </w:tabs>
        <w:numPr>
          <w:ilvl w:val="2"/>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40" w:lineRule="exact"/>
        <w:rPr>
          <w:rFonts w:ascii="Times New Roman" w:cs="Times New Roman" w:eastAsia="Times New Roman" w:hAnsi="Times New Roman"/>
          <w:sz w:val="19"/>
          <w:szCs w:val="19"/>
          <w:color w:val="auto"/>
        </w:rPr>
      </w:pPr>
    </w:p>
    <w:p>
      <w:pPr>
        <w:jc w:val="both"/>
        <w:ind w:firstLine="1908"/>
        <w:spacing w:after="0" w:line="268" w:lineRule="auto"/>
        <w:tabs>
          <w:tab w:leader="none" w:pos="2426" w:val="left"/>
        </w:tabs>
        <w:numPr>
          <w:ilvl w:val="2"/>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56" w:lineRule="exact"/>
        <w:rPr>
          <w:rFonts w:ascii="Times New Roman" w:cs="Times New Roman" w:eastAsia="Times New Roman" w:hAnsi="Times New Roman"/>
          <w:sz w:val="19"/>
          <w:szCs w:val="19"/>
          <w:color w:val="auto"/>
        </w:rPr>
      </w:pPr>
    </w:p>
    <w:p>
      <w:pPr>
        <w:jc w:val="both"/>
        <w:ind w:firstLine="632"/>
        <w:spacing w:after="0" w:line="267" w:lineRule="auto"/>
        <w:tabs>
          <w:tab w:leader="none" w:pos="1058"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Limitation on Payments</w:t>
      </w:r>
      <w:r>
        <w:rPr>
          <w:rFonts w:ascii="Times New Roman" w:cs="Times New Roman" w:eastAsia="Times New Roman" w:hAnsi="Times New Roman"/>
          <w:sz w:val="19"/>
          <w:szCs w:val="19"/>
          <w:color w:val="auto"/>
        </w:rPr>
        <w:t xml:space="preserve">. In the event that the severance and other benefits provided for in this Agreement or otherwise payable to Executive (i) constitute “parachute payments” within the meaning of Section 280G of the Code, and (ii) but for this </w:t>
      </w:r>
      <w:r>
        <w:rPr>
          <w:rFonts w:ascii="Times New Roman" w:cs="Times New Roman" w:eastAsia="Times New Roman" w:hAnsi="Times New Roman"/>
          <w:sz w:val="19"/>
          <w:szCs w:val="19"/>
          <w:u w:val="single" w:color="auto"/>
          <w:color w:val="auto"/>
        </w:rPr>
        <w:t>Section</w:t>
      </w:r>
    </w:p>
    <w:p>
      <w:pPr>
        <w:spacing w:after="0" w:line="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5</w:t>
      </w:r>
      <w:r>
        <w:rPr>
          <w:rFonts w:ascii="Times New Roman" w:cs="Times New Roman" w:eastAsia="Times New Roman" w:hAnsi="Times New Roman"/>
          <w:sz w:val="19"/>
          <w:szCs w:val="19"/>
          <w:color w:val="auto"/>
        </w:rPr>
        <w:t xml:space="preserve">, would be subject to the excise tax imposed by Section 4999 of the Code, then Executive’s benefits under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will be either:</w:t>
      </w:r>
    </w:p>
    <w:p>
      <w:pPr>
        <w:spacing w:after="0" w:line="105" w:lineRule="exact"/>
        <w:rPr>
          <w:rFonts w:ascii="Times New Roman" w:cs="Times New Roman" w:eastAsia="Times New Roman" w:hAnsi="Times New Roman"/>
          <w:sz w:val="19"/>
          <w:szCs w:val="19"/>
          <w:color w:val="auto"/>
        </w:rPr>
      </w:pPr>
    </w:p>
    <w:p>
      <w:pPr>
        <w:ind w:left="1680" w:hanging="409"/>
        <w:spacing w:after="0"/>
        <w:tabs>
          <w:tab w:leader="none" w:pos="168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delivered in full, or</w:t>
      </w:r>
    </w:p>
    <w:p>
      <w:pPr>
        <w:spacing w:after="0" w:line="127" w:lineRule="exact"/>
        <w:rPr>
          <w:rFonts w:ascii="Times New Roman" w:cs="Times New Roman" w:eastAsia="Times New Roman" w:hAnsi="Times New Roman"/>
          <w:sz w:val="19"/>
          <w:szCs w:val="19"/>
          <w:color w:val="auto"/>
        </w:rPr>
      </w:pPr>
    </w:p>
    <w:p>
      <w:pPr>
        <w:jc w:val="both"/>
        <w:ind w:firstLine="1270"/>
        <w:spacing w:after="0" w:line="260" w:lineRule="auto"/>
        <w:tabs>
          <w:tab w:leader="none" w:pos="1772"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77" w:lineRule="exact"/>
        <w:rPr>
          <w:sz w:val="20"/>
          <w:szCs w:val="20"/>
          <w:color w:val="auto"/>
        </w:rPr>
      </w:pPr>
    </w:p>
    <w:p>
      <w:pPr>
        <w:jc w:val="both"/>
        <w:ind w:firstLine="637"/>
        <w:spacing w:after="0" w:line="262" w:lineRule="auto"/>
        <w:rPr>
          <w:sz w:val="20"/>
          <w:szCs w:val="20"/>
          <w:color w:val="auto"/>
        </w:rPr>
      </w:pPr>
      <w:r>
        <w:rPr>
          <w:rFonts w:ascii="Times New Roman" w:cs="Times New Roman" w:eastAsia="Times New Roman" w:hAnsi="Times New Roman"/>
          <w:sz w:val="19"/>
          <w:szCs w:val="19"/>
          <w:color w:val="auto"/>
        </w:rPr>
        <w:t xml:space="preserve">Unless the Company and Executive otherwise agree in writing, any determination required under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will be made in writing by the Company’s independent public accountants immediately prior to a Change of Control or such other person or entity to which the parties mutually agree (the “</w:t>
      </w:r>
      <w:r>
        <w:rPr>
          <w:rFonts w:ascii="Times New Roman" w:cs="Times New Roman" w:eastAsia="Times New Roman" w:hAnsi="Times New Roman"/>
          <w:sz w:val="19"/>
          <w:szCs w:val="19"/>
          <w:b w:val="1"/>
          <w:bCs w:val="1"/>
          <w:i w:val="1"/>
          <w:iCs w:val="1"/>
          <w:color w:val="auto"/>
        </w:rPr>
        <w:t>Firm</w:t>
      </w:r>
      <w:r>
        <w:rPr>
          <w:rFonts w:ascii="Times New Roman" w:cs="Times New Roman" w:eastAsia="Times New Roman" w:hAnsi="Times New Roman"/>
          <w:sz w:val="19"/>
          <w:szCs w:val="19"/>
          <w:color w:val="auto"/>
        </w:rPr>
        <w:t xml:space="preserve">”), whose determination will be conclusive and binding upon Executive and the Company. For purposes of making the calculations required by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w:t>
      </w:r>
    </w:p>
    <w:p>
      <w:pPr>
        <w:spacing w:after="0" w:line="73" w:lineRule="exact"/>
        <w:rPr>
          <w:sz w:val="20"/>
          <w:szCs w:val="20"/>
          <w:color w:val="auto"/>
        </w:rPr>
      </w:pPr>
    </w:p>
    <w:p>
      <w:pPr>
        <w:ind w:left="980" w:hanging="348"/>
        <w:spacing w:after="0"/>
        <w:tabs>
          <w:tab w:leader="none" w:pos="98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 of Terms</w:t>
      </w:r>
      <w:r>
        <w:rPr>
          <w:rFonts w:ascii="Times New Roman" w:cs="Times New Roman" w:eastAsia="Times New Roman" w:hAnsi="Times New Roman"/>
          <w:sz w:val="19"/>
          <w:szCs w:val="19"/>
          <w:color w:val="auto"/>
        </w:rPr>
        <w:t>. The following terms referred to in this Agreement will have the following meanings:</w:t>
      </w:r>
    </w:p>
    <w:p>
      <w:pPr>
        <w:spacing w:after="0" w:line="109" w:lineRule="exact"/>
        <w:rPr>
          <w:rFonts w:ascii="Times New Roman" w:cs="Times New Roman" w:eastAsia="Times New Roman" w:hAnsi="Times New Roman"/>
          <w:sz w:val="19"/>
          <w:szCs w:val="19"/>
          <w:color w:val="auto"/>
        </w:rPr>
      </w:pPr>
    </w:p>
    <w:p>
      <w:pPr>
        <w:ind w:left="1720" w:hanging="449"/>
        <w:spacing w:after="0"/>
        <w:tabs>
          <w:tab w:leader="none" w:pos="1720"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will mean:</w:t>
      </w:r>
    </w:p>
    <w:p>
      <w:pPr>
        <w:spacing w:after="0" w:line="131" w:lineRule="exact"/>
        <w:rPr>
          <w:rFonts w:ascii="Times New Roman" w:cs="Times New Roman" w:eastAsia="Times New Roman" w:hAnsi="Times New Roman"/>
          <w:sz w:val="19"/>
          <w:szCs w:val="19"/>
          <w:color w:val="auto"/>
        </w:rPr>
      </w:pPr>
    </w:p>
    <w:p>
      <w:pPr>
        <w:ind w:left="2360" w:hanging="452"/>
        <w:spacing w:after="0"/>
        <w:tabs>
          <w:tab w:leader="none" w:pos="2360" w:val="left"/>
        </w:tabs>
        <w:numPr>
          <w:ilvl w:val="2"/>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willful or grossly negligent failure of the Executive to substantially perform his or her duties as an</w:t>
      </w:r>
    </w:p>
    <w:p>
      <w:pPr>
        <w:spacing w:after="0" w:line="2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of the Company;</w:t>
      </w:r>
    </w:p>
    <w:p>
      <w:pPr>
        <w:spacing w:after="0" w:line="105" w:lineRule="exact"/>
        <w:rPr>
          <w:rFonts w:ascii="Times New Roman" w:cs="Times New Roman" w:eastAsia="Times New Roman" w:hAnsi="Times New Roman"/>
          <w:sz w:val="19"/>
          <w:szCs w:val="19"/>
          <w:color w:val="auto"/>
        </w:rPr>
      </w:pPr>
    </w:p>
    <w:p>
      <w:pPr>
        <w:ind w:left="2340" w:hanging="430"/>
        <w:spacing w:after="0"/>
        <w:tabs>
          <w:tab w:leader="none" w:pos="2340" w:val="left"/>
        </w:tabs>
        <w:numPr>
          <w:ilvl w:val="2"/>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commission of a gross misconduct which is injurious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-629920</wp:posOffset>
            </wp:positionV>
            <wp:extent cx="254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10680"/>
          </w:cols>
          <w:pgMar w:left="420" w:top="1406" w:right="7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9"/>
          <w:szCs w:val="19"/>
          <w:color w:val="auto"/>
        </w:rPr>
        <w:t>Company;</w:t>
      </w:r>
    </w:p>
    <w:p>
      <w:pPr>
        <w:spacing w:after="0" w:line="127" w:lineRule="exact"/>
        <w:rPr>
          <w:sz w:val="20"/>
          <w:szCs w:val="20"/>
          <w:color w:val="auto"/>
        </w:rPr>
      </w:pPr>
    </w:p>
    <w:p>
      <w:pPr>
        <w:ind w:left="2400" w:hanging="492"/>
        <w:spacing w:after="0"/>
        <w:tabs>
          <w:tab w:leader="none" w:pos="24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breach of a material provision of any agreement between Executive and the Company;</w:t>
      </w:r>
    </w:p>
    <w:p>
      <w:pPr>
        <w:spacing w:after="0" w:line="113" w:lineRule="exact"/>
        <w:rPr>
          <w:rFonts w:ascii="Times New Roman" w:cs="Times New Roman" w:eastAsia="Times New Roman" w:hAnsi="Times New Roman"/>
          <w:sz w:val="19"/>
          <w:szCs w:val="19"/>
          <w:color w:val="auto"/>
        </w:rPr>
      </w:pPr>
    </w:p>
    <w:p>
      <w:pPr>
        <w:ind w:left="2400" w:hanging="492"/>
        <w:spacing w:after="0"/>
        <w:tabs>
          <w:tab w:leader="none" w:pos="240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material and willful violation of a federal or state law or regulation applicable to the business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Company;</w:t>
      </w:r>
    </w:p>
    <w:p>
      <w:pPr>
        <w:spacing w:after="0" w:line="113" w:lineRule="exact"/>
        <w:rPr>
          <w:sz w:val="20"/>
          <w:szCs w:val="20"/>
          <w:color w:val="auto"/>
        </w:rPr>
      </w:pPr>
    </w:p>
    <w:p>
      <w:pPr>
        <w:ind w:right="20" w:firstLine="1908"/>
        <w:spacing w:after="0" w:line="286" w:lineRule="auto"/>
        <w:tabs>
          <w:tab w:leader="none" w:pos="2545"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misappropriation or embezzlement of Company funds or Executive’s act of fraud or dishonesty upon the Company; or</w:t>
      </w:r>
    </w:p>
    <w:p>
      <w:pPr>
        <w:spacing w:after="0" w:line="51" w:lineRule="exact"/>
        <w:rPr>
          <w:rFonts w:ascii="Times New Roman" w:cs="Times New Roman" w:eastAsia="Times New Roman" w:hAnsi="Times New Roman"/>
          <w:sz w:val="19"/>
          <w:szCs w:val="19"/>
          <w:color w:val="auto"/>
        </w:rPr>
      </w:pPr>
    </w:p>
    <w:p>
      <w:pPr>
        <w:ind w:right="20" w:firstLine="1908"/>
        <w:spacing w:after="0" w:line="286" w:lineRule="auto"/>
        <w:tabs>
          <w:tab w:leader="none" w:pos="2432"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conviction of, or plea of nolo contendere, to a felony (other than motor vehicle offenses the effect of which do not materially impair Executive’s performance of Executive’s duties for the Company).</w:t>
      </w:r>
    </w:p>
    <w:p>
      <w:pPr>
        <w:spacing w:after="0" w:line="5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9"/>
          <w:szCs w:val="19"/>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6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 xml:space="preserve">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above, and the term “Company” will be interpreted to include any subsidiary, parent, affiliate or successor thereto, if applicable.</w:t>
      </w:r>
    </w:p>
    <w:p>
      <w:pPr>
        <w:spacing w:after="0" w:line="50" w:lineRule="exact"/>
        <w:rPr>
          <w:sz w:val="20"/>
          <w:szCs w:val="20"/>
          <w:color w:val="auto"/>
        </w:rPr>
      </w:pPr>
    </w:p>
    <w:p>
      <w:pPr>
        <w:ind w:left="1700" w:hanging="430"/>
        <w:spacing w:after="0"/>
        <w:tabs>
          <w:tab w:leader="none" w:pos="17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means the occurrence of any of the following events:</w:t>
      </w:r>
    </w:p>
    <w:p>
      <w:pPr>
        <w:spacing w:after="0" w:line="131" w:lineRule="exact"/>
        <w:rPr>
          <w:rFonts w:ascii="Times New Roman" w:cs="Times New Roman" w:eastAsia="Times New Roman" w:hAnsi="Times New Roman"/>
          <w:sz w:val="19"/>
          <w:szCs w:val="19"/>
          <w:color w:val="auto"/>
        </w:rPr>
      </w:pPr>
    </w:p>
    <w:p>
      <w:pPr>
        <w:jc w:val="both"/>
        <w:ind w:right="20" w:firstLine="1908"/>
        <w:spacing w:after="0" w:line="265" w:lineRule="auto"/>
        <w:tabs>
          <w:tab w:leader="none" w:pos="2284"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ownership of the Company which occurs on the date that any one person, or more than one person acting as a group (“</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70" w:lineRule="exact"/>
        <w:rPr>
          <w:rFonts w:ascii="Times New Roman" w:cs="Times New Roman" w:eastAsia="Times New Roman" w:hAnsi="Times New Roman"/>
          <w:sz w:val="19"/>
          <w:szCs w:val="19"/>
          <w:color w:val="auto"/>
        </w:rPr>
      </w:pPr>
    </w:p>
    <w:p>
      <w:pPr>
        <w:jc w:val="both"/>
        <w:ind w:right="20" w:firstLine="1908"/>
        <w:spacing w:after="0" w:line="265" w:lineRule="auto"/>
        <w:tabs>
          <w:tab w:leader="none" w:pos="2357"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70" w:lineRule="exact"/>
        <w:rPr>
          <w:rFonts w:ascii="Times New Roman" w:cs="Times New Roman" w:eastAsia="Times New Roman" w:hAnsi="Times New Roman"/>
          <w:sz w:val="19"/>
          <w:szCs w:val="19"/>
          <w:color w:val="auto"/>
        </w:rPr>
      </w:pPr>
    </w:p>
    <w:p>
      <w:pPr>
        <w:jc w:val="both"/>
        <w:ind w:firstLine="1908"/>
        <w:spacing w:after="0" w:line="260" w:lineRule="auto"/>
        <w:tabs>
          <w:tab w:leader="none" w:pos="2405"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w:t>
      </w:r>
    </w:p>
    <w:p>
      <w:pPr>
        <w:sectPr>
          <w:pgSz w:w="11900" w:h="16838" w:orient="portrait"/>
          <w:cols w:equalWidth="0" w:num="1">
            <w:col w:w="10680"/>
          </w:cols>
          <w:pgMar w:left="420" w:top="1406" w:right="799" w:bottom="1440" w:gutter="0" w:footer="0" w:header="0"/>
        </w:sectPr>
      </w:pPr>
    </w:p>
    <w:bookmarkStart w:id="79" w:name="page80"/>
    <w:bookmarkEnd w:id="79"/>
    <w:p>
      <w:pPr>
        <w:jc w:val="both"/>
        <w:ind w:right="20"/>
        <w:spacing w:after="0" w:line="274" w:lineRule="auto"/>
        <w:rPr>
          <w:sz w:val="20"/>
          <w:szCs w:val="20"/>
          <w:color w:val="auto"/>
        </w:rPr>
      </w:pPr>
      <w:r>
        <w:rPr>
          <w:rFonts w:ascii="Times New Roman" w:cs="Times New Roman" w:eastAsia="Times New Roman" w:hAnsi="Times New Roman"/>
          <w:sz w:val="19"/>
          <w:szCs w:val="19"/>
          <w:color w:val="auto"/>
        </w:rPr>
        <w:t>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63" w:lineRule="exact"/>
        <w:rPr>
          <w:sz w:val="20"/>
          <w:szCs w:val="20"/>
          <w:color w:val="auto"/>
        </w:rPr>
      </w:pPr>
    </w:p>
    <w:p>
      <w:pPr>
        <w:jc w:val="both"/>
        <w:ind w:right="20" w:firstLine="637"/>
        <w:spacing w:after="0" w:line="301" w:lineRule="auto"/>
        <w:rPr>
          <w:sz w:val="20"/>
          <w:szCs w:val="20"/>
          <w:color w:val="auto"/>
        </w:rPr>
      </w:pPr>
      <w:r>
        <w:rPr>
          <w:rFonts w:ascii="Times New Roman" w:cs="Times New Roman" w:eastAsia="Times New Roman" w:hAnsi="Times New Roman"/>
          <w:sz w:val="19"/>
          <w:szCs w:val="19"/>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4" w:lineRule="exact"/>
        <w:rPr>
          <w:sz w:val="20"/>
          <w:szCs w:val="20"/>
          <w:color w:val="auto"/>
        </w:rPr>
      </w:pPr>
    </w:p>
    <w:p>
      <w:pPr>
        <w:jc w:val="both"/>
        <w:ind w:firstLine="637"/>
        <w:spacing w:after="0" w:line="270" w:lineRule="auto"/>
        <w:rPr>
          <w:sz w:val="20"/>
          <w:szCs w:val="20"/>
          <w:color w:val="auto"/>
        </w:rPr>
      </w:pPr>
      <w:r>
        <w:rPr>
          <w:rFonts w:ascii="Times New Roman" w:cs="Times New Roman" w:eastAsia="Times New Roman" w:hAnsi="Times New Roman"/>
          <w:sz w:val="19"/>
          <w:szCs w:val="19"/>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67" w:lineRule="exact"/>
        <w:rPr>
          <w:sz w:val="20"/>
          <w:szCs w:val="20"/>
          <w:color w:val="auto"/>
        </w:rPr>
      </w:pPr>
    </w:p>
    <w:p>
      <w:pPr>
        <w:jc w:val="both"/>
        <w:ind w:right="20" w:firstLine="637"/>
        <w:spacing w:after="0" w:line="274" w:lineRule="auto"/>
        <w:rPr>
          <w:sz w:val="20"/>
          <w:szCs w:val="20"/>
          <w:color w:val="auto"/>
        </w:rPr>
      </w:pPr>
      <w:r>
        <w:rPr>
          <w:rFonts w:ascii="Times New Roman" w:cs="Times New Roman" w:eastAsia="Times New Roman" w:hAnsi="Times New Roman"/>
          <w:sz w:val="19"/>
          <w:szCs w:val="19"/>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45" w:lineRule="exact"/>
        <w:rPr>
          <w:sz w:val="20"/>
          <w:szCs w:val="20"/>
          <w:color w:val="auto"/>
        </w:rPr>
      </w:pPr>
    </w:p>
    <w:p>
      <w:pPr>
        <w:ind w:right="20" w:firstLine="1270"/>
        <w:spacing w:after="0" w:line="305" w:lineRule="auto"/>
        <w:tabs>
          <w:tab w:leader="none" w:pos="1713"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 Period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Change of Control Period</w:t>
      </w:r>
      <w:r>
        <w:rPr>
          <w:rFonts w:ascii="Times New Roman" w:cs="Times New Roman" w:eastAsia="Times New Roman" w:hAnsi="Times New Roman"/>
          <w:sz w:val="19"/>
          <w:szCs w:val="19"/>
          <w:color w:val="auto"/>
        </w:rPr>
        <w:t>’’ will mean the period beginning two (2) months prior to, and ending twelve (12) months following, a Change of Control.</w:t>
      </w:r>
    </w:p>
    <w:p>
      <w:pPr>
        <w:spacing w:after="0" w:line="29" w:lineRule="exact"/>
        <w:rPr>
          <w:rFonts w:ascii="Times New Roman" w:cs="Times New Roman" w:eastAsia="Times New Roman" w:hAnsi="Times New Roman"/>
          <w:sz w:val="19"/>
          <w:szCs w:val="19"/>
          <w:color w:val="auto"/>
        </w:rPr>
      </w:pPr>
    </w:p>
    <w:p>
      <w:pPr>
        <w:ind w:left="1700" w:hanging="428"/>
        <w:spacing w:after="0"/>
        <w:tabs>
          <w:tab w:leader="none" w:pos="17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will mean the Internal Revenue Code of 1986, as amended.</w:t>
      </w:r>
    </w:p>
    <w:p>
      <w:pPr>
        <w:spacing w:after="0" w:line="113" w:lineRule="exact"/>
        <w:rPr>
          <w:rFonts w:ascii="Times New Roman" w:cs="Times New Roman" w:eastAsia="Times New Roman" w:hAnsi="Times New Roman"/>
          <w:sz w:val="19"/>
          <w:szCs w:val="19"/>
          <w:color w:val="auto"/>
        </w:rPr>
      </w:pPr>
    </w:p>
    <w:p>
      <w:pPr>
        <w:jc w:val="both"/>
        <w:ind w:right="20" w:firstLine="1270"/>
        <w:spacing w:after="0" w:line="265" w:lineRule="auto"/>
        <w:tabs>
          <w:tab w:leader="none" w:pos="1726"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53" w:lineRule="exact"/>
        <w:rPr>
          <w:rFonts w:ascii="Times New Roman" w:cs="Times New Roman" w:eastAsia="Times New Roman" w:hAnsi="Times New Roman"/>
          <w:sz w:val="19"/>
          <w:szCs w:val="19"/>
          <w:color w:val="auto"/>
        </w:rPr>
      </w:pPr>
    </w:p>
    <w:p>
      <w:pPr>
        <w:ind w:right="20" w:firstLine="1270"/>
        <w:spacing w:after="0" w:line="305" w:lineRule="auto"/>
        <w:tabs>
          <w:tab w:leader="none" w:pos="1785"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Equity Awards</w:t>
      </w:r>
      <w:r>
        <w:rPr>
          <w:rFonts w:ascii="Times New Roman" w:cs="Times New Roman" w:eastAsia="Times New Roman" w:hAnsi="Times New Roman"/>
          <w:sz w:val="19"/>
          <w:szCs w:val="19"/>
          <w:color w:val="auto"/>
        </w:rPr>
        <w:t>” will mean Executive’s outstanding stock options, stock appreciation rights, restricted stock units, performance shares, performance stock units and any other Company equity compensation awards.</w:t>
      </w:r>
    </w:p>
    <w:p>
      <w:pPr>
        <w:spacing w:after="0" w:line="29" w:lineRule="exact"/>
        <w:rPr>
          <w:rFonts w:ascii="Times New Roman" w:cs="Times New Roman" w:eastAsia="Times New Roman" w:hAnsi="Times New Roman"/>
          <w:sz w:val="19"/>
          <w:szCs w:val="19"/>
          <w:color w:val="auto"/>
        </w:rPr>
      </w:pPr>
    </w:p>
    <w:p>
      <w:pPr>
        <w:jc w:val="both"/>
        <w:ind w:right="20" w:firstLine="1270"/>
        <w:spacing w:after="0" w:line="277" w:lineRule="auto"/>
        <w:tabs>
          <w:tab w:leader="none" w:pos="1764"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Good Reason</w:t>
      </w:r>
      <w:r>
        <w:rPr>
          <w:rFonts w:ascii="Times New Roman" w:cs="Times New Roman" w:eastAsia="Times New Roman" w:hAnsi="Times New Roman"/>
          <w:sz w:val="19"/>
          <w:szCs w:val="19"/>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45" w:lineRule="exact"/>
        <w:rPr>
          <w:rFonts w:ascii="Times New Roman" w:cs="Times New Roman" w:eastAsia="Times New Roman" w:hAnsi="Times New Roman"/>
          <w:sz w:val="19"/>
          <w:szCs w:val="19"/>
          <w:color w:val="auto"/>
        </w:rPr>
      </w:pPr>
    </w:p>
    <w:p>
      <w:pPr>
        <w:ind w:right="20" w:firstLine="1908"/>
        <w:spacing w:after="0" w:line="301" w:lineRule="auto"/>
        <w:tabs>
          <w:tab w:leader="none" w:pos="2309"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reduction of Executive’s authorities, duties or responsibilities relative to Executive’s authorities, duties or responsibilities in effect immediately prior to such reduction;</w:t>
      </w:r>
    </w:p>
    <w:p>
      <w:pPr>
        <w:spacing w:after="0" w:line="23" w:lineRule="exact"/>
        <w:rPr>
          <w:rFonts w:ascii="Times New Roman" w:cs="Times New Roman" w:eastAsia="Times New Roman" w:hAnsi="Times New Roman"/>
          <w:sz w:val="19"/>
          <w:szCs w:val="19"/>
          <w:color w:val="auto"/>
        </w:rPr>
      </w:pPr>
    </w:p>
    <w:p>
      <w:pPr>
        <w:jc w:val="both"/>
        <w:ind w:right="20" w:firstLine="1908"/>
        <w:spacing w:after="0" w:line="282" w:lineRule="auto"/>
        <w:tabs>
          <w:tab w:leader="none" w:pos="2435"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40" w:lineRule="exact"/>
        <w:rPr>
          <w:rFonts w:ascii="Times New Roman" w:cs="Times New Roman" w:eastAsia="Times New Roman" w:hAnsi="Times New Roman"/>
          <w:sz w:val="19"/>
          <w:szCs w:val="19"/>
          <w:color w:val="auto"/>
        </w:rPr>
      </w:pPr>
    </w:p>
    <w:p>
      <w:pPr>
        <w:ind w:right="20" w:firstLine="1908"/>
        <w:spacing w:after="0" w:line="301" w:lineRule="auto"/>
        <w:tabs>
          <w:tab w:leader="none" w:pos="2531"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relocation of Executive’s principal place of performing his or her duties as an employee of the Company by more than fifty (50) miles; or</w:t>
      </w:r>
    </w:p>
    <w:p>
      <w:pPr>
        <w:spacing w:after="0" w:line="23" w:lineRule="exact"/>
        <w:rPr>
          <w:rFonts w:ascii="Times New Roman" w:cs="Times New Roman" w:eastAsia="Times New Roman" w:hAnsi="Times New Roman"/>
          <w:sz w:val="19"/>
          <w:szCs w:val="19"/>
          <w:color w:val="auto"/>
        </w:rPr>
      </w:pPr>
    </w:p>
    <w:p>
      <w:pPr>
        <w:ind w:left="2380" w:hanging="470"/>
        <w:spacing w:after="0"/>
        <w:tabs>
          <w:tab w:leader="none" w:pos="2380"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successor of the Company as set forth in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xml:space="preserve"> hereof does not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assume this Agreement.</w:t>
      </w:r>
    </w:p>
    <w:p>
      <w:pPr>
        <w:sectPr>
          <w:pgSz w:w="11900" w:h="16838" w:orient="portrait"/>
          <w:cols w:equalWidth="0" w:num="1">
            <w:col w:w="10680"/>
          </w:cols>
          <w:pgMar w:left="420" w:top="1406" w:right="799" w:bottom="1440" w:gutter="0" w:footer="0" w:header="0"/>
        </w:sectPr>
      </w:pPr>
    </w:p>
    <w:bookmarkStart w:id="80" w:name="page81"/>
    <w:bookmarkEnd w:id="80"/>
    <w:p>
      <w:pPr>
        <w:jc w:val="both"/>
        <w:spacing w:after="0" w:line="274" w:lineRule="auto"/>
        <w:rPr>
          <w:sz w:val="20"/>
          <w:szCs w:val="20"/>
          <w:color w:val="auto"/>
        </w:rPr>
      </w:pPr>
      <w:r>
        <w:rPr>
          <w:rFonts w:ascii="Times New Roman" w:cs="Times New Roman" w:eastAsia="Times New Roman" w:hAnsi="Times New Roman"/>
          <w:sz w:val="19"/>
          <w:szCs w:val="19"/>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3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9"/>
          <w:szCs w:val="19"/>
          <w:color w:val="auto"/>
        </w:rPr>
        <w:t>For purposes of the “Good Reason” definition, the term “Company” will be interpreted to include any subsidiary, parent, affiliate or successor thereto, if applicable.</w:t>
      </w:r>
    </w:p>
    <w:p>
      <w:pPr>
        <w:spacing w:after="0" w:line="47" w:lineRule="exact"/>
        <w:rPr>
          <w:sz w:val="20"/>
          <w:szCs w:val="20"/>
          <w:color w:val="auto"/>
        </w:rPr>
      </w:pPr>
    </w:p>
    <w:p>
      <w:pPr>
        <w:jc w:val="both"/>
        <w:ind w:firstLine="1270"/>
        <w:spacing w:after="0" w:line="265" w:lineRule="auto"/>
        <w:tabs>
          <w:tab w:leader="none" w:pos="1857"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 Limit</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Section 409A Limit”</w:t>
      </w:r>
      <w:r>
        <w:rPr>
          <w:rFonts w:ascii="Times New Roman" w:cs="Times New Roman" w:eastAsia="Times New Roman" w:hAnsi="Times New Roman"/>
          <w:sz w:val="19"/>
          <w:szCs w:val="19"/>
          <w:color w:val="auto"/>
        </w:rPr>
        <w:t xml:space="preserve"> will mean two (2) times the lesser of: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1.409A-1(b)(9)(iii)(A)(l)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59" w:lineRule="exact"/>
        <w:rPr>
          <w:rFonts w:ascii="Times New Roman" w:cs="Times New Roman" w:eastAsia="Times New Roman" w:hAnsi="Times New Roman"/>
          <w:sz w:val="19"/>
          <w:szCs w:val="19"/>
          <w:color w:val="auto"/>
        </w:rPr>
      </w:pPr>
    </w:p>
    <w:p>
      <w:pPr>
        <w:ind w:left="980" w:hanging="347"/>
        <w:spacing w:after="0"/>
        <w:tabs>
          <w:tab w:leader="none" w:pos="9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jc w:val="both"/>
        <w:ind w:firstLine="1270"/>
        <w:spacing w:after="0" w:line="264" w:lineRule="auto"/>
        <w:tabs>
          <w:tab w:leader="none" w:pos="1726"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Company’s Successors</w:t>
      </w:r>
      <w:r>
        <w:rPr>
          <w:rFonts w:ascii="Times New Roman" w:cs="Times New Roman" w:eastAsia="Times New Roman" w:hAnsi="Times New Roman"/>
          <w:sz w:val="19"/>
          <w:szCs w:val="19"/>
          <w:color w:val="auto"/>
        </w:rPr>
        <w:t xml:space="preserve">.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xml:space="preserve"> or which becomes bound by the terms of this Agreement by operation of law.</w:t>
      </w:r>
    </w:p>
    <w:p>
      <w:pPr>
        <w:spacing w:after="0" w:line="73" w:lineRule="exact"/>
        <w:rPr>
          <w:rFonts w:ascii="Times New Roman" w:cs="Times New Roman" w:eastAsia="Times New Roman" w:hAnsi="Times New Roman"/>
          <w:sz w:val="19"/>
          <w:szCs w:val="19"/>
          <w:color w:val="auto"/>
        </w:rPr>
      </w:pPr>
    </w:p>
    <w:p>
      <w:pPr>
        <w:jc w:val="both"/>
        <w:ind w:right="20" w:firstLine="1270"/>
        <w:spacing w:after="0" w:line="274" w:lineRule="auto"/>
        <w:tabs>
          <w:tab w:leader="none" w:pos="1697"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Executive’s Successors</w:t>
      </w:r>
      <w:r>
        <w:rPr>
          <w:rFonts w:ascii="Times New Roman" w:cs="Times New Roman" w:eastAsia="Times New Roman" w:hAnsi="Times New Roman"/>
          <w:sz w:val="19"/>
          <w:szCs w:val="19"/>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49" w:lineRule="exact"/>
        <w:rPr>
          <w:rFonts w:ascii="Times New Roman" w:cs="Times New Roman" w:eastAsia="Times New Roman" w:hAnsi="Times New Roman"/>
          <w:sz w:val="19"/>
          <w:szCs w:val="19"/>
          <w:color w:val="auto"/>
        </w:rPr>
      </w:pPr>
    </w:p>
    <w:p>
      <w:pPr>
        <w:ind w:left="980" w:hanging="347"/>
        <w:spacing w:after="0"/>
        <w:tabs>
          <w:tab w:leader="none" w:pos="9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jc w:val="both"/>
        <w:ind w:firstLine="1270"/>
        <w:spacing w:after="0" w:line="262" w:lineRule="auto"/>
        <w:tabs>
          <w:tab w:leader="none" w:pos="1766"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72" w:lineRule="exact"/>
        <w:rPr>
          <w:rFonts w:ascii="Times New Roman" w:cs="Times New Roman" w:eastAsia="Times New Roman" w:hAnsi="Times New Roman"/>
          <w:sz w:val="19"/>
          <w:szCs w:val="19"/>
          <w:color w:val="auto"/>
        </w:rPr>
      </w:pPr>
    </w:p>
    <w:p>
      <w:pPr>
        <w:jc w:val="both"/>
        <w:ind w:firstLine="1270"/>
        <w:spacing w:after="0" w:line="265" w:lineRule="auto"/>
        <w:tabs>
          <w:tab w:leader="none" w:pos="1804"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Termination</w:t>
      </w:r>
      <w:r>
        <w:rPr>
          <w:rFonts w:ascii="Times New Roman" w:cs="Times New Roman" w:eastAsia="Times New Roman" w:hAnsi="Times New Roman"/>
          <w:sz w:val="19"/>
          <w:szCs w:val="19"/>
          <w:color w:val="auto"/>
        </w:rPr>
        <w:t xml:space="preserve">. Any termination by the Company for Cause or by Executive for Good Reason will be communicated by a notice of termination to the other party hereto given in accordance with </w:t>
      </w:r>
      <w:r>
        <w:rPr>
          <w:rFonts w:ascii="Times New Roman" w:cs="Times New Roman" w:eastAsia="Times New Roman" w:hAnsi="Times New Roman"/>
          <w:sz w:val="19"/>
          <w:szCs w:val="19"/>
          <w:u w:val="single" w:color="auto"/>
          <w:color w:val="auto"/>
        </w:rPr>
        <w:t>Section 8(a)</w:t>
      </w:r>
      <w:r>
        <w:rPr>
          <w:rFonts w:ascii="Times New Roman" w:cs="Times New Roman" w:eastAsia="Times New Roman" w:hAnsi="Times New Roman"/>
          <w:sz w:val="19"/>
          <w:szCs w:val="19"/>
          <w:color w:val="auto"/>
        </w:rPr>
        <w:t xml:space="preserve">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70" w:lineRule="exact"/>
        <w:rPr>
          <w:rFonts w:ascii="Times New Roman" w:cs="Times New Roman" w:eastAsia="Times New Roman" w:hAnsi="Times New Roman"/>
          <w:sz w:val="19"/>
          <w:szCs w:val="19"/>
          <w:color w:val="auto"/>
        </w:rPr>
      </w:pPr>
    </w:p>
    <w:p>
      <w:pPr>
        <w:jc w:val="both"/>
        <w:ind w:right="20" w:firstLine="632"/>
        <w:spacing w:after="0" w:line="274" w:lineRule="auto"/>
        <w:tabs>
          <w:tab w:leader="none" w:pos="1018"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Resignation</w:t>
      </w:r>
      <w:r>
        <w:rPr>
          <w:rFonts w:ascii="Times New Roman" w:cs="Times New Roman" w:eastAsia="Times New Roman" w:hAnsi="Times New Roman"/>
          <w:sz w:val="19"/>
          <w:szCs w:val="19"/>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-1203325</wp:posOffset>
            </wp:positionV>
            <wp:extent cx="17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ectPr>
          <w:pgSz w:w="11900" w:h="16838" w:orient="portrait"/>
          <w:cols w:equalWidth="0" w:num="1">
            <w:col w:w="10680"/>
          </w:cols>
          <w:pgMar w:left="420" w:top="1406" w:right="799" w:bottom="1440" w:gutter="0" w:footer="0" w:header="0"/>
        </w:sectPr>
      </w:pPr>
    </w:p>
    <w:bookmarkStart w:id="81" w:name="page82"/>
    <w:bookmarkEnd w:id="81"/>
    <w:p>
      <w:pPr>
        <w:ind w:right="20"/>
        <w:spacing w:after="0" w:line="301" w:lineRule="auto"/>
        <w:rPr>
          <w:sz w:val="20"/>
          <w:szCs w:val="20"/>
          <w:color w:val="auto"/>
        </w:rPr>
      </w:pPr>
      <w:r>
        <w:rPr>
          <w:rFonts w:ascii="Times New Roman" w:cs="Times New Roman" w:eastAsia="Times New Roman" w:hAnsi="Times New Roman"/>
          <w:sz w:val="19"/>
          <w:szCs w:val="19"/>
          <w:color w:val="auto"/>
        </w:rPr>
        <w:t>Executive’s employment and Executive, at the Board’s request, will execute any documents reasonably necessary to reflect Executive’s resignation.</w:t>
      </w:r>
    </w:p>
    <w:p>
      <w:pPr>
        <w:spacing w:after="0" w:line="24" w:lineRule="exact"/>
        <w:rPr>
          <w:sz w:val="20"/>
          <w:szCs w:val="20"/>
          <w:color w:val="auto"/>
        </w:rPr>
      </w:pPr>
    </w:p>
    <w:p>
      <w:pPr>
        <w:ind w:left="1080" w:hanging="447"/>
        <w:spacing w:after="0"/>
        <w:tabs>
          <w:tab w:leader="none" w:pos="108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w:t>
      </w:r>
    </w:p>
    <w:p>
      <w:pPr>
        <w:spacing w:after="0" w:line="127" w:lineRule="exact"/>
        <w:rPr>
          <w:rFonts w:ascii="Times New Roman" w:cs="Times New Roman" w:eastAsia="Times New Roman" w:hAnsi="Times New Roman"/>
          <w:sz w:val="19"/>
          <w:szCs w:val="19"/>
          <w:color w:val="auto"/>
        </w:rPr>
      </w:pPr>
    </w:p>
    <w:p>
      <w:pPr>
        <w:jc w:val="both"/>
        <w:ind w:firstLine="1270"/>
        <w:spacing w:after="0" w:line="262" w:lineRule="auto"/>
        <w:tabs>
          <w:tab w:leader="none" w:pos="1913"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 and pursuant to California law . The Federal Arbitration Act will also apply with full force and effect, notwithstanding the application of procedural rules set forth under the Act.</w:t>
      </w:r>
    </w:p>
    <w:p>
      <w:pPr>
        <w:spacing w:after="0" w:line="73" w:lineRule="exact"/>
        <w:rPr>
          <w:rFonts w:ascii="Times New Roman" w:cs="Times New Roman" w:eastAsia="Times New Roman" w:hAnsi="Times New Roman"/>
          <w:sz w:val="19"/>
          <w:szCs w:val="19"/>
          <w:color w:val="auto"/>
        </w:rPr>
      </w:pPr>
    </w:p>
    <w:p>
      <w:pPr>
        <w:jc w:val="both"/>
        <w:ind w:right="20" w:firstLine="1283"/>
        <w:spacing w:after="0" w:line="262" w:lineRule="auto"/>
        <w:tabs>
          <w:tab w:leader="none" w:pos="1711" w:val="left"/>
        </w:tabs>
        <w:numPr>
          <w:ilvl w:val="2"/>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Dispute Resolution</w:t>
      </w:r>
      <w:r>
        <w:rPr>
          <w:rFonts w:ascii="Times New Roman" w:cs="Times New Roman" w:eastAsia="Times New Roman" w:hAnsi="Times New Roman"/>
          <w:sz w:val="19"/>
          <w:szCs w:val="19"/>
          <w:color w:val="auto"/>
        </w:rPr>
        <w:t>. Disputes that Executive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72" w:lineRule="exact"/>
        <w:rPr>
          <w:sz w:val="20"/>
          <w:szCs w:val="20"/>
          <w:color w:val="auto"/>
        </w:rPr>
      </w:pPr>
    </w:p>
    <w:p>
      <w:pPr>
        <w:jc w:val="both"/>
        <w:ind w:right="20" w:firstLine="1270"/>
        <w:spacing w:after="0" w:line="260" w:lineRule="auto"/>
        <w:tabs>
          <w:tab w:leader="none" w:pos="178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Procedure</w:t>
      </w:r>
      <w:r>
        <w:rPr>
          <w:rFonts w:ascii="Times New Roman" w:cs="Times New Roman" w:eastAsia="Times New Roman" w:hAnsi="Times New Roman"/>
          <w:sz w:val="19"/>
          <w:szCs w:val="19"/>
          <w:color w:val="auto"/>
        </w:rPr>
        <w:t>. Executive agrees that any arbitration will be administered by the Judicial Arbitration &amp; Mediation Services, Inc.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pursuant to its Employment Arbitration Rules &amp; Procedures (the “</w:t>
      </w:r>
      <w:r>
        <w:rPr>
          <w:rFonts w:ascii="Times New Roman" w:cs="Times New Roman" w:eastAsia="Times New Roman" w:hAnsi="Times New Roman"/>
          <w:sz w:val="19"/>
          <w:szCs w:val="19"/>
          <w:b w:val="1"/>
          <w:bCs w:val="1"/>
          <w:i w:val="1"/>
          <w:iCs w:val="1"/>
          <w:color w:val="auto"/>
        </w:rPr>
        <w:t>JAMS Rules</w:t>
      </w:r>
      <w:r>
        <w:rPr>
          <w:rFonts w:ascii="Times New Roman" w:cs="Times New Roman" w:eastAsia="Times New Roman" w:hAnsi="Times New Roman"/>
          <w:sz w:val="19"/>
          <w:szCs w:val="19"/>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311" w:lineRule="exact"/>
        <w:rPr>
          <w:rFonts w:ascii="Times New Roman" w:cs="Times New Roman" w:eastAsia="Times New Roman" w:hAnsi="Times New Roman"/>
          <w:sz w:val="19"/>
          <w:szCs w:val="19"/>
          <w:color w:val="auto"/>
        </w:rPr>
      </w:pPr>
    </w:p>
    <w:p>
      <w:pPr>
        <w:jc w:val="both"/>
        <w:ind w:firstLine="1270"/>
        <w:spacing w:after="0" w:line="265" w:lineRule="auto"/>
        <w:tabs>
          <w:tab w:leader="none" w:pos="1737"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Remedy</w:t>
      </w:r>
      <w:r>
        <w:rPr>
          <w:rFonts w:ascii="Times New Roman" w:cs="Times New Roman" w:eastAsia="Times New Roman" w:hAnsi="Times New Roman"/>
          <w:sz w:val="19"/>
          <w:szCs w:val="19"/>
          <w:color w:val="auto"/>
        </w:rPr>
        <w:t>. Except as provided by the Act, arbitration will be the sole, exclusive, and final remedy for any dispute between Executive and the Company. Accordingly, except as provided by the Act and this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 require the Company to adopt a policy not otherwise required by law which the Company has not adopted.</w:t>
      </w:r>
    </w:p>
    <w:p>
      <w:pPr>
        <w:spacing w:after="0" w:line="70" w:lineRule="exact"/>
        <w:rPr>
          <w:rFonts w:ascii="Times New Roman" w:cs="Times New Roman" w:eastAsia="Times New Roman" w:hAnsi="Times New Roman"/>
          <w:sz w:val="19"/>
          <w:szCs w:val="19"/>
          <w:color w:val="auto"/>
        </w:rPr>
      </w:pPr>
    </w:p>
    <w:p>
      <w:pPr>
        <w:ind w:right="20" w:firstLine="1270"/>
        <w:spacing w:after="0" w:line="286" w:lineRule="auto"/>
        <w:tabs>
          <w:tab w:leader="none" w:pos="1766"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Administrative Relief</w:t>
      </w:r>
      <w:r>
        <w:rPr>
          <w:rFonts w:ascii="Times New Roman" w:cs="Times New Roman" w:eastAsia="Times New Roman" w:hAnsi="Times New Roman"/>
          <w:sz w:val="19"/>
          <w:szCs w:val="19"/>
          <w:color w:val="auto"/>
        </w:rPr>
        <w:t>. Executive is not prohibited from pursuing an administrative claim with a local, state, or federal administrative body or government agency that is</w:t>
      </w:r>
    </w:p>
    <w:p>
      <w:pPr>
        <w:sectPr>
          <w:pgSz w:w="11900" w:h="16838" w:orient="portrait"/>
          <w:cols w:equalWidth="0" w:num="1">
            <w:col w:w="10680"/>
          </w:cols>
          <w:pgMar w:left="420" w:top="1406" w:right="799" w:bottom="1440" w:gutter="0" w:footer="0" w:header="0"/>
        </w:sectPr>
      </w:pPr>
    </w:p>
    <w:bookmarkStart w:id="82" w:name="page83"/>
    <w:bookmarkEnd w:id="82"/>
    <w:p>
      <w:pPr>
        <w:jc w:val="both"/>
        <w:ind w:right="80"/>
        <w:spacing w:after="0" w:line="274" w:lineRule="auto"/>
        <w:rPr>
          <w:sz w:val="20"/>
          <w:szCs w:val="20"/>
          <w:color w:val="auto"/>
        </w:rPr>
      </w:pPr>
      <w:r>
        <w:rPr>
          <w:rFonts w:ascii="Times New Roman" w:cs="Times New Roman" w:eastAsia="Times New Roman" w:hAnsi="Times New Roman"/>
          <w:sz w:val="19"/>
          <w:szCs w:val="19"/>
          <w:color w:val="auto"/>
        </w:rPr>
        <w:t>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63" w:lineRule="exact"/>
        <w:rPr>
          <w:sz w:val="20"/>
          <w:szCs w:val="20"/>
          <w:color w:val="auto"/>
        </w:rPr>
      </w:pPr>
    </w:p>
    <w:p>
      <w:pPr>
        <w:jc w:val="both"/>
        <w:ind w:right="60" w:firstLine="1270"/>
        <w:spacing w:after="0" w:line="264" w:lineRule="auto"/>
        <w:tabs>
          <w:tab w:leader="none" w:pos="1718" w:val="left"/>
        </w:tabs>
        <w:numPr>
          <w:ilvl w:val="1"/>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Nature of Agreement</w:t>
      </w:r>
      <w:r>
        <w:rPr>
          <w:rFonts w:ascii="Times New Roman" w:cs="Times New Roman" w:eastAsia="Times New Roman" w:hAnsi="Times New Roman"/>
          <w:sz w:val="19"/>
          <w:szCs w:val="19"/>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Times New Roman" w:cs="Times New Roman" w:eastAsia="Times New Roman" w:hAnsi="Times New Roman"/>
          <w:sz w:val="19"/>
          <w:szCs w:val="19"/>
          <w:b w:val="1"/>
          <w:bCs w:val="1"/>
          <w:i w:val="1"/>
          <w:iCs w:val="1"/>
          <w:color w:val="auto"/>
        </w:rPr>
        <w:t>EXECUTIVE IS WAIVING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EXECUTIVE’S RIGHT TO A JURY TRIAL</w:t>
      </w:r>
      <w:r>
        <w:rPr>
          <w:rFonts w:ascii="Times New Roman" w:cs="Times New Roman" w:eastAsia="Times New Roman" w:hAnsi="Times New Roman"/>
          <w:sz w:val="19"/>
          <w:szCs w:val="19"/>
          <w:color w:val="auto"/>
        </w:rPr>
        <w:t>. Finally, Executive agrees that Executive has been provided an opportunity to seek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advice of an attorney of Executive’s choice before signing this Agreement.</w:t>
      </w:r>
    </w:p>
    <w:p>
      <w:pPr>
        <w:spacing w:after="0" w:line="73" w:lineRule="exact"/>
        <w:rPr>
          <w:rFonts w:ascii="Times New Roman" w:cs="Times New Roman" w:eastAsia="Times New Roman" w:hAnsi="Times New Roman"/>
          <w:sz w:val="19"/>
          <w:szCs w:val="19"/>
          <w:color w:val="auto"/>
        </w:rPr>
      </w:pPr>
    </w:p>
    <w:p>
      <w:pPr>
        <w:ind w:left="1060" w:hanging="426"/>
        <w:spacing w:after="0"/>
        <w:tabs>
          <w:tab w:leader="none" w:pos="106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 Provisions</w:t>
      </w:r>
      <w:r>
        <w:rPr>
          <w:rFonts w:ascii="Times New Roman" w:cs="Times New Roman" w:eastAsia="Times New Roman" w:hAnsi="Times New Roman"/>
          <w:sz w:val="19"/>
          <w:szCs w:val="19"/>
          <w:color w:val="auto"/>
        </w:rPr>
        <w:t>.</w:t>
      </w:r>
    </w:p>
    <w:p>
      <w:pPr>
        <w:spacing w:after="0" w:line="113" w:lineRule="exact"/>
        <w:rPr>
          <w:rFonts w:ascii="Times New Roman" w:cs="Times New Roman" w:eastAsia="Times New Roman" w:hAnsi="Times New Roman"/>
          <w:sz w:val="19"/>
          <w:szCs w:val="19"/>
          <w:color w:val="auto"/>
        </w:rPr>
      </w:pPr>
    </w:p>
    <w:p>
      <w:pPr>
        <w:ind w:right="80" w:firstLine="1270"/>
        <w:spacing w:after="0" w:line="301" w:lineRule="auto"/>
        <w:tabs>
          <w:tab w:leader="none" w:pos="1713"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Duty to Mitigate</w:t>
      </w:r>
      <w:r>
        <w:rPr>
          <w:rFonts w:ascii="Times New Roman" w:cs="Times New Roman" w:eastAsia="Times New Roman" w:hAnsi="Times New Roman"/>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23" w:lineRule="exact"/>
        <w:rPr>
          <w:rFonts w:ascii="Times New Roman" w:cs="Times New Roman" w:eastAsia="Times New Roman" w:hAnsi="Times New Roman"/>
          <w:sz w:val="19"/>
          <w:szCs w:val="19"/>
          <w:color w:val="auto"/>
        </w:rPr>
      </w:pPr>
    </w:p>
    <w:p>
      <w:pPr>
        <w:jc w:val="both"/>
        <w:ind w:right="60" w:firstLine="1270"/>
        <w:spacing w:after="0" w:line="270" w:lineRule="auto"/>
        <w:tabs>
          <w:tab w:leader="none" w:pos="1697"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w:t>
      </w:r>
      <w:r>
        <w:rPr>
          <w:rFonts w:ascii="Times New Roman" w:cs="Times New Roman" w:eastAsia="Times New Roman" w:hAnsi="Times New Roman"/>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67" w:lineRule="exact"/>
        <w:rPr>
          <w:rFonts w:ascii="Times New Roman" w:cs="Times New Roman" w:eastAsia="Times New Roman" w:hAnsi="Times New Roman"/>
          <w:sz w:val="19"/>
          <w:szCs w:val="19"/>
          <w:color w:val="auto"/>
        </w:rPr>
      </w:pPr>
    </w:p>
    <w:p>
      <w:pPr>
        <w:ind w:right="80" w:firstLine="1270"/>
        <w:spacing w:after="0" w:line="286" w:lineRule="auto"/>
        <w:tabs>
          <w:tab w:leader="none" w:pos="1713"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w:t>
      </w:r>
      <w:r>
        <w:rPr>
          <w:rFonts w:ascii="Times New Roman" w:cs="Times New Roman" w:eastAsia="Times New Roman" w:hAnsi="Times New Roman"/>
          <w:sz w:val="19"/>
          <w:szCs w:val="19"/>
          <w:color w:val="auto"/>
        </w:rPr>
        <w:t>. All captions and section headings used in this Agreement are for convenient reference only and do not form a part of this Agreement.</w:t>
      </w:r>
    </w:p>
    <w:p>
      <w:pPr>
        <w:spacing w:after="0" w:line="51" w:lineRule="exact"/>
        <w:rPr>
          <w:rFonts w:ascii="Times New Roman" w:cs="Times New Roman" w:eastAsia="Times New Roman" w:hAnsi="Times New Roman"/>
          <w:sz w:val="19"/>
          <w:szCs w:val="19"/>
          <w:color w:val="auto"/>
        </w:rPr>
      </w:pPr>
    </w:p>
    <w:p>
      <w:pPr>
        <w:jc w:val="both"/>
        <w:ind w:right="80" w:firstLine="1270"/>
        <w:spacing w:after="0" w:line="265" w:lineRule="auto"/>
        <w:tabs>
          <w:tab w:leader="none" w:pos="1751"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No waiver, alteration, or modification of any of the provisions of this Agreement will be binding unless in writing and signed by duly authorized representatives of the parties hereto and which specifically mention this Agreement.</w:t>
      </w:r>
    </w:p>
    <w:p>
      <w:pPr>
        <w:spacing w:after="0" w:line="70" w:lineRule="exact"/>
        <w:rPr>
          <w:rFonts w:ascii="Times New Roman" w:cs="Times New Roman" w:eastAsia="Times New Roman" w:hAnsi="Times New Roman"/>
          <w:sz w:val="19"/>
          <w:szCs w:val="19"/>
          <w:color w:val="auto"/>
        </w:rPr>
      </w:pPr>
    </w:p>
    <w:p>
      <w:pPr>
        <w:jc w:val="both"/>
        <w:ind w:right="80" w:firstLine="1270"/>
        <w:spacing w:after="0" w:line="265" w:lineRule="auto"/>
        <w:tabs>
          <w:tab w:leader="none" w:pos="1713"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Choice of Law</w:t>
      </w:r>
      <w:r>
        <w:rPr>
          <w:rFonts w:ascii="Times New Roman" w:cs="Times New Roman" w:eastAsia="Times New Roman" w:hAnsi="Times New Roman"/>
          <w:sz w:val="19"/>
          <w:szCs w:val="19"/>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 resides, and Executive and the Company hereby submit to the jurisdiction and venue of any such court.</w:t>
      </w:r>
    </w:p>
    <w:p>
      <w:pPr>
        <w:spacing w:after="0" w:line="70" w:lineRule="exact"/>
        <w:rPr>
          <w:rFonts w:ascii="Times New Roman" w:cs="Times New Roman" w:eastAsia="Times New Roman" w:hAnsi="Times New Roman"/>
          <w:sz w:val="19"/>
          <w:szCs w:val="19"/>
          <w:color w:val="auto"/>
        </w:rPr>
      </w:pPr>
    </w:p>
    <w:p>
      <w:pPr>
        <w:ind w:right="80" w:firstLine="1270"/>
        <w:spacing w:after="0" w:line="286" w:lineRule="auto"/>
        <w:tabs>
          <w:tab w:leader="none" w:pos="1665"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invalidity or unenforceability of any provision or provisions of this Agreement will not affect the validity or enforceability of any other provision hereof, which will remain in full force and effect.</w:t>
      </w:r>
    </w:p>
    <w:p>
      <w:pPr>
        <w:spacing w:after="0" w:line="51" w:lineRule="exact"/>
        <w:rPr>
          <w:rFonts w:ascii="Times New Roman" w:cs="Times New Roman" w:eastAsia="Times New Roman" w:hAnsi="Times New Roman"/>
          <w:sz w:val="19"/>
          <w:szCs w:val="19"/>
          <w:color w:val="auto"/>
        </w:rPr>
      </w:pPr>
    </w:p>
    <w:p>
      <w:pPr>
        <w:ind w:right="80" w:firstLine="1270"/>
        <w:spacing w:after="0" w:line="301" w:lineRule="auto"/>
        <w:tabs>
          <w:tab w:leader="none" w:pos="1711"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All payments made pursuant to this Agreement will be subject to withholding of applicable income, employment and other taxes.</w:t>
      </w:r>
    </w:p>
    <w:p>
      <w:pPr>
        <w:spacing w:after="0" w:line="23" w:lineRule="exact"/>
        <w:rPr>
          <w:rFonts w:ascii="Times New Roman" w:cs="Times New Roman" w:eastAsia="Times New Roman" w:hAnsi="Times New Roman"/>
          <w:sz w:val="19"/>
          <w:szCs w:val="19"/>
          <w:color w:val="auto"/>
        </w:rPr>
      </w:pPr>
    </w:p>
    <w:p>
      <w:pPr>
        <w:ind w:right="80" w:firstLine="1270"/>
        <w:spacing w:after="0" w:line="301" w:lineRule="auto"/>
        <w:tabs>
          <w:tab w:leader="none" w:pos="1711"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each of which will be deemed an original, but all of which together will constitute one and the same instrument.</w:t>
      </w:r>
    </w:p>
    <w:p>
      <w:pPr>
        <w:spacing w:after="0" w:line="24" w:lineRule="exact"/>
        <w:rPr>
          <w:sz w:val="20"/>
          <w:szCs w:val="20"/>
          <w:color w:val="auto"/>
        </w:rPr>
      </w:pPr>
    </w:p>
    <w:p>
      <w:pPr>
        <w:ind w:firstLine="637"/>
        <w:spacing w:after="0" w:line="301" w:lineRule="auto"/>
        <w:rPr>
          <w:sz w:val="20"/>
          <w:szCs w:val="20"/>
          <w:color w:val="auto"/>
        </w:rPr>
      </w:pPr>
      <w:r>
        <w:rPr>
          <w:rFonts w:ascii="Times New Roman" w:cs="Times New Roman" w:eastAsia="Times New Roman" w:hAnsi="Times New Roman"/>
          <w:sz w:val="19"/>
          <w:szCs w:val="19"/>
          <w:color w:val="auto"/>
        </w:rPr>
        <w:t>IN WITNESS WHEREOF, each of the parties has executed this Agreement, in the case of the Company by its duly authorized officer, as of the day and year set forth below.</w:t>
      </w:r>
    </w:p>
    <w:p>
      <w:pPr>
        <w:sectPr>
          <w:pgSz w:w="11900" w:h="16838" w:orient="portrait"/>
          <w:cols w:equalWidth="0" w:num="1">
            <w:col w:w="10740"/>
          </w:cols>
          <w:pgMar w:left="420" w:top="1406" w:right="739" w:bottom="1440" w:gutter="0" w:footer="0" w:header="0"/>
        </w:sectPr>
      </w:pPr>
    </w:p>
    <w:bookmarkStart w:id="83" w:name="page84"/>
    <w:bookmarkEnd w:id="83"/>
    <w:p>
      <w:pPr>
        <w:spacing w:after="0"/>
        <w:tabs>
          <w:tab w:leader="none" w:pos="1160" w:val="left"/>
        </w:tabs>
        <w:rPr>
          <w:sz w:val="20"/>
          <w:szCs w:val="20"/>
          <w:color w:val="auto"/>
        </w:rPr>
      </w:pPr>
      <w:r>
        <w:rPr>
          <w:rFonts w:ascii="Times New Roman" w:cs="Times New Roman" w:eastAsia="Times New Roman" w:hAnsi="Times New Roman"/>
          <w:sz w:val="19"/>
          <w:szCs w:val="19"/>
          <w:b w:val="1"/>
          <w:bCs w:val="1"/>
          <w:color w:val="auto"/>
        </w:rPr>
        <w:t>COMPANY</w:t>
        <w:tab/>
        <w:t>VERACYTE, INC.</w:t>
      </w:r>
    </w:p>
    <w:p>
      <w:pPr>
        <w:spacing w:after="0" w:line="26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By: /s/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-5715</wp:posOffset>
            </wp:positionV>
            <wp:extent cx="9347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33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Name: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-5715</wp:posOffset>
            </wp:positionV>
            <wp:extent cx="78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320" w:lineRule="exact"/>
        <w:rPr>
          <w:sz w:val="20"/>
          <w:szCs w:val="20"/>
          <w:color w:val="auto"/>
        </w:rPr>
      </w:pPr>
    </w:p>
    <w:p>
      <w:pPr>
        <w:ind w:left="3740"/>
        <w:spacing w:after="0"/>
        <w:tabs>
          <w:tab w:leader="none" w:pos="4380" w:val="left"/>
        </w:tabs>
        <w:rPr>
          <w:sz w:val="20"/>
          <w:szCs w:val="20"/>
          <w:color w:val="auto"/>
        </w:rPr>
      </w:pPr>
      <w:r>
        <w:rPr>
          <w:rFonts w:ascii="Times New Roman" w:cs="Times New Roman" w:eastAsia="Times New Roman" w:hAnsi="Times New Roman"/>
          <w:sz w:val="19"/>
          <w:szCs w:val="19"/>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-5715</wp:posOffset>
            </wp:positionV>
            <wp:extent cx="897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97255" cy="8255"/>
                    </a:xfrm>
                    <a:prstGeom prst="rect">
                      <a:avLst/>
                    </a:prstGeom>
                    <a:noFill/>
                  </pic:spPr>
                </pic:pic>
              </a:graphicData>
            </a:graphic>
          </wp:anchor>
        </w:drawing>
      </w:r>
    </w:p>
    <w:p>
      <w:pPr>
        <w:spacing w:after="0" w:line="227"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9"/>
          <w:szCs w:val="19"/>
          <w:color w:val="auto"/>
        </w:rPr>
        <w:t>Date: 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-5715</wp:posOffset>
            </wp:positionV>
            <wp:extent cx="9105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9"/>
          <w:szCs w:val="19"/>
          <w:b w:val="1"/>
          <w:bCs w:val="1"/>
          <w:color w:val="auto"/>
        </w:rPr>
        <w:t>EXECUTIVE</w:t>
      </w:r>
      <w:r>
        <w:rPr>
          <w:sz w:val="20"/>
          <w:szCs w:val="20"/>
          <w:color w:val="auto"/>
        </w:rPr>
        <w:tab/>
      </w:r>
      <w:r>
        <w:rPr>
          <w:rFonts w:ascii="Times New Roman" w:cs="Times New Roman" w:eastAsia="Times New Roman" w:hAnsi="Times New Roman"/>
          <w:sz w:val="19"/>
          <w:szCs w:val="19"/>
          <w:color w:val="auto"/>
        </w:rPr>
        <w:t>By: /s/ Kevin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-3175</wp:posOffset>
            </wp:positionV>
            <wp:extent cx="8521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spacing w:after="0" w:line="2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9"/>
          <w:szCs w:val="19"/>
          <w:color w:val="auto"/>
        </w:rPr>
        <w:t>Name: Kevin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2734945</wp:posOffset>
            </wp:positionH>
            <wp:positionV relativeFrom="paragraph">
              <wp:posOffset>-5715</wp:posOffset>
            </wp:positionV>
            <wp:extent cx="7042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20"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9"/>
          <w:szCs w:val="19"/>
          <w:color w:val="auto"/>
        </w:rPr>
        <w:t>Date: March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-5715</wp:posOffset>
            </wp:positionV>
            <wp:extent cx="910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ectPr>
          <w:pgSz w:w="11900" w:h="16838" w:orient="portrait"/>
          <w:cols w:equalWidth="0" w:num="1">
            <w:col w:w="9939"/>
          </w:cols>
          <w:pgMar w:left="520" w:top="1296" w:right="1440" w:bottom="1440" w:gutter="0" w:footer="0" w:header="0"/>
        </w:sectPr>
      </w:pPr>
    </w:p>
    <w:bookmarkStart w:id="84" w:name="page85"/>
    <w:bookmarkEnd w:id="84"/>
    <w:p>
      <w:pPr>
        <w:jc w:val="center"/>
        <w:ind w:right="-29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1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FORM OF RELEASE OF CLAIMS</w:t>
      </w:r>
    </w:p>
    <w:p>
      <w:pPr>
        <w:spacing w:after="0" w:line="114" w:lineRule="exact"/>
        <w:rPr>
          <w:sz w:val="20"/>
          <w:szCs w:val="20"/>
          <w:color w:val="auto"/>
        </w:rPr>
      </w:pPr>
    </w:p>
    <w:p>
      <w:pPr>
        <w:ind w:firstLine="637"/>
        <w:spacing w:after="0" w:line="305" w:lineRule="auto"/>
        <w:rPr>
          <w:sz w:val="20"/>
          <w:szCs w:val="20"/>
          <w:color w:val="auto"/>
        </w:rPr>
      </w:pPr>
      <w:r>
        <w:rPr>
          <w:rFonts w:ascii="Times New Roman" w:cs="Times New Roman" w:eastAsia="Times New Roman" w:hAnsi="Times New Roman"/>
          <w:sz w:val="19"/>
          <w:szCs w:val="19"/>
          <w:color w:val="auto"/>
        </w:rPr>
        <w:t>This release of claims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by and between Veracyte,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Name (“</w:t>
      </w:r>
      <w:r>
        <w:rPr>
          <w:rFonts w:ascii="Times New Roman" w:cs="Times New Roman" w:eastAsia="Times New Roman" w:hAnsi="Times New Roman"/>
          <w:sz w:val="19"/>
          <w:szCs w:val="19"/>
          <w:b w:val="1"/>
          <w:bCs w:val="1"/>
          <w:i w:val="1"/>
          <w:iCs w:val="1"/>
          <w:color w:val="auto"/>
        </w:rPr>
        <w:t>Executive</w:t>
      </w:r>
      <w:r>
        <w:rPr>
          <w:rFonts w:ascii="Times New Roman" w:cs="Times New Roman" w:eastAsia="Times New Roman" w:hAnsi="Times New Roman"/>
          <w:sz w:val="19"/>
          <w:szCs w:val="19"/>
          <w:color w:val="auto"/>
        </w:rPr>
        <w:t>”). The Company and Executive are sometimes collectively referred to herein as the “</w:t>
      </w:r>
      <w:r>
        <w:rPr>
          <w:rFonts w:ascii="Times New Roman" w:cs="Times New Roman" w:eastAsia="Times New Roman" w:hAnsi="Times New Roman"/>
          <w:sz w:val="19"/>
          <w:szCs w:val="19"/>
          <w:b w:val="1"/>
          <w:bCs w:val="1"/>
          <w:i w:val="1"/>
          <w:iCs w:val="1"/>
          <w:color w:val="auto"/>
        </w:rPr>
        <w:t>Parties</w:t>
      </w:r>
      <w:r>
        <w:rPr>
          <w:rFonts w:ascii="Times New Roman" w:cs="Times New Roman" w:eastAsia="Times New Roman" w:hAnsi="Times New Roman"/>
          <w:sz w:val="19"/>
          <w:szCs w:val="19"/>
          <w:color w:val="auto"/>
        </w:rPr>
        <w:t>” and individually referred to as a “</w:t>
      </w:r>
      <w:r>
        <w:rPr>
          <w:rFonts w:ascii="Times New Roman" w:cs="Times New Roman" w:eastAsia="Times New Roman" w:hAnsi="Times New Roman"/>
          <w:sz w:val="19"/>
          <w:szCs w:val="19"/>
          <w:b w:val="1"/>
          <w:bCs w:val="1"/>
          <w:i w:val="1"/>
          <w:iCs w:val="1"/>
          <w:color w:val="auto"/>
        </w:rPr>
        <w:t>Party</w:t>
      </w:r>
      <w:r>
        <w:rPr>
          <w:rFonts w:ascii="Times New Roman" w:cs="Times New Roman" w:eastAsia="Times New Roman" w:hAnsi="Times New Roman"/>
          <w:sz w:val="19"/>
          <w:szCs w:val="19"/>
          <w:color w:val="auto"/>
        </w:rPr>
        <w:t>.”</w:t>
      </w:r>
    </w:p>
    <w:p>
      <w:pPr>
        <w:spacing w:after="0" w:line="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RECITALS</w:t>
      </w:r>
    </w:p>
    <w:p>
      <w:pPr>
        <w:spacing w:after="0" w:line="114" w:lineRule="exact"/>
        <w:rPr>
          <w:sz w:val="20"/>
          <w:szCs w:val="20"/>
          <w:color w:val="auto"/>
        </w:rPr>
      </w:pPr>
    </w:p>
    <w:p>
      <w:pPr>
        <w:jc w:val="both"/>
        <w:ind w:right="60" w:firstLine="637"/>
        <w:spacing w:after="0" w:line="305"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previously signed a Confidential Information and Invention Assignment Agreement with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Confidentiality Agreement</w:t>
      </w:r>
      <w:r>
        <w:rPr>
          <w:rFonts w:ascii="Times New Roman" w:cs="Times New Roman" w:eastAsia="Times New Roman" w:hAnsi="Times New Roman"/>
          <w:sz w:val="19"/>
          <w:szCs w:val="19"/>
          <w:color w:val="auto"/>
        </w:rPr>
        <w:t>”);</w:t>
      </w:r>
    </w:p>
    <w:p>
      <w:pPr>
        <w:spacing w:after="0" w:line="16" w:lineRule="exact"/>
        <w:rPr>
          <w:sz w:val="20"/>
          <w:szCs w:val="20"/>
          <w:color w:val="auto"/>
        </w:rPr>
      </w:pPr>
    </w:p>
    <w:p>
      <w:pPr>
        <w:ind w:left="640"/>
        <w:spacing w:after="0"/>
        <w:tabs>
          <w:tab w:leader="none" w:pos="9360" w:val="left"/>
        </w:tabs>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signed a Change of Control and Severance Agreement with the company on</w:t>
      </w:r>
      <w:r>
        <w:rPr>
          <w:sz w:val="20"/>
          <w:szCs w:val="20"/>
          <w:color w:val="auto"/>
        </w:rPr>
        <w:tab/>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5735955</wp:posOffset>
            </wp:positionH>
            <wp:positionV relativeFrom="paragraph">
              <wp:posOffset>-3175</wp:posOffset>
            </wp:positionV>
            <wp:extent cx="216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6535" cy="8255"/>
                    </a:xfrm>
                    <a:prstGeom prst="rect">
                      <a:avLst/>
                    </a:prstGeom>
                    <a:noFill/>
                  </pic:spPr>
                </pic:pic>
              </a:graphicData>
            </a:graphic>
          </wp:anchor>
        </w:drawing>
      </w:r>
    </w:p>
    <w:p>
      <w:pPr>
        <w:spacing w:after="0" w:line="19" w:lineRule="exact"/>
        <w:rPr>
          <w:sz w:val="20"/>
          <w:szCs w:val="20"/>
          <w:color w:val="auto"/>
        </w:rPr>
      </w:pPr>
    </w:p>
    <w:p>
      <w:pPr>
        <w:jc w:val="both"/>
        <w:ind w:right="60"/>
        <w:spacing w:after="0" w:line="285" w:lineRule="auto"/>
        <w:rPr>
          <w:sz w:val="20"/>
          <w:szCs w:val="20"/>
          <w:color w:val="auto"/>
        </w:rPr>
      </w:pP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which, among other things, provides for certain severance benefits to be paid to Executive by the Company upon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termination of Executive’s employment;</w:t>
      </w:r>
    </w:p>
    <w:p>
      <w:pPr>
        <w:spacing w:after="0" w:line="35" w:lineRule="exact"/>
        <w:rPr>
          <w:sz w:val="20"/>
          <w:szCs w:val="20"/>
          <w:color w:val="auto"/>
        </w:rPr>
      </w:pPr>
    </w:p>
    <w:p>
      <w:pPr>
        <w:ind w:left="640"/>
        <w:spacing w:after="0"/>
        <w:tabs>
          <w:tab w:leader="none" w:pos="5700" w:val="left"/>
        </w:tabs>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Executive was employed by the Company until</w:t>
      </w:r>
      <w:r>
        <w:rPr>
          <w:sz w:val="20"/>
          <w:szCs w:val="20"/>
          <w:color w:val="auto"/>
        </w:rPr>
        <w:tab/>
      </w:r>
      <w:r>
        <w:rPr>
          <w:rFonts w:ascii="Times New Roman" w:cs="Times New Roman" w:eastAsia="Times New Roman" w:hAnsi="Times New Roman"/>
          <w:sz w:val="19"/>
          <w:szCs w:val="19"/>
          <w:color w:val="auto"/>
        </w:rPr>
        <w:t>, when Executive’s employment was terminated (“</w:t>
      </w:r>
      <w:r>
        <w:rPr>
          <w:rFonts w:ascii="Times New Roman" w:cs="Times New Roman" w:eastAsia="Times New Roman" w:hAnsi="Times New Roman"/>
          <w:sz w:val="19"/>
          <w:szCs w:val="19"/>
          <w:b w:val="1"/>
          <w:bCs w:val="1"/>
          <w:i w:val="1"/>
          <w:iCs w:val="1"/>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wp:posOffset>
            </wp:positionV>
            <wp:extent cx="1320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208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Date</w:t>
      </w:r>
      <w:r>
        <w:rPr>
          <w:rFonts w:ascii="Times New Roman" w:cs="Times New Roman" w:eastAsia="Times New Roman" w:hAnsi="Times New Roman"/>
          <w:sz w:val="19"/>
          <w:szCs w:val="19"/>
          <w:color w:val="auto"/>
        </w:rPr>
        <w:t>”);</w:t>
      </w:r>
    </w:p>
    <w:p>
      <w:pPr>
        <w:spacing w:after="0" w:line="96" w:lineRule="exact"/>
        <w:rPr>
          <w:sz w:val="20"/>
          <w:szCs w:val="20"/>
          <w:color w:val="auto"/>
        </w:rPr>
      </w:pPr>
    </w:p>
    <w:p>
      <w:pPr>
        <w:jc w:val="both"/>
        <w:ind w:right="60" w:firstLine="637"/>
        <w:spacing w:after="0" w:line="284"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in accordance with Section 4 of the Severance Agreement between the Company and Executive, Executive has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agreed to enter into and not revoke a standard release of claims in favor of the Company as a condition to receiving the severance benefits described in the Severance Agreement; and</w:t>
      </w:r>
    </w:p>
    <w:p>
      <w:pPr>
        <w:spacing w:after="0" w:line="35" w:lineRule="exact"/>
        <w:rPr>
          <w:sz w:val="20"/>
          <w:szCs w:val="20"/>
          <w:color w:val="auto"/>
        </w:rPr>
      </w:pPr>
    </w:p>
    <w:p>
      <w:pPr>
        <w:jc w:val="both"/>
        <w:ind w:right="60" w:firstLine="637"/>
        <w:spacing w:after="0" w:line="272"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Parties wish to resolve any and all disputes, claims, complaints, grievances, charges, actions, petitions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demands that Executive 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for good and valuable consideration, including the mutual promises and covenants made herein,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and Executive hereby agree as follows:</w:t>
      </w:r>
    </w:p>
    <w:p>
      <w:pPr>
        <w:spacing w:after="0" w:line="1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b w:val="1"/>
          <w:bCs w:val="1"/>
          <w:color w:val="auto"/>
        </w:rPr>
        <w:t>COVENANTS</w:t>
      </w:r>
    </w:p>
    <w:p>
      <w:pPr>
        <w:spacing w:after="0" w:line="118"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19"/>
          <w:szCs w:val="19"/>
          <w:color w:val="auto"/>
        </w:rPr>
        <w:t>1.</w:t>
      </w:r>
      <w:r>
        <w:rPr>
          <w:sz w:val="20"/>
          <w:szCs w:val="20"/>
          <w:color w:val="auto"/>
        </w:rPr>
        <w:tab/>
      </w:r>
      <w:r>
        <w:rPr>
          <w:rFonts w:ascii="Times New Roman" w:cs="Times New Roman" w:eastAsia="Times New Roman" w:hAnsi="Times New Roman"/>
          <w:sz w:val="19"/>
          <w:szCs w:val="19"/>
          <w:u w:val="single" w:color="auto"/>
          <w:color w:val="auto"/>
        </w:rPr>
        <w:t>Termination</w:t>
      </w:r>
      <w:r>
        <w:rPr>
          <w:rFonts w:ascii="Times New Roman" w:cs="Times New Roman" w:eastAsia="Times New Roman" w:hAnsi="Times New Roman"/>
          <w:sz w:val="19"/>
          <w:szCs w:val="19"/>
          <w:color w:val="auto"/>
        </w:rPr>
        <w:t>. Executive’s employment with the Company terminated on the Termination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114" w:lineRule="exact"/>
        <w:rPr>
          <w:sz w:val="20"/>
          <w:szCs w:val="20"/>
          <w:color w:val="auto"/>
        </w:rPr>
      </w:pPr>
    </w:p>
    <w:p>
      <w:pPr>
        <w:jc w:val="both"/>
        <w:ind w:right="20" w:firstLine="632"/>
        <w:spacing w:after="0" w:line="265" w:lineRule="auto"/>
        <w:tabs>
          <w:tab w:leader="none" w:pos="99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 of Salary and Receipt of All Benefits</w:t>
      </w:r>
      <w:r>
        <w:rPr>
          <w:rFonts w:ascii="Times New Roman" w:cs="Times New Roman" w:eastAsia="Times New Roman" w:hAnsi="Times New Roman"/>
          <w:sz w:val="19"/>
          <w:szCs w:val="19"/>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296" w:lineRule="exact"/>
        <w:rPr>
          <w:rFonts w:ascii="Times New Roman" w:cs="Times New Roman" w:eastAsia="Times New Roman" w:hAnsi="Times New Roman"/>
          <w:sz w:val="19"/>
          <w:szCs w:val="19"/>
          <w:color w:val="auto"/>
        </w:rPr>
      </w:pPr>
    </w:p>
    <w:p>
      <w:pPr>
        <w:jc w:val="both"/>
        <w:ind w:firstLine="632"/>
        <w:spacing w:after="0" w:line="264" w:lineRule="auto"/>
        <w:tabs>
          <w:tab w:leader="none" w:pos="1045"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Release of Claims</w:t>
      </w:r>
      <w:r>
        <w:rPr>
          <w:rFonts w:ascii="Times New Roman" w:cs="Times New Roman" w:eastAsia="Times New Roman" w:hAnsi="Times New Roman"/>
          <w:sz w:val="19"/>
          <w:szCs w:val="19"/>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Times New Roman" w:cs="Times New Roman" w:eastAsia="Times New Roman" w:hAnsi="Times New Roman"/>
          <w:sz w:val="19"/>
          <w:szCs w:val="19"/>
          <w:b w:val="1"/>
          <w:bCs w:val="1"/>
          <w:i w:val="1"/>
          <w:iCs w:val="1"/>
          <w:color w:val="auto"/>
        </w:rPr>
        <w:t>Releasees</w:t>
      </w:r>
      <w:r>
        <w:rPr>
          <w:rFonts w:ascii="Times New Roman" w:cs="Times New Roman" w:eastAsia="Times New Roman" w:hAnsi="Times New Roman"/>
          <w:sz w:val="19"/>
          <w:szCs w:val="19"/>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w:t>
      </w:r>
    </w:p>
    <w:p>
      <w:pPr>
        <w:sectPr>
          <w:pgSz w:w="11900" w:h="16838" w:orient="portrait"/>
          <w:cols w:equalWidth="0" w:num="1">
            <w:col w:w="10740"/>
          </w:cols>
          <w:pgMar w:left="420" w:top="1402" w:right="7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9"/>
          <w:szCs w:val="19"/>
          <w:color w:val="auto"/>
        </w:rPr>
        <w:t>of the Releasees arising from any omissions, acts, facts, or damages that have occurred up until and including the Effective Date of this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including, without limitation the following:</w:t>
      </w:r>
    </w:p>
    <w:p>
      <w:pPr>
        <w:spacing w:after="0" w:line="100" w:lineRule="exact"/>
        <w:rPr>
          <w:sz w:val="20"/>
          <w:szCs w:val="20"/>
          <w:color w:val="auto"/>
        </w:rPr>
      </w:pPr>
    </w:p>
    <w:p>
      <w:pPr>
        <w:ind w:right="1020" w:firstLine="1270"/>
        <w:spacing w:after="0" w:line="301" w:lineRule="auto"/>
        <w:tabs>
          <w:tab w:leader="none" w:pos="174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Executive’s employment relationship with the Company and the termination of that relationship;</w:t>
      </w:r>
    </w:p>
    <w:p>
      <w:pPr>
        <w:spacing w:after="0" w:line="37" w:lineRule="exact"/>
        <w:rPr>
          <w:rFonts w:ascii="Times New Roman" w:cs="Times New Roman" w:eastAsia="Times New Roman" w:hAnsi="Times New Roman"/>
          <w:sz w:val="19"/>
          <w:szCs w:val="19"/>
          <w:color w:val="auto"/>
        </w:rPr>
      </w:pPr>
    </w:p>
    <w:p>
      <w:pPr>
        <w:jc w:val="both"/>
        <w:ind w:right="320" w:firstLine="1270"/>
        <w:spacing w:after="0" w:line="274" w:lineRule="auto"/>
        <w:tabs>
          <w:tab w:leader="none" w:pos="1702"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49" w:lineRule="exact"/>
        <w:rPr>
          <w:rFonts w:ascii="Times New Roman" w:cs="Times New Roman" w:eastAsia="Times New Roman" w:hAnsi="Times New Roman"/>
          <w:sz w:val="19"/>
          <w:szCs w:val="19"/>
          <w:color w:val="auto"/>
        </w:rPr>
      </w:pPr>
    </w:p>
    <w:p>
      <w:pPr>
        <w:jc w:val="both"/>
        <w:ind w:right="100" w:firstLine="1270"/>
        <w:spacing w:after="0" w:line="268" w:lineRule="auto"/>
        <w:tabs>
          <w:tab w:leader="none" w:pos="1706"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56" w:lineRule="exact"/>
        <w:rPr>
          <w:rFonts w:ascii="Times New Roman" w:cs="Times New Roman" w:eastAsia="Times New Roman" w:hAnsi="Times New Roman"/>
          <w:sz w:val="19"/>
          <w:szCs w:val="19"/>
          <w:color w:val="auto"/>
        </w:rPr>
      </w:pPr>
    </w:p>
    <w:p>
      <w:pPr>
        <w:jc w:val="both"/>
        <w:ind w:right="160" w:firstLine="1270"/>
        <w:spacing w:after="0" w:line="264" w:lineRule="auto"/>
        <w:tabs>
          <w:tab w:leader="none" w:pos="171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 Oxley Act of2002; the California Family Rights Act; the California Labor Code; the California Workers’ Compensation Act; and the California Fair Employment and Housing Act;</w:t>
      </w:r>
    </w:p>
    <w:p>
      <w:pPr>
        <w:spacing w:after="0" w:line="73" w:lineRule="exact"/>
        <w:rPr>
          <w:rFonts w:ascii="Times New Roman" w:cs="Times New Roman" w:eastAsia="Times New Roman" w:hAnsi="Times New Roman"/>
          <w:sz w:val="19"/>
          <w:szCs w:val="19"/>
          <w:color w:val="auto"/>
        </w:rPr>
      </w:pPr>
    </w:p>
    <w:p>
      <w:pPr>
        <w:ind w:left="1680" w:hanging="409"/>
        <w:spacing w:after="0"/>
        <w:tabs>
          <w:tab w:leader="none" w:pos="168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violation of the federal, or any state, constitution;</w:t>
      </w:r>
    </w:p>
    <w:p>
      <w:pPr>
        <w:spacing w:after="0" w:line="127" w:lineRule="exact"/>
        <w:rPr>
          <w:rFonts w:ascii="Times New Roman" w:cs="Times New Roman" w:eastAsia="Times New Roman" w:hAnsi="Times New Roman"/>
          <w:sz w:val="19"/>
          <w:szCs w:val="19"/>
          <w:color w:val="auto"/>
        </w:rPr>
      </w:pPr>
    </w:p>
    <w:p>
      <w:pPr>
        <w:ind w:left="1760" w:hanging="490"/>
        <w:spacing w:after="0"/>
        <w:tabs>
          <w:tab w:leader="none" w:pos="17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arising out of any other laws and regulations relating to employment or employment</w:t>
      </w:r>
    </w:p>
    <w:p>
      <w:pPr>
        <w:spacing w:after="0" w:line="2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discrimination;</w:t>
      </w:r>
    </w:p>
    <w:p>
      <w:pPr>
        <w:spacing w:after="0" w:line="105" w:lineRule="exact"/>
        <w:rPr>
          <w:rFonts w:ascii="Times New Roman" w:cs="Times New Roman" w:eastAsia="Times New Roman" w:hAnsi="Times New Roman"/>
          <w:sz w:val="19"/>
          <w:szCs w:val="19"/>
          <w:color w:val="auto"/>
        </w:rPr>
      </w:pPr>
    </w:p>
    <w:p>
      <w:pPr>
        <w:ind w:right="280" w:firstLine="1270"/>
        <w:spacing w:after="0" w:line="286" w:lineRule="auto"/>
        <w:tabs>
          <w:tab w:leader="none" w:pos="170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claim for any loss, cost, damage, or expense arising out of any dispute over the non- withholding or other tax treatment of any of the proceeds received by Executive as a result of this Agreement; and</w:t>
      </w:r>
    </w:p>
    <w:p>
      <w:pPr>
        <w:spacing w:after="0" w:line="51" w:lineRule="exact"/>
        <w:rPr>
          <w:rFonts w:ascii="Times New Roman" w:cs="Times New Roman" w:eastAsia="Times New Roman" w:hAnsi="Times New Roman"/>
          <w:sz w:val="19"/>
          <w:szCs w:val="19"/>
          <w:color w:val="auto"/>
        </w:rPr>
      </w:pPr>
    </w:p>
    <w:p>
      <w:pPr>
        <w:ind w:left="1700" w:hanging="429"/>
        <w:spacing w:after="0"/>
        <w:tabs>
          <w:tab w:leader="none" w:pos="170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and all claims for attorneys’ fees and costs.</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Executive agrees that the release set forth in this Section 3 (the “</w:t>
      </w:r>
      <w:r>
        <w:rPr>
          <w:rFonts w:ascii="Times New Roman" w:cs="Times New Roman" w:eastAsia="Times New Roman" w:hAnsi="Times New Roman"/>
          <w:sz w:val="19"/>
          <w:szCs w:val="19"/>
          <w:b w:val="1"/>
          <w:bCs w:val="1"/>
          <w:i w:val="1"/>
          <w:iCs w:val="1"/>
          <w:color w:val="auto"/>
        </w:rPr>
        <w:t>Release</w:t>
      </w:r>
      <w:r>
        <w:rPr>
          <w:rFonts w:ascii="Times New Roman" w:cs="Times New Roman" w:eastAsia="Times New Roman" w:hAnsi="Times New Roman"/>
          <w:sz w:val="19"/>
          <w:szCs w:val="19"/>
          <w:color w:val="auto"/>
        </w:rPr>
        <w:t>”)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Section 3. Nothing in this Agreement waives Executive’s rights to indemnification or any payments under any fiduciary insurance policy, if any, provided by any act or agreement of the Company, state or federal law or policy of insurance.</w:t>
      </w:r>
    </w:p>
    <w:p>
      <w:pPr>
        <w:spacing w:after="0" w:line="75" w:lineRule="exact"/>
        <w:rPr>
          <w:sz w:val="20"/>
          <w:szCs w:val="20"/>
          <w:color w:val="auto"/>
        </w:rPr>
      </w:pPr>
    </w:p>
    <w:p>
      <w:pPr>
        <w:jc w:val="both"/>
        <w:ind w:right="200" w:firstLine="632"/>
        <w:spacing w:after="0" w:line="265" w:lineRule="auto"/>
        <w:tabs>
          <w:tab w:leader="none" w:pos="978"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Protected Rights</w:t>
      </w:r>
      <w:r>
        <w:rPr>
          <w:rFonts w:ascii="Times New Roman" w:cs="Times New Roman" w:eastAsia="Times New Roman" w:hAnsi="Times New Roman"/>
          <w:sz w:val="19"/>
          <w:szCs w:val="19"/>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 w:cs="Times New Roman" w:eastAsia="Times New Roman" w:hAnsi="Times New Roman"/>
          <w:sz w:val="19"/>
          <w:szCs w:val="19"/>
          <w:b w:val="1"/>
          <w:bCs w:val="1"/>
          <w:i w:val="1"/>
          <w:iCs w:val="1"/>
          <w:color w:val="auto"/>
        </w:rPr>
        <w:t>Government Agencies</w:t>
      </w:r>
      <w:r>
        <w:rPr>
          <w:rFonts w:ascii="Times New Roman" w:cs="Times New Roman" w:eastAsia="Times New Roman" w:hAnsi="Times New Roman"/>
          <w:sz w:val="19"/>
          <w:szCs w:val="19"/>
          <w:color w:val="auto"/>
        </w:rPr>
        <w:t>”).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w:t>
      </w:r>
    </w:p>
    <w:p>
      <w:pPr>
        <w:sectPr>
          <w:pgSz w:w="11900" w:h="16838" w:orient="portrait"/>
          <w:cols w:equalWidth="0" w:num="1">
            <w:col w:w="10860"/>
          </w:cols>
          <w:pgMar w:left="420" w:top="1406" w:right="6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9"/>
          <w:szCs w:val="19"/>
          <w:color w:val="auto"/>
        </w:rPr>
        <w:t>does not limit Executive’s right to receive an award for information provided to any Government Agencies.</w:t>
      </w:r>
    </w:p>
    <w:p>
      <w:pPr>
        <w:spacing w:after="0" w:line="127" w:lineRule="exact"/>
        <w:rPr>
          <w:sz w:val="20"/>
          <w:szCs w:val="20"/>
          <w:color w:val="auto"/>
        </w:rPr>
      </w:pPr>
    </w:p>
    <w:p>
      <w:pPr>
        <w:jc w:val="both"/>
        <w:ind w:right="460" w:firstLine="632"/>
        <w:spacing w:after="0" w:line="260" w:lineRule="auto"/>
        <w:tabs>
          <w:tab w:leader="none" w:pos="97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Acknowledgment of Waiver of Claims under ADEA</w:t>
      </w:r>
      <w:r>
        <w:rPr>
          <w:rFonts w:ascii="Times New Roman" w:cs="Times New Roman" w:eastAsia="Times New Roman" w:hAnsi="Times New Roman"/>
          <w:sz w:val="19"/>
          <w:szCs w:val="19"/>
          <w:color w:val="auto"/>
        </w:rPr>
        <w:t>. Executive acknowledges that Executive is waiving and releasing any rights Executive may have under the Age Discrimination in Employment Act of 1967 (“</w:t>
      </w:r>
      <w:r>
        <w:rPr>
          <w:rFonts w:ascii="Times New Roman" w:cs="Times New Roman" w:eastAsia="Times New Roman" w:hAnsi="Times New Roman"/>
          <w:sz w:val="19"/>
          <w:szCs w:val="19"/>
          <w:b w:val="1"/>
          <w:bCs w:val="1"/>
          <w:i w:val="1"/>
          <w:iCs w:val="1"/>
          <w:color w:val="auto"/>
        </w:rPr>
        <w:t>ADEA</w:t>
      </w:r>
      <w:r>
        <w:rPr>
          <w:rFonts w:ascii="Times New Roman" w:cs="Times New Roman" w:eastAsia="Times New Roman" w:hAnsi="Times New Roman"/>
          <w:sz w:val="19"/>
          <w:szCs w:val="19"/>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Times New Roman" w:cs="Times New Roman" w:eastAsia="Times New Roman" w:hAnsi="Times New Roman"/>
          <w:sz w:val="19"/>
          <w:szCs w:val="19"/>
          <w:b w:val="1"/>
          <w:bCs w:val="1"/>
          <w:i w:val="1"/>
          <w:iCs w:val="1"/>
          <w:color w:val="auto"/>
        </w:rPr>
        <w:t>prior</w:t>
      </w:r>
      <w:r>
        <w:rPr>
          <w:rFonts w:ascii="Times New Roman" w:cs="Times New Roman" w:eastAsia="Times New Roman" w:hAnsi="Times New Roman"/>
          <w:sz w:val="19"/>
          <w:szCs w:val="19"/>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Executive Officer of the Company that is received prior to the Effective Date.]</w:t>
      </w:r>
    </w:p>
    <w:p>
      <w:pPr>
        <w:spacing w:after="0" w:line="63" w:lineRule="exact"/>
        <w:rPr>
          <w:rFonts w:ascii="Times New Roman" w:cs="Times New Roman" w:eastAsia="Times New Roman" w:hAnsi="Times New Roman"/>
          <w:sz w:val="19"/>
          <w:szCs w:val="19"/>
          <w:color w:val="auto"/>
        </w:rPr>
      </w:pPr>
    </w:p>
    <w:p>
      <w:pPr>
        <w:ind w:right="260" w:firstLine="632"/>
        <w:spacing w:after="0" w:line="301" w:lineRule="auto"/>
        <w:tabs>
          <w:tab w:leader="none" w:pos="1098"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California Civil Code Section 1542</w:t>
      </w:r>
      <w:r>
        <w:rPr>
          <w:rFonts w:ascii="Times New Roman" w:cs="Times New Roman" w:eastAsia="Times New Roman" w:hAnsi="Times New Roman"/>
          <w:sz w:val="19"/>
          <w:szCs w:val="19"/>
          <w:color w:val="auto"/>
        </w:rPr>
        <w:t>. Executive acknowledges that Executive has been advised to consult with legal counsel and is familiar with the provisions of California Civil Code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1542, a statute that otherwise prohibits the release of unknown claims, which provides as follows:</w:t>
      </w:r>
    </w:p>
    <w:p>
      <w:pPr>
        <w:spacing w:after="0" w:line="114" w:lineRule="exact"/>
        <w:rPr>
          <w:sz w:val="20"/>
          <w:szCs w:val="20"/>
          <w:color w:val="auto"/>
        </w:rPr>
      </w:pPr>
    </w:p>
    <w:p>
      <w:pPr>
        <w:jc w:val="both"/>
        <w:ind w:left="1280" w:right="720"/>
        <w:spacing w:after="0" w:line="270" w:lineRule="auto"/>
        <w:rPr>
          <w:sz w:val="20"/>
          <w:szCs w:val="20"/>
          <w:color w:val="auto"/>
        </w:rPr>
      </w:pPr>
      <w:r>
        <w:rPr>
          <w:rFonts w:ascii="Times New Roman" w:cs="Times New Roman" w:eastAsia="Times New Roman" w:hAnsi="Times New Roman"/>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6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Executive, being aware of California Civil Code Section 1542, agrees to expressly waive any rights Executive may have thereunder, as well as under any other statute or common law principles of similar effect.</w:t>
      </w:r>
    </w:p>
    <w:p>
      <w:pPr>
        <w:spacing w:after="0" w:line="51" w:lineRule="exact"/>
        <w:rPr>
          <w:sz w:val="20"/>
          <w:szCs w:val="20"/>
          <w:color w:val="auto"/>
        </w:rPr>
      </w:pPr>
    </w:p>
    <w:p>
      <w:pPr>
        <w:ind w:right="360" w:firstLine="632"/>
        <w:spacing w:after="0" w:line="286" w:lineRule="auto"/>
        <w:tabs>
          <w:tab w:leader="none" w:pos="1071"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Pending or Future Lawsuits</w:t>
      </w:r>
      <w:r>
        <w:rPr>
          <w:rFonts w:ascii="Times New Roman" w:cs="Times New Roman" w:eastAsia="Times New Roman" w:hAnsi="Times New Roman"/>
          <w:sz w:val="19"/>
          <w:szCs w:val="19"/>
          <w:color w:val="auto"/>
        </w:rPr>
        <w:t>. Executive represents that Executive has no lawsuits, claims, or actions pending in Executive’s name, or on behalf of any other person or entity, against the</w:t>
      </w:r>
    </w:p>
    <w:p>
      <w:pPr>
        <w:spacing w:after="0" w:line="51"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9"/>
          <w:szCs w:val="19"/>
          <w:color w:val="auto"/>
        </w:rPr>
        <w:t>Company or any of the other Releasees. Executive also represents that Executive does not intend to bring any claims on Executive’s own behalf or on behalf of any other person or entity against the Company or any of the other Releasees.</w:t>
      </w:r>
    </w:p>
    <w:p>
      <w:pPr>
        <w:spacing w:after="0" w:line="24" w:lineRule="exact"/>
        <w:rPr>
          <w:sz w:val="20"/>
          <w:szCs w:val="20"/>
          <w:color w:val="auto"/>
        </w:rPr>
      </w:pPr>
    </w:p>
    <w:p>
      <w:pPr>
        <w:ind w:right="20" w:firstLine="632"/>
        <w:spacing w:after="0" w:line="301" w:lineRule="auto"/>
        <w:tabs>
          <w:tab w:leader="none" w:pos="104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Sufficiency of Consideration</w:t>
      </w:r>
      <w:r>
        <w:rPr>
          <w:rFonts w:ascii="Times New Roman" w:cs="Times New Roman" w:eastAsia="Times New Roman" w:hAnsi="Times New Roman"/>
          <w:sz w:val="19"/>
          <w:szCs w:val="19"/>
          <w:color w:val="auto"/>
        </w:rPr>
        <w:t>. Executive hereby acknowledges and agrees that Executive has received good and sufficient consideration for every promise, duty, release, obligation, agreement and right contained in this Release.</w:t>
      </w:r>
    </w:p>
    <w:p>
      <w:pPr>
        <w:spacing w:after="0" w:line="23" w:lineRule="exact"/>
        <w:rPr>
          <w:rFonts w:ascii="Times New Roman" w:cs="Times New Roman" w:eastAsia="Times New Roman" w:hAnsi="Times New Roman"/>
          <w:sz w:val="19"/>
          <w:szCs w:val="19"/>
          <w:color w:val="auto"/>
        </w:rPr>
      </w:pPr>
    </w:p>
    <w:p>
      <w:pPr>
        <w:jc w:val="both"/>
        <w:ind w:right="340" w:firstLine="632"/>
        <w:spacing w:after="0" w:line="264" w:lineRule="auto"/>
        <w:tabs>
          <w:tab w:leader="none" w:pos="109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w:t>
      </w:r>
      <w:r>
        <w:rPr>
          <w:rFonts w:ascii="Times New Roman" w:cs="Times New Roman" w:eastAsia="Times New Roman" w:hAnsi="Times New Roman"/>
          <w:sz w:val="19"/>
          <w:szCs w:val="19"/>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w:t>
      </w:r>
    </w:p>
    <w:p>
      <w:pPr>
        <w:sectPr>
          <w:pgSz w:w="11900" w:h="16838" w:orient="portrait"/>
          <w:cols w:equalWidth="0" w:num="1">
            <w:col w:w="10760"/>
          </w:cols>
          <w:pgMar w:left="420" w:top="1406" w:right="719" w:bottom="1440" w:gutter="0" w:footer="0" w:header="0"/>
        </w:sectPr>
      </w:pPr>
    </w:p>
    <w:bookmarkStart w:id="87" w:name="page88"/>
    <w:bookmarkEnd w:id="87"/>
    <w:p>
      <w:pPr>
        <w:ind w:right="340"/>
        <w:spacing w:after="0" w:line="301" w:lineRule="auto"/>
        <w:rPr>
          <w:sz w:val="20"/>
          <w:szCs w:val="20"/>
          <w:color w:val="auto"/>
        </w:rPr>
      </w:pPr>
      <w:r>
        <w:rPr>
          <w:rFonts w:ascii="Times New Roman" w:cs="Times New Roman" w:eastAsia="Times New Roman" w:hAnsi="Times New Roman"/>
          <w:sz w:val="19"/>
          <w:szCs w:val="19"/>
          <w:color w:val="auto"/>
        </w:rPr>
        <w:t>Agreement that conflict with the provisions regarding solicitation of employees contained in this Agreement, the provisions of this Agreement will control.</w:t>
      </w:r>
    </w:p>
    <w:p>
      <w:pPr>
        <w:spacing w:after="0" w:line="24" w:lineRule="exact"/>
        <w:rPr>
          <w:sz w:val="20"/>
          <w:szCs w:val="20"/>
          <w:color w:val="auto"/>
        </w:rPr>
      </w:pPr>
    </w:p>
    <w:p>
      <w:pPr>
        <w:jc w:val="both"/>
        <w:ind w:right="40" w:firstLine="632"/>
        <w:spacing w:after="0" w:line="262" w:lineRule="auto"/>
        <w:tabs>
          <w:tab w:leader="none" w:pos="1195"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Company Property; Passwords and Password-protected Documents</w:t>
      </w:r>
      <w:r>
        <w:rPr>
          <w:rFonts w:ascii="Times New Roman" w:cs="Times New Roman" w:eastAsia="Times New Roman" w:hAnsi="Times New Roman"/>
          <w:sz w:val="19"/>
          <w:szCs w:val="19"/>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312" w:lineRule="exact"/>
        <w:rPr>
          <w:rFonts w:ascii="Times New Roman" w:cs="Times New Roman" w:eastAsia="Times New Roman" w:hAnsi="Times New Roman"/>
          <w:sz w:val="19"/>
          <w:szCs w:val="19"/>
          <w:color w:val="auto"/>
        </w:rPr>
      </w:pPr>
    </w:p>
    <w:p>
      <w:pPr>
        <w:jc w:val="both"/>
        <w:ind w:right="20" w:firstLine="632"/>
        <w:spacing w:after="0" w:line="265" w:lineRule="auto"/>
        <w:tabs>
          <w:tab w:leader="none" w:pos="1122"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Cooperation</w:t>
      </w:r>
      <w:r>
        <w:rPr>
          <w:rFonts w:ascii="Times New Roman" w:cs="Times New Roman" w:eastAsia="Times New Roman" w:hAnsi="Times New Roman"/>
          <w:sz w:val="19"/>
          <w:szCs w:val="19"/>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296" w:lineRule="exact"/>
        <w:rPr>
          <w:rFonts w:ascii="Times New Roman" w:cs="Times New Roman" w:eastAsia="Times New Roman" w:hAnsi="Times New Roman"/>
          <w:sz w:val="19"/>
          <w:szCs w:val="19"/>
          <w:color w:val="auto"/>
        </w:rPr>
      </w:pPr>
    </w:p>
    <w:p>
      <w:pPr>
        <w:ind w:left="1100" w:hanging="468"/>
        <w:spacing w:after="0"/>
        <w:tabs>
          <w:tab w:leader="none" w:pos="110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Nondisparagement</w:t>
      </w:r>
      <w:r>
        <w:rPr>
          <w:rFonts w:ascii="Times New Roman" w:cs="Times New Roman" w:eastAsia="Times New Roman" w:hAnsi="Times New Roman"/>
          <w:sz w:val="19"/>
          <w:szCs w:val="19"/>
          <w:color w:val="auto"/>
        </w:rPr>
        <w:t>. Executive agrees that Executive will not in any way, directly or indirectly, do or say anything at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time which disparages the Company, its business interests or reputation, or that of any of the other Released Parties.</w:t>
      </w:r>
    </w:p>
    <w:p>
      <w:pPr>
        <w:spacing w:after="0" w:line="113" w:lineRule="exact"/>
        <w:rPr>
          <w:sz w:val="20"/>
          <w:szCs w:val="20"/>
          <w:color w:val="auto"/>
        </w:rPr>
      </w:pPr>
    </w:p>
    <w:p>
      <w:pPr>
        <w:jc w:val="both"/>
        <w:ind w:firstLine="632"/>
        <w:spacing w:after="0" w:line="266" w:lineRule="auto"/>
        <w:tabs>
          <w:tab w:leader="none" w:pos="1142"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Admission of Liability</w:t>
      </w:r>
      <w:r>
        <w:rPr>
          <w:rFonts w:ascii="Times New Roman" w:cs="Times New Roman" w:eastAsia="Times New Roman" w:hAnsi="Times New Roman"/>
          <w:sz w:val="19"/>
          <w:szCs w:val="19"/>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68" w:lineRule="exact"/>
        <w:rPr>
          <w:rFonts w:ascii="Times New Roman" w:cs="Times New Roman" w:eastAsia="Times New Roman" w:hAnsi="Times New Roman"/>
          <w:sz w:val="19"/>
          <w:szCs w:val="19"/>
          <w:color w:val="auto"/>
        </w:rPr>
      </w:pPr>
    </w:p>
    <w:p>
      <w:pPr>
        <w:jc w:val="both"/>
        <w:ind w:right="140" w:firstLine="632"/>
        <w:spacing w:after="0" w:line="270" w:lineRule="auto"/>
        <w:tabs>
          <w:tab w:leader="none" w:pos="1102"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Solicitation of Employees</w:t>
      </w:r>
      <w:r>
        <w:rPr>
          <w:rFonts w:ascii="Times New Roman" w:cs="Times New Roman" w:eastAsia="Times New Roman" w:hAnsi="Times New Roman"/>
          <w:sz w:val="19"/>
          <w:szCs w:val="19"/>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53" w:lineRule="exact"/>
        <w:rPr>
          <w:rFonts w:ascii="Times New Roman" w:cs="Times New Roman" w:eastAsia="Times New Roman" w:hAnsi="Times New Roman"/>
          <w:sz w:val="19"/>
          <w:szCs w:val="19"/>
          <w:color w:val="auto"/>
        </w:rPr>
      </w:pPr>
    </w:p>
    <w:p>
      <w:pPr>
        <w:ind w:right="140" w:firstLine="632"/>
        <w:spacing w:after="0" w:line="301" w:lineRule="auto"/>
        <w:tabs>
          <w:tab w:leader="none" w:pos="1235"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Costs</w:t>
      </w:r>
      <w:r>
        <w:rPr>
          <w:rFonts w:ascii="Times New Roman" w:cs="Times New Roman" w:eastAsia="Times New Roman" w:hAnsi="Times New Roman"/>
          <w:sz w:val="19"/>
          <w:szCs w:val="19"/>
          <w:color w:val="auto"/>
        </w:rPr>
        <w:t>. The Parties will each bear their own costs, attorneys’ fees and other fees incurred in connection with the preparation of this Agreement.</w:t>
      </w:r>
    </w:p>
    <w:p>
      <w:pPr>
        <w:spacing w:after="0" w:line="23" w:lineRule="exact"/>
        <w:rPr>
          <w:rFonts w:ascii="Times New Roman" w:cs="Times New Roman" w:eastAsia="Times New Roman" w:hAnsi="Times New Roman"/>
          <w:sz w:val="19"/>
          <w:szCs w:val="19"/>
          <w:color w:val="auto"/>
        </w:rPr>
      </w:pPr>
    </w:p>
    <w:p>
      <w:pPr>
        <w:jc w:val="both"/>
        <w:ind w:firstLine="632"/>
        <w:spacing w:after="0" w:line="262" w:lineRule="auto"/>
        <w:tabs>
          <w:tab w:leader="none" w:pos="1169"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Arbitration</w:t>
      </w:r>
      <w:r>
        <w:rPr>
          <w:rFonts w:ascii="Times New Roman" w:cs="Times New Roman" w:eastAsia="Times New Roman" w:hAnsi="Times New Roman"/>
          <w:sz w:val="19"/>
          <w:szCs w:val="19"/>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Times New Roman" w:cs="Times New Roman" w:eastAsia="Times New Roman" w:hAnsi="Times New Roman"/>
          <w:sz w:val="19"/>
          <w:szCs w:val="19"/>
          <w:b w:val="1"/>
          <w:bCs w:val="1"/>
          <w:i w:val="1"/>
          <w:iCs w:val="1"/>
          <w:color w:val="auto"/>
        </w:rPr>
        <w:t>JAMS</w:t>
      </w:r>
      <w:r>
        <w:rPr>
          <w:rFonts w:ascii="Times New Roman" w:cs="Times New Roman" w:eastAsia="Times New Roman" w:hAnsi="Times New Roman"/>
          <w:sz w:val="19"/>
          <w:szCs w:val="19"/>
          <w:color w:val="auto"/>
        </w:rPr>
        <w:t>”), PURSUANT TO ITS EMPLOYMENT ARBITRATION RULES &amp; PROCEDURES (“</w:t>
      </w:r>
      <w:r>
        <w:rPr>
          <w:rFonts w:ascii="Times New Roman" w:cs="Times New Roman" w:eastAsia="Times New Roman" w:hAnsi="Times New Roman"/>
          <w:sz w:val="19"/>
          <w:szCs w:val="19"/>
          <w:b w:val="1"/>
          <w:bCs w:val="1"/>
          <w:i w:val="1"/>
          <w:iCs w:val="1"/>
          <w:color w:val="auto"/>
        </w:rPr>
        <w:t>JAMS RULES</w:t>
      </w:r>
      <w:r>
        <w:rPr>
          <w:rFonts w:ascii="Times New Roman" w:cs="Times New Roman" w:eastAsia="Times New Roman" w:hAnsi="Times New Roman"/>
          <w:sz w:val="19"/>
          <w:szCs w:val="19"/>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w:t>
      </w:r>
    </w:p>
    <w:p>
      <w:pPr>
        <w:sectPr>
          <w:pgSz w:w="11900" w:h="16838" w:orient="portrait"/>
          <w:cols w:equalWidth="0" w:num="1">
            <w:col w:w="10740"/>
          </w:cols>
          <w:pgMar w:left="420" w:top="1406" w:right="739" w:bottom="1440" w:gutter="0" w:footer="0" w:header="0"/>
        </w:sectPr>
      </w:pPr>
    </w:p>
    <w:bookmarkStart w:id="88" w:name="page89"/>
    <w:bookmarkEnd w:id="88"/>
    <w:p>
      <w:pPr>
        <w:jc w:val="both"/>
        <w:ind w:right="100"/>
        <w:spacing w:after="0" w:line="260" w:lineRule="auto"/>
        <w:rPr>
          <w:sz w:val="20"/>
          <w:szCs w:val="20"/>
          <w:color w:val="auto"/>
        </w:rPr>
      </w:pPr>
      <w:r>
        <w:rPr>
          <w:rFonts w:ascii="Times New Roman" w:cs="Times New Roman" w:eastAsia="Times New Roman" w:hAnsi="Times New Roman"/>
          <w:sz w:val="19"/>
          <w:szCs w:val="19"/>
          <w:color w:val="auto"/>
        </w:rPr>
        <w:t>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p>
    <w:p>
      <w:pPr>
        <w:spacing w:after="0" w:line="74" w:lineRule="exact"/>
        <w:rPr>
          <w:sz w:val="20"/>
          <w:szCs w:val="20"/>
          <w:color w:val="auto"/>
        </w:rPr>
      </w:pPr>
    </w:p>
    <w:p>
      <w:pPr>
        <w:jc w:val="both"/>
        <w:ind w:right="220" w:firstLine="632"/>
        <w:spacing w:after="0" w:line="265" w:lineRule="auto"/>
        <w:tabs>
          <w:tab w:leader="none" w:pos="1102"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Authority</w:t>
      </w:r>
      <w:r>
        <w:rPr>
          <w:rFonts w:ascii="Times New Roman" w:cs="Times New Roman" w:eastAsia="Times New Roman" w:hAnsi="Times New Roman"/>
          <w:sz w:val="19"/>
          <w:szCs w:val="19"/>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70" w:lineRule="exact"/>
        <w:rPr>
          <w:rFonts w:ascii="Times New Roman" w:cs="Times New Roman" w:eastAsia="Times New Roman" w:hAnsi="Times New Roman"/>
          <w:sz w:val="19"/>
          <w:szCs w:val="19"/>
          <w:color w:val="auto"/>
        </w:rPr>
      </w:pPr>
    </w:p>
    <w:p>
      <w:pPr>
        <w:jc w:val="both"/>
        <w:ind w:right="200" w:firstLine="632"/>
        <w:spacing w:after="0" w:line="274" w:lineRule="auto"/>
        <w:tabs>
          <w:tab w:leader="none" w:pos="116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Representations</w:t>
      </w:r>
      <w:r>
        <w:rPr>
          <w:rFonts w:ascii="Times New Roman" w:cs="Times New Roman" w:eastAsia="Times New Roman" w:hAnsi="Times New Roman"/>
          <w:sz w:val="19"/>
          <w:szCs w:val="19"/>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62" w:lineRule="exact"/>
        <w:rPr>
          <w:rFonts w:ascii="Times New Roman" w:cs="Times New Roman" w:eastAsia="Times New Roman" w:hAnsi="Times New Roman"/>
          <w:sz w:val="19"/>
          <w:szCs w:val="19"/>
          <w:color w:val="auto"/>
        </w:rPr>
      </w:pPr>
    </w:p>
    <w:p>
      <w:pPr>
        <w:jc w:val="both"/>
        <w:ind w:right="100" w:firstLine="632"/>
        <w:spacing w:after="0" w:line="274" w:lineRule="auto"/>
        <w:tabs>
          <w:tab w:leader="none" w:pos="1089"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62" w:lineRule="exact"/>
        <w:rPr>
          <w:rFonts w:ascii="Times New Roman" w:cs="Times New Roman" w:eastAsia="Times New Roman" w:hAnsi="Times New Roman"/>
          <w:sz w:val="19"/>
          <w:szCs w:val="19"/>
          <w:color w:val="auto"/>
        </w:rPr>
      </w:pPr>
    </w:p>
    <w:p>
      <w:pPr>
        <w:jc w:val="both"/>
        <w:ind w:right="280" w:firstLine="632"/>
        <w:spacing w:after="0" w:line="265" w:lineRule="auto"/>
        <w:tabs>
          <w:tab w:leader="none" w:pos="1222"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56" w:lineRule="exact"/>
        <w:rPr>
          <w:rFonts w:ascii="Times New Roman" w:cs="Times New Roman" w:eastAsia="Times New Roman" w:hAnsi="Times New Roman"/>
          <w:sz w:val="19"/>
          <w:szCs w:val="19"/>
          <w:color w:val="auto"/>
        </w:rPr>
      </w:pPr>
    </w:p>
    <w:p>
      <w:pPr>
        <w:ind w:left="1120" w:hanging="488"/>
        <w:spacing w:after="0"/>
        <w:tabs>
          <w:tab w:leader="none" w:pos="112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Oral Modification</w:t>
      </w:r>
      <w:r>
        <w:rPr>
          <w:rFonts w:ascii="Times New Roman" w:cs="Times New Roman" w:eastAsia="Times New Roman" w:hAnsi="Times New Roman"/>
          <w:sz w:val="19"/>
          <w:szCs w:val="19"/>
          <w:color w:val="auto"/>
        </w:rPr>
        <w:t>. This Agreement may only be amended in writing signed by Executive and the Chairman of</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Board of Directors of the Company.</w:t>
      </w:r>
    </w:p>
    <w:p>
      <w:pPr>
        <w:spacing w:after="0" w:line="113" w:lineRule="exact"/>
        <w:rPr>
          <w:sz w:val="20"/>
          <w:szCs w:val="20"/>
          <w:color w:val="auto"/>
        </w:rPr>
      </w:pPr>
    </w:p>
    <w:p>
      <w:pPr>
        <w:ind w:left="-100" w:firstLine="733"/>
        <w:spacing w:after="0" w:line="286" w:lineRule="auto"/>
        <w:tabs>
          <w:tab w:leader="none" w:pos="1105"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will be governed by the laws of the State of California, without regard for choice-of-law provisions. Executive consents to personal and exclusive jurisdiction and venue in the State of California.</w:t>
      </w:r>
    </w:p>
    <w:p>
      <w:pPr>
        <w:spacing w:after="0" w:line="51" w:lineRule="exact"/>
        <w:rPr>
          <w:rFonts w:ascii="Times New Roman" w:cs="Times New Roman" w:eastAsia="Times New Roman" w:hAnsi="Times New Roman"/>
          <w:sz w:val="19"/>
          <w:szCs w:val="19"/>
          <w:color w:val="auto"/>
        </w:rPr>
      </w:pPr>
    </w:p>
    <w:p>
      <w:pPr>
        <w:jc w:val="both"/>
        <w:ind w:left="-100" w:firstLine="733"/>
        <w:spacing w:after="0" w:line="274" w:lineRule="auto"/>
        <w:tabs>
          <w:tab w:leader="none" w:pos="1132"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[Executive understands that this Agreement will be null and void if not executed by Executive within 21 days. Each Party has seven days after that Party signs this Agreement to revoke it. This Agreement will become effective on the eighth (8th) day after Executive signed this</w:t>
      </w:r>
    </w:p>
    <w:p>
      <w:pPr>
        <w:sectPr>
          <w:pgSz w:w="11900" w:h="16838" w:orient="portrait"/>
          <w:cols w:equalWidth="0" w:num="1">
            <w:col w:w="10840"/>
          </w:cols>
          <w:pgMar w:left="420" w:top="1406" w:right="639" w:bottom="1440" w:gutter="0" w:footer="0" w:header="0"/>
        </w:sectPr>
      </w:pPr>
    </w:p>
    <w:bookmarkStart w:id="89" w:name="page90"/>
    <w:bookmarkEnd w:id="89"/>
    <w:p>
      <w:pPr>
        <w:spacing w:after="0" w:line="305" w:lineRule="auto"/>
        <w:rPr>
          <w:sz w:val="20"/>
          <w:szCs w:val="20"/>
          <w:color w:val="auto"/>
        </w:rPr>
      </w:pPr>
      <w:r>
        <w:rPr>
          <w:rFonts w:ascii="Times New Roman" w:cs="Times New Roman" w:eastAsia="Times New Roman" w:hAnsi="Times New Roman"/>
          <w:sz w:val="19"/>
          <w:szCs w:val="19"/>
          <w:color w:val="auto"/>
        </w:rPr>
        <w:t>Agreement, so long as it has been signed by the Parties and has not been revoked by either Party before that date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OR [This Agreement will be effective after it has been signed or executed by both Parties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w:t>
      </w:r>
    </w:p>
    <w:p>
      <w:pPr>
        <w:spacing w:after="0" w:line="20" w:lineRule="exact"/>
        <w:rPr>
          <w:sz w:val="20"/>
          <w:szCs w:val="20"/>
          <w:color w:val="auto"/>
        </w:rPr>
      </w:pPr>
    </w:p>
    <w:p>
      <w:pPr>
        <w:jc w:val="both"/>
        <w:ind w:left="100" w:right="380" w:firstLine="632"/>
        <w:spacing w:after="0" w:line="296" w:lineRule="auto"/>
        <w:tabs>
          <w:tab w:leader="none" w:pos="1229"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272" w:lineRule="exact"/>
        <w:rPr>
          <w:rFonts w:ascii="Times New Roman" w:cs="Times New Roman" w:eastAsia="Times New Roman" w:hAnsi="Times New Roman"/>
          <w:sz w:val="19"/>
          <w:szCs w:val="19"/>
          <w:color w:val="auto"/>
        </w:rPr>
      </w:pPr>
    </w:p>
    <w:p>
      <w:pPr>
        <w:jc w:val="both"/>
        <w:ind w:left="100" w:right="320" w:firstLine="632"/>
        <w:spacing w:after="0" w:line="274" w:lineRule="auto"/>
        <w:tabs>
          <w:tab w:leader="none" w:pos="1375"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Execution of Agreement</w:t>
      </w:r>
      <w:r>
        <w:rPr>
          <w:rFonts w:ascii="Times New Roman" w:cs="Times New Roman" w:eastAsia="Times New Roman" w:hAnsi="Times New Roman"/>
          <w:sz w:val="19"/>
          <w:szCs w:val="19"/>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62" w:lineRule="exact"/>
        <w:rPr>
          <w:rFonts w:ascii="Times New Roman" w:cs="Times New Roman" w:eastAsia="Times New Roman" w:hAnsi="Times New Roman"/>
          <w:sz w:val="19"/>
          <w:szCs w:val="19"/>
          <w:color w:val="auto"/>
        </w:rPr>
      </w:pPr>
    </w:p>
    <w:p>
      <w:pPr>
        <w:ind w:left="1780" w:hanging="409"/>
        <w:spacing w:after="0"/>
        <w:tabs>
          <w:tab w:leader="none" w:pos="178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read this Agreement;</w:t>
      </w:r>
    </w:p>
    <w:p>
      <w:pPr>
        <w:spacing w:after="0" w:line="127" w:lineRule="exact"/>
        <w:rPr>
          <w:rFonts w:ascii="Times New Roman" w:cs="Times New Roman" w:eastAsia="Times New Roman" w:hAnsi="Times New Roman"/>
          <w:sz w:val="19"/>
          <w:szCs w:val="19"/>
          <w:color w:val="auto"/>
        </w:rPr>
      </w:pPr>
    </w:p>
    <w:p>
      <w:pPr>
        <w:ind w:left="2000" w:right="200" w:hanging="629"/>
        <w:spacing w:after="0" w:line="286" w:lineRule="auto"/>
        <w:tabs>
          <w:tab w:leader="none" w:pos="1815"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has been represented in the preparation, negotiation, and execution of this Agreement by legal counsel of Executive’s own choice or has elected not to retain legal counsel;</w:t>
      </w:r>
    </w:p>
    <w:p>
      <w:pPr>
        <w:spacing w:after="0" w:line="51" w:lineRule="exact"/>
        <w:rPr>
          <w:rFonts w:ascii="Times New Roman" w:cs="Times New Roman" w:eastAsia="Times New Roman" w:hAnsi="Times New Roman"/>
          <w:sz w:val="19"/>
          <w:szCs w:val="19"/>
          <w:color w:val="auto"/>
        </w:rPr>
      </w:pPr>
    </w:p>
    <w:p>
      <w:pPr>
        <w:ind w:left="1780" w:hanging="409"/>
        <w:spacing w:after="0"/>
        <w:tabs>
          <w:tab w:leader="none" w:pos="178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understands the terms and consequences of this Agreement and of the releases it contains; and</w:t>
      </w:r>
    </w:p>
    <w:p>
      <w:pPr>
        <w:spacing w:after="0" w:line="113" w:lineRule="exact"/>
        <w:rPr>
          <w:rFonts w:ascii="Times New Roman" w:cs="Times New Roman" w:eastAsia="Times New Roman" w:hAnsi="Times New Roman"/>
          <w:sz w:val="19"/>
          <w:szCs w:val="19"/>
          <w:color w:val="auto"/>
        </w:rPr>
      </w:pPr>
    </w:p>
    <w:p>
      <w:pPr>
        <w:ind w:left="1800" w:hanging="429"/>
        <w:spacing w:after="0"/>
        <w:tabs>
          <w:tab w:leader="none" w:pos="180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is fully aware of the legal and binding effect of this Agreement.</w:t>
      </w:r>
    </w:p>
    <w:p>
      <w:pPr>
        <w:spacing w:after="0" w:line="127" w:lineRule="exact"/>
        <w:rPr>
          <w:rFonts w:ascii="Times New Roman" w:cs="Times New Roman" w:eastAsia="Times New Roman" w:hAnsi="Times New Roman"/>
          <w:sz w:val="19"/>
          <w:szCs w:val="19"/>
          <w:color w:val="auto"/>
        </w:rPr>
      </w:pPr>
    </w:p>
    <w:p>
      <w:pPr>
        <w:ind w:left="39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 * * *</w:t>
      </w:r>
    </w:p>
    <w:p>
      <w:pPr>
        <w:spacing w:after="0" w:line="1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IN WITNESS WHEREOF, the Parties have executed this Agreement on the respective dates set forth below.</w:t>
      </w:r>
    </w:p>
    <w:p>
      <w:pPr>
        <w:spacing w:after="0" w:line="200" w:lineRule="exact"/>
        <w:rPr>
          <w:sz w:val="20"/>
          <w:szCs w:val="20"/>
          <w:color w:val="auto"/>
        </w:rPr>
      </w:pPr>
    </w:p>
    <w:p>
      <w:pPr>
        <w:spacing w:after="0" w:line="282" w:lineRule="exact"/>
        <w:rPr>
          <w:sz w:val="20"/>
          <w:szCs w:val="20"/>
          <w:color w:val="auto"/>
        </w:rPr>
      </w:pPr>
    </w:p>
    <w:p>
      <w:pPr>
        <w:ind w:left="200"/>
        <w:spacing w:after="0"/>
        <w:tabs>
          <w:tab w:leader="none" w:pos="1360" w:val="left"/>
        </w:tabs>
        <w:rPr>
          <w:sz w:val="20"/>
          <w:szCs w:val="20"/>
          <w:color w:val="auto"/>
        </w:rPr>
      </w:pPr>
      <w:r>
        <w:rPr>
          <w:rFonts w:ascii="Times New Roman" w:cs="Times New Roman" w:eastAsia="Times New Roman" w:hAnsi="Times New Roman"/>
          <w:sz w:val="19"/>
          <w:szCs w:val="19"/>
          <w:b w:val="1"/>
          <w:bCs w:val="1"/>
          <w:color w:val="auto"/>
        </w:rPr>
        <w:t>COMPANY</w:t>
        <w:tab/>
        <w:t>VERACYTE, INC.</w:t>
      </w:r>
    </w:p>
    <w:p>
      <w:pPr>
        <w:spacing w:after="0" w:line="26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-5715</wp:posOffset>
            </wp:positionV>
            <wp:extent cx="1238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33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Name: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-5715</wp:posOffset>
            </wp:positionV>
            <wp:extent cx="7867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320" w:lineRule="exact"/>
        <w:rPr>
          <w:sz w:val="20"/>
          <w:szCs w:val="20"/>
          <w:color w:val="auto"/>
        </w:rPr>
      </w:pPr>
    </w:p>
    <w:p>
      <w:pPr>
        <w:ind w:left="3940"/>
        <w:spacing w:after="0"/>
        <w:tabs>
          <w:tab w:leader="none" w:pos="4580" w:val="left"/>
        </w:tabs>
        <w:rPr>
          <w:sz w:val="20"/>
          <w:szCs w:val="20"/>
          <w:color w:val="auto"/>
        </w:rPr>
      </w:pPr>
      <w:r>
        <w:rPr>
          <w:rFonts w:ascii="Times New Roman" w:cs="Times New Roman" w:eastAsia="Times New Roman" w:hAnsi="Times New Roman"/>
          <w:sz w:val="19"/>
          <w:szCs w:val="19"/>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-5715</wp:posOffset>
            </wp:positionV>
            <wp:extent cx="897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97255" cy="8255"/>
                    </a:xfrm>
                    <a:prstGeom prst="rect">
                      <a:avLst/>
                    </a:prstGeom>
                    <a:noFill/>
                  </pic:spPr>
                </pic:pic>
              </a:graphicData>
            </a:graphic>
          </wp:anchor>
        </w:drawing>
      </w:r>
    </w:p>
    <w:p>
      <w:pPr>
        <w:spacing w:after="0" w:line="2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-5715</wp:posOffset>
            </wp:positionV>
            <wp:extent cx="1238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spacing w:after="0"/>
        <w:tabs>
          <w:tab w:leader="none" w:pos="1520" w:val="left"/>
        </w:tabs>
        <w:rPr>
          <w:sz w:val="20"/>
          <w:szCs w:val="20"/>
          <w:color w:val="auto"/>
        </w:rPr>
      </w:pPr>
      <w:r>
        <w:rPr>
          <w:rFonts w:ascii="Times New Roman" w:cs="Times New Roman" w:eastAsia="Times New Roman" w:hAnsi="Times New Roman"/>
          <w:sz w:val="19"/>
          <w:szCs w:val="19"/>
          <w:b w:val="1"/>
          <w:bCs w:val="1"/>
          <w:color w:val="auto"/>
        </w:rPr>
        <w:t>EXECUTIVE</w:t>
      </w:r>
      <w:r>
        <w:rPr>
          <w:sz w:val="20"/>
          <w:szCs w:val="20"/>
          <w:color w:val="auto"/>
        </w:rPr>
        <w:tab/>
      </w: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-3175</wp:posOffset>
            </wp:positionV>
            <wp:extent cx="1238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2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-5715</wp:posOffset>
            </wp:positionV>
            <wp:extent cx="1238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pacing w:after="0" w:line="30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-5715</wp:posOffset>
            </wp:positionV>
            <wp:extent cx="123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825" cy="8255"/>
                    </a:xfrm>
                    <a:prstGeom prst="rect">
                      <a:avLst/>
                    </a:prstGeom>
                    <a:noFill/>
                  </pic:spPr>
                </pic:pic>
              </a:graphicData>
            </a:graphic>
          </wp:anchor>
        </w:drawing>
      </w:r>
    </w:p>
    <w:p>
      <w:pPr>
        <w:sectPr>
          <w:pgSz w:w="11900" w:h="16838" w:orient="portrait"/>
          <w:cols w:equalWidth="0" w:num="1">
            <w:col w:w="10940"/>
          </w:cols>
          <w:pgMar w:left="320" w:top="1402" w:right="6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8" w:lineRule="exact"/>
        <w:rPr>
          <w:sz w:val="20"/>
          <w:szCs w:val="20"/>
          <w:color w:val="auto"/>
        </w:rPr>
      </w:pPr>
    </w:p>
    <w:p>
      <w:pPr>
        <w:ind w:left="1420" w:hanging="656"/>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March 31, 2026;</w:t>
      </w:r>
    </w:p>
    <w:p>
      <w:pPr>
        <w:spacing w:after="0" w:line="218" w:lineRule="exact"/>
        <w:rPr>
          <w:rFonts w:ascii="Times New Roman" w:cs="Times New Roman" w:eastAsia="Times New Roman" w:hAnsi="Times New Roman"/>
          <w:sz w:val="18"/>
          <w:szCs w:val="18"/>
          <w:color w:val="auto"/>
        </w:rPr>
      </w:pPr>
    </w:p>
    <w:p>
      <w:pPr>
        <w:ind w:right="200" w:firstLine="764"/>
        <w:spacing w:after="0" w:line="261" w:lineRule="auto"/>
        <w:tabs>
          <w:tab w:leader="none" w:pos="14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40" w:firstLine="764"/>
        <w:spacing w:after="0" w:line="275" w:lineRule="auto"/>
        <w:tabs>
          <w:tab w:leader="none" w:pos="14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80" w:firstLine="1442"/>
        <w:spacing w:after="0" w:line="261" w:lineRule="auto"/>
        <w:tabs>
          <w:tab w:leader="none" w:pos="206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40" w:firstLine="1442"/>
        <w:spacing w:after="0" w:line="261" w:lineRule="auto"/>
        <w:tabs>
          <w:tab w:leader="none" w:pos="20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442"/>
        <w:spacing w:after="0" w:line="305" w:lineRule="auto"/>
        <w:tabs>
          <w:tab w:leader="none" w:pos="2061"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07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80" w:firstLine="764"/>
        <w:spacing w:after="0" w:line="305" w:lineRule="auto"/>
        <w:tabs>
          <w:tab w:leader="none" w:pos="141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100" w:firstLine="1442"/>
        <w:spacing w:after="0" w:line="275" w:lineRule="auto"/>
        <w:tabs>
          <w:tab w:leader="none" w:pos="205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20" w:firstLine="1442"/>
        <w:spacing w:after="0" w:line="275" w:lineRule="auto"/>
        <w:tabs>
          <w:tab w:leader="none" w:pos="206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6, 2026</w:t>
            </w:r>
          </w:p>
        </w:tc>
      </w:tr>
    </w:tbl>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8" w:lineRule="exact"/>
        <w:rPr>
          <w:sz w:val="20"/>
          <w:szCs w:val="20"/>
          <w:color w:val="auto"/>
        </w:rPr>
      </w:pPr>
    </w:p>
    <w:p>
      <w:pPr>
        <w:ind w:left="1480" w:hanging="716"/>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March 31, 2026;</w:t>
      </w:r>
    </w:p>
    <w:p>
      <w:pPr>
        <w:spacing w:after="0" w:line="218" w:lineRule="exact"/>
        <w:rPr>
          <w:rFonts w:ascii="Times New Roman" w:cs="Times New Roman" w:eastAsia="Times New Roman" w:hAnsi="Times New Roman"/>
          <w:sz w:val="18"/>
          <w:szCs w:val="18"/>
          <w:color w:val="auto"/>
        </w:rPr>
      </w:pPr>
    </w:p>
    <w:p>
      <w:pPr>
        <w:ind w:right="140" w:firstLine="764"/>
        <w:spacing w:after="0" w:line="261" w:lineRule="auto"/>
        <w:tabs>
          <w:tab w:leader="none" w:pos="14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00" w:firstLine="764"/>
        <w:spacing w:after="0" w:line="275" w:lineRule="auto"/>
        <w:tabs>
          <w:tab w:leader="none" w:pos="14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right="160" w:firstLine="764"/>
        <w:spacing w:after="0" w:line="261" w:lineRule="auto"/>
        <w:tabs>
          <w:tab w:leader="none" w:pos="14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20" w:firstLine="1442"/>
        <w:spacing w:after="0" w:line="261" w:lineRule="auto"/>
        <w:tabs>
          <w:tab w:leader="none" w:pos="21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140" w:firstLine="1442"/>
        <w:spacing w:after="0" w:line="261" w:lineRule="auto"/>
        <w:tabs>
          <w:tab w:leader="none" w:pos="2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20" w:firstLine="1442"/>
        <w:spacing w:after="0" w:line="305" w:lineRule="auto"/>
        <w:tabs>
          <w:tab w:leader="none" w:pos="215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764"/>
        <w:spacing w:after="0" w:line="305" w:lineRule="auto"/>
        <w:tabs>
          <w:tab w:leader="none" w:pos="146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20" w:firstLine="1442"/>
        <w:spacing w:after="0" w:line="275" w:lineRule="auto"/>
        <w:tabs>
          <w:tab w:leader="none" w:pos="2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0" w:firstLine="1442"/>
        <w:spacing w:after="0" w:line="275" w:lineRule="auto"/>
        <w:tabs>
          <w:tab w:leader="none" w:pos="21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6, 2026</w:t>
            </w:r>
          </w:p>
        </w:tc>
      </w:tr>
    </w:tbl>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32385</wp:posOffset>
            </wp:positionV>
            <wp:extent cx="24822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6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March 31,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May 6, 2026</w:t>
            </w:r>
          </w:p>
        </w:tc>
      </w:tr>
    </w:tbl>
    <w:p>
      <w:pPr>
        <w:spacing w:after="0" w:line="27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32385</wp:posOffset>
            </wp:positionV>
            <wp:extent cx="19500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6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March 31, 2026,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May 6, 2026</w:t>
            </w:r>
          </w:p>
        </w:tc>
      </w:tr>
    </w:tbl>
    <w:p>
      <w:pPr>
        <w:spacing w:after="0" w:line="27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32385</wp:posOffset>
            </wp:positionV>
            <wp:extent cx="19500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lvl w:ilvl="1">
      <w:lvlJc w:val="left"/>
      <w:lvlText w:val="(%2)"/>
      <w:numFmt w:val="decimal"/>
      <w:start w:val="1"/>
    </w:lvl>
  </w:abstractNum>
  <w:abstractNum w:abstractNumId="5">
    <w:nsid w:val="54E49EB4"/>
    <w:multiLevelType w:val="hybridMultilevel"/>
    <w:lvl w:ilvl="0">
      <w:lvlJc w:val="left"/>
      <w:lvlText w:val="%1."/>
      <w:numFmt w:val="decimal"/>
      <w:start w:val="9"/>
    </w:lvl>
    <w:lvl w:ilvl="1">
      <w:lvlJc w:val="left"/>
      <w:lvlText w:val="%2"/>
      <w:numFmt w:val="decimal"/>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1)"/>
      <w:numFmt w:val="lowerLetter"/>
      <w:start w:val="2"/>
    </w:lvl>
  </w:abstractNum>
  <w:abstractNum w:abstractNumId="9">
    <w:nsid w:val="2901D82"/>
    <w:multiLevelType w:val="hybridMultilevel"/>
    <w:lvl w:ilvl="0">
      <w:lvlJc w:val="left"/>
      <w:lvlText w:val="(%1)"/>
      <w:numFmt w:val="upperLetter"/>
      <w:start w:val="9"/>
    </w:lvl>
  </w:abstractNum>
  <w:abstractNum w:abstractNumId="10">
    <w:nsid w:val="3A95F874"/>
    <w:multiLevelType w:val="hybridMultilevel"/>
    <w:lvl w:ilvl="0">
      <w:lvlJc w:val="left"/>
      <w:lvlText w:val="(%1)"/>
      <w:numFmt w:val="upperLetter"/>
      <w:start w:val="4"/>
    </w:lvl>
  </w:abstractNum>
  <w:abstractNum w:abstractNumId="11">
    <w:nsid w:val="8138641"/>
    <w:multiLevelType w:val="hybridMultilevel"/>
    <w:lvl w:ilvl="0">
      <w:lvlJc w:val="left"/>
      <w:lvlText w:val="(%1)"/>
      <w:numFmt w:val="lowerLetter"/>
      <w:start w:val="3"/>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4">
    <w:nsid w:val="737B8DD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5">
    <w:nsid w:val="6CEAF087"/>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16">
    <w:nsid w:val="22221A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7">
    <w:nsid w:val="4516DDE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
    <w:nsid w:val="3006C83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
    <w:nsid w:val="614FD4A1"/>
    <w:multiLevelType w:val="hybridMultilevel"/>
    <w:lvl w:ilvl="0">
      <w:lvlJc w:val="left"/>
      <w:lvlText w:val="(%1)"/>
      <w:numFmt w:val="lowerLetter"/>
      <w:start w:val="1"/>
    </w:lvl>
    <w:lvl w:ilvl="1">
      <w:lvlJc w:val="left"/>
      <w:lvlText w:val="(%2)"/>
      <w:numFmt w:val="lowerRoman"/>
      <w:start w:val="1"/>
    </w:lvl>
  </w:abstractNum>
  <w:abstractNum w:abstractNumId="20">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1">
    <w:nsid w:val="5577F8E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
    <w:nsid w:val="440BADF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
    <w:nsid w:val="5072367"/>
    <w:multiLevelType w:val="hybridMultilevel"/>
    <w:lvl w:ilvl="0">
      <w:lvlJc w:val="left"/>
      <w:lvlText w:val="(%1)"/>
      <w:numFmt w:val="lowerRoman"/>
      <w:start w:val="3"/>
    </w:lvl>
  </w:abstractNum>
  <w:abstractNum w:abstractNumId="24">
    <w:nsid w:val="3804823E"/>
    <w:multiLevelType w:val="hybridMultilevel"/>
    <w:lvl w:ilvl="0">
      <w:lvlJc w:val="left"/>
      <w:lvlText w:val="(%1)"/>
      <w:numFmt w:val="lowerRoman"/>
      <w:start w:val="5"/>
    </w:lvl>
  </w:abstractNum>
  <w:abstractNum w:abstractNumId="25">
    <w:nsid w:val="77465F01"/>
    <w:multiLevelType w:val="hybridMultilevel"/>
    <w:lvl w:ilvl="0">
      <w:lvlJc w:val="left"/>
      <w:lvlText w:val="(%1)"/>
      <w:numFmt w:val="lowerLetter"/>
      <w:start w:val="2"/>
    </w:lvl>
    <w:lvl w:ilvl="1">
      <w:lvlJc w:val="left"/>
      <w:lvlText w:val="(%2)"/>
      <w:numFmt w:val="lowerRoman"/>
      <w:start w:val="1"/>
    </w:lvl>
  </w:abstractNum>
  <w:abstractNum w:abstractNumId="26">
    <w:nsid w:val="7724C67E"/>
    <w:multiLevelType w:val="hybridMultilevel"/>
    <w:lvl w:ilvl="0">
      <w:lvlJc w:val="left"/>
      <w:lvlText w:val="(%1)"/>
      <w:numFmt w:val="lowerLetter"/>
      <w:start w:val="3"/>
    </w:lvl>
    <w:lvl w:ilvl="1">
      <w:lvlJc w:val="left"/>
      <w:lvlText w:val="(%2)"/>
      <w:numFmt w:val="lowerRoman"/>
      <w:start w:val="1"/>
    </w:lvl>
  </w:abstractNum>
  <w:abstractNum w:abstractNumId="27">
    <w:nsid w:val="5C482A97"/>
    <w:multiLevelType w:val="hybridMultilevel"/>
    <w:lvl w:ilvl="0">
      <w:lvlJc w:val="left"/>
      <w:lvlText w:val="%1"/>
      <w:numFmt w:val="decimal"/>
      <w:start w:val="1"/>
    </w:lvl>
    <w:lvl w:ilvl="1">
      <w:lvlJc w:val="left"/>
      <w:lvlText w:val="(%2)"/>
      <w:numFmt w:val="lowerLetter"/>
      <w:start w:val="8"/>
    </w:lvl>
  </w:abstractNum>
  <w:abstractNum w:abstractNumId="28">
    <w:nsid w:val="2463B9EA"/>
    <w:multiLevelType w:val="hybridMultilevel"/>
    <w:lvl w:ilvl="0">
      <w:lvlJc w:val="left"/>
      <w:lvlText w:val="%1."/>
      <w:numFmt w:val="decimal"/>
      <w:start w:val="7"/>
    </w:lvl>
    <w:lvl w:ilvl="1">
      <w:lvlJc w:val="left"/>
      <w:lvlText w:val="(%2)"/>
      <w:numFmt w:val="lowerLetter"/>
      <w:start w:val="1"/>
    </w:lvl>
  </w:abstractNum>
  <w:abstractNum w:abstractNumId="29">
    <w:nsid w:val="5E884AD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abstractNum w:abstractNumId="30">
    <w:nsid w:val="51EAD36B"/>
    <w:multiLevelType w:val="hybridMultilevel"/>
    <w:lvl w:ilvl="0">
      <w:lvlJc w:val="left"/>
      <w:lvlText w:val="(%1)"/>
      <w:numFmt w:val="lowerLetter"/>
      <w:start w:val="3"/>
    </w:lvl>
  </w:abstractNum>
  <w:abstractNum w:abstractNumId="31">
    <w:nsid w:val="2D517796"/>
    <w:multiLevelType w:val="hybridMultilevel"/>
    <w:lvl w:ilvl="0">
      <w:lvlJc w:val="left"/>
      <w:lvlText w:val="%1"/>
      <w:numFmt w:val="decimal"/>
      <w:start w:val="1"/>
    </w:lvl>
    <w:lvl w:ilvl="1">
      <w:lvlJc w:val="left"/>
      <w:lvlText w:val="(%2)"/>
      <w:numFmt w:val="lowerLetter"/>
      <w:start w:val="6"/>
    </w:lvl>
  </w:abstractNum>
  <w:abstractNum w:abstractNumId="32">
    <w:nsid w:val="580BD78F"/>
    <w:multiLevelType w:val="hybridMultilevel"/>
    <w:lvl w:ilvl="0">
      <w:lvlJc w:val="left"/>
      <w:lvlText w:val="%1."/>
      <w:numFmt w:val="decimal"/>
      <w:start w:val="11"/>
    </w:lvl>
    <w:lvl w:ilvl="1">
      <w:lvlJc w:val="left"/>
      <w:lvlText w:val="(%2)"/>
      <w:numFmt w:val="lowerLetter"/>
      <w:start w:val="1"/>
    </w:lvl>
  </w:abstractNum>
  <w:abstractNum w:abstractNumId="33">
    <w:nsid w:val="153EA438"/>
    <w:multiLevelType w:val="hybridMultilevel"/>
    <w:lvl w:ilvl="0">
      <w:lvlJc w:val="left"/>
      <w:lvlText w:val="%1."/>
      <w:numFmt w:val="decimal"/>
      <w:start w:val="2"/>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decimal"/>
      <w:start w:val="4"/>
    </w:lvl>
  </w:abstractNum>
  <w:abstractNum w:abstractNumId="36">
    <w:nsid w:val="6A2342EC"/>
    <w:multiLevelType w:val="hybridMultilevel"/>
    <w:lvl w:ilvl="0">
      <w:lvlJc w:val="left"/>
      <w:lvlText w:val="%1."/>
      <w:numFmt w:val="decimal"/>
      <w:start w:val="5"/>
    </w:lvl>
  </w:abstractNum>
  <w:abstractNum w:abstractNumId="37">
    <w:nsid w:val="2A487CB0"/>
    <w:multiLevelType w:val="hybridMultilevel"/>
    <w:lvl w:ilvl="0">
      <w:lvlJc w:val="left"/>
      <w:lvlText w:val="%1."/>
      <w:numFmt w:val="decimal"/>
      <w:start w:val="7"/>
    </w:lvl>
  </w:abstractNum>
  <w:abstractNum w:abstractNumId="38">
    <w:nsid w:val="1D4ED43B"/>
    <w:multiLevelType w:val="hybridMultilevel"/>
    <w:lvl w:ilvl="0">
      <w:lvlJc w:val="left"/>
      <w:lvlText w:val="%1."/>
      <w:numFmt w:val="decimal"/>
      <w:start w:val="8"/>
    </w:lvl>
  </w:abstractNum>
  <w:abstractNum w:abstractNumId="39">
    <w:nsid w:val="725A06FB"/>
    <w:multiLevelType w:val="hybridMultilevel"/>
    <w:lvl w:ilvl="0">
      <w:lvlJc w:val="left"/>
      <w:lvlText w:val="%1."/>
      <w:numFmt w:val="decimal"/>
      <w:start w:val="10"/>
    </w:lvl>
  </w:abstractNum>
  <w:abstractNum w:abstractNumId="40">
    <w:nsid w:val="2CD89A32"/>
    <w:multiLevelType w:val="hybridMultilevel"/>
    <w:lvl w:ilvl="0">
      <w:lvlJc w:val="left"/>
      <w:lvlText w:val="%1."/>
      <w:numFmt w:val="decimal"/>
      <w:start w:val="13"/>
    </w:lvl>
  </w:abstractNum>
  <w:abstractNum w:abstractNumId="41">
    <w:nsid w:val="57E4CCAF"/>
    <w:multiLevelType w:val="hybridMultilevel"/>
    <w:lvl w:ilvl="0">
      <w:lvlJc w:val="left"/>
      <w:lvlText w:val="%1."/>
      <w:numFmt w:val="decimal"/>
      <w:start w:val="17"/>
    </w:lvl>
  </w:abstractNum>
  <w:abstractNum w:abstractNumId="42">
    <w:nsid w:val="7A6D8D3C"/>
    <w:multiLevelType w:val="hybridMultilevel"/>
    <w:lvl w:ilvl="0">
      <w:lvlJc w:val="left"/>
      <w:lvlText w:val="%1."/>
      <w:numFmt w:val="decimal"/>
      <w:start w:val="22"/>
    </w:lvl>
  </w:abstractNum>
  <w:abstractNum w:abstractNumId="43">
    <w:nsid w:val="4B588F54"/>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2026-05-06T07:10:48Z</dcterms:created>
  <dcterms:modified xsi:type="dcterms:W3CDTF">2026-05-06T07:10:48Z</dcterms:modified>
</cp:coreProperties>
</file>