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165735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5"/>
        </w:trPr>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106"/>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28"/>
                <w:szCs w:val="28"/>
                <w:b w:val="1"/>
                <w:bCs w:val="1"/>
                <w:color w:val="auto"/>
              </w:rPr>
              <w:t>VERACYTE, INC.</w:t>
            </w: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89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6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4"/>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40" w:type="dxa"/>
            <w:vAlign w:val="bottom"/>
            <w:gridSpan w:val="3"/>
          </w:tcPr>
          <w:p>
            <w:pPr>
              <w:jc w:val="center"/>
              <w:ind w:left="5231"/>
              <w:spacing w:after="0"/>
              <w:rPr>
                <w:sz w:val="20"/>
                <w:szCs w:val="20"/>
                <w:color w:val="auto"/>
              </w:rPr>
            </w:pPr>
            <w:r>
              <w:rPr>
                <w:rFonts w:ascii="Times New Roman" w:cs="Times New Roman" w:eastAsia="Times New Roman" w:hAnsi="Times New Roman"/>
                <w:sz w:val="18"/>
                <w:szCs w:val="18"/>
                <w:b w:val="1"/>
                <w:bCs w:val="1"/>
                <w:color w:val="auto"/>
                <w:w w:val="96"/>
              </w:rPr>
              <w:t>20-5455398</w:t>
            </w:r>
          </w:p>
        </w:tc>
      </w:tr>
      <w:tr>
        <w:trPr>
          <w:trHeight w:val="226"/>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6000 Shoreline Court, Suite 300</w:t>
            </w:r>
          </w:p>
        </w:tc>
      </w:tr>
      <w:tr>
        <w:trPr>
          <w:trHeight w:val="215"/>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r>
      <w:tr>
        <w:trPr>
          <w:trHeight w:val="232"/>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2"/>
          </w:tcPr>
          <w:p>
            <w:pPr>
              <w:jc w:val="center"/>
              <w:ind w:right="24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r>
      <w:tr>
        <w:trPr>
          <w:trHeight w:val="406"/>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rPr>
              <w:t>(650) 243-6300</w:t>
            </w:r>
          </w:p>
        </w:tc>
        <w:tc>
          <w:tcPr>
            <w:tcW w:w="2620" w:type="dxa"/>
            <w:vAlign w:val="bottom"/>
          </w:tcPr>
          <w:p>
            <w:pPr>
              <w:spacing w:after="0"/>
              <w:rPr>
                <w:sz w:val="24"/>
                <w:szCs w:val="24"/>
                <w:color w:val="auto"/>
              </w:rPr>
            </w:pP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9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4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500" w:type="dxa"/>
            <w:vAlign w:val="bottom"/>
          </w:tcPr>
          <w:p>
            <w:pPr>
              <w:spacing w:after="0"/>
              <w:rPr>
                <w:sz w:val="20"/>
                <w:szCs w:val="20"/>
                <w:color w:val="auto"/>
              </w:rPr>
            </w:pPr>
          </w:p>
        </w:tc>
      </w:tr>
      <w:tr>
        <w:trPr>
          <w:trHeight w:val="544"/>
        </w:trPr>
        <w:tc>
          <w:tcPr>
            <w:tcW w:w="35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5"/>
        </w:trPr>
        <w:tc>
          <w:tcPr>
            <w:tcW w:w="352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82" w:lineRule="exact"/>
        <w:rPr>
          <w:sz w:val="24"/>
          <w:szCs w:val="24"/>
          <w:color w:val="auto"/>
        </w:rPr>
      </w:pPr>
    </w:p>
    <w:p>
      <w:pPr>
        <w:ind w:right="2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8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654685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66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3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2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7" w:lineRule="exact"/>
        <w:rPr>
          <w:sz w:val="20"/>
          <w:szCs w:val="20"/>
          <w:color w:val="auto"/>
        </w:rPr>
      </w:pPr>
    </w:p>
    <w:p>
      <w:pPr>
        <w:ind w:right="280" w:firstLine="3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60" w:right="228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August 2, 2024, there were 76,812,124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855345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gridSpan w:val="1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10"/>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4300" w:type="dxa"/>
            <w:vAlign w:val="bottom"/>
            <w:gridSpan w:val="13"/>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rPr>
              <w:t>2023</w:t>
            </w: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5"/>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60" w:type="dxa"/>
            <w:vAlign w:val="bottom"/>
            <w:tcBorders>
              <w:top w:val="single" w:sz="8" w:color="0000FF"/>
            </w:tcBorders>
            <w:gridSpan w:val="21"/>
          </w:tcPr>
          <w:p>
            <w:pPr>
              <w:spacing w:after="0" w:line="140" w:lineRule="exact"/>
              <w:rPr>
                <w:sz w:val="20"/>
                <w:szCs w:val="20"/>
                <w:color w:val="auto"/>
              </w:rPr>
            </w:pPr>
            <w:r>
              <w:rPr>
                <w:rFonts w:ascii="Times New Roman" w:cs="Times New Roman" w:eastAsia="Times New Roman" w:hAnsi="Times New Roman"/>
                <w:sz w:val="16"/>
                <w:szCs w:val="16"/>
                <w:color w:val="0000FF"/>
              </w:rPr>
              <w:t>Periods Ended June 30, 2024 and 2023</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4"/>
          </w:tcPr>
          <w:p>
            <w:pPr>
              <w:spacing w:after="0" w:line="140" w:lineRule="exact"/>
              <w:rPr>
                <w:sz w:val="20"/>
                <w:szCs w:val="20"/>
                <w:color w:val="auto"/>
              </w:rPr>
            </w:pPr>
            <w:r>
              <w:rPr>
                <w:rFonts w:ascii="Times New Roman" w:cs="Times New Roman" w:eastAsia="Times New Roman" w:hAnsi="Times New Roman"/>
                <w:sz w:val="16"/>
                <w:szCs w:val="16"/>
                <w:color w:val="0000FF"/>
              </w:rPr>
              <w:t>and Six Month Periods Ended June 30, 2024 and 2023</w:t>
            </w:r>
          </w:p>
        </w:tc>
        <w:tc>
          <w:tcPr>
            <w:tcW w:w="2120" w:type="dxa"/>
            <w:vAlign w:val="bottom"/>
            <w:tcBorders>
              <w:top w:val="single" w:sz="8" w:color="0000FF"/>
            </w:tcBorders>
            <w:gridSpan w:val="10"/>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5"/>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13"/>
          </w:tcPr>
          <w:p>
            <w:pPr>
              <w:spacing w:after="0" w:line="140" w:lineRule="exact"/>
              <w:rPr>
                <w:sz w:val="20"/>
                <w:szCs w:val="20"/>
                <w:color w:val="auto"/>
              </w:rPr>
            </w:pPr>
            <w:r>
              <w:rPr>
                <w:rFonts w:ascii="Times New Roman" w:cs="Times New Roman" w:eastAsia="Times New Roman" w:hAnsi="Times New Roman"/>
                <w:sz w:val="16"/>
                <w:szCs w:val="16"/>
                <w:color w:val="0000FF"/>
              </w:rPr>
              <w:t>Month Periods Ended June 30, 2024 and 2023</w:t>
            </w:r>
          </w:p>
        </w:tc>
        <w:tc>
          <w:tcPr>
            <w:tcW w:w="256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5"/>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Borders>
              <w:top w:val="single" w:sz="8" w:color="0000FF"/>
            </w:tcBorders>
            <w:gridSpan w:val="9"/>
          </w:tcPr>
          <w:p>
            <w:pPr>
              <w:spacing w:after="0" w:line="140" w:lineRule="exact"/>
              <w:rPr>
                <w:sz w:val="20"/>
                <w:szCs w:val="20"/>
                <w:color w:val="auto"/>
              </w:rPr>
            </w:pPr>
            <w:r>
              <w:rPr>
                <w:rFonts w:ascii="Times New Roman" w:cs="Times New Roman" w:eastAsia="Times New Roman" w:hAnsi="Times New Roman"/>
                <w:sz w:val="16"/>
                <w:szCs w:val="16"/>
                <w:color w:val="0000FF"/>
              </w:rPr>
              <w:t>Ended June 30, 2023 and 2023</w:t>
            </w:r>
          </w:p>
        </w:tc>
        <w:tc>
          <w:tcPr>
            <w:tcW w:w="2920" w:type="dxa"/>
            <w:vAlign w:val="bottom"/>
            <w:tcBorders>
              <w:top w:val="single" w:sz="8" w:color="0000FF"/>
            </w:tcBorders>
            <w:gridSpan w:val="10"/>
          </w:tcPr>
          <w:p>
            <w:pPr>
              <w:spacing w:after="0"/>
              <w:rPr>
                <w:sz w:val="13"/>
                <w:szCs w:val="13"/>
                <w:color w:val="auto"/>
              </w:rPr>
            </w:pPr>
          </w:p>
        </w:tc>
        <w:tc>
          <w:tcPr>
            <w:tcW w:w="340" w:type="dxa"/>
            <w:vAlign w:val="bottom"/>
            <w:gridSpan w:val="4"/>
          </w:tcPr>
          <w:p>
            <w:pPr>
              <w:spacing w:after="0"/>
              <w:rPr>
                <w:sz w:val="13"/>
                <w:szCs w:val="13"/>
                <w:color w:val="auto"/>
              </w:rPr>
            </w:pPr>
          </w:p>
        </w:tc>
        <w:tc>
          <w:tcPr>
            <w:tcW w:w="134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tcBorders>
              <w:left w:val="single" w:sz="8" w:color="0000FF"/>
            </w:tcBorders>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5"/>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5"/>
          </w:tcPr>
          <w:p>
            <w:pPr>
              <w:spacing w:after="0"/>
              <w:rPr>
                <w:sz w:val="2"/>
                <w:szCs w:val="2"/>
                <w:color w:val="auto"/>
              </w:rPr>
            </w:pPr>
          </w:p>
        </w:tc>
        <w:tc>
          <w:tcPr>
            <w:tcW w:w="13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3280" w:type="dxa"/>
            <w:vAlign w:val="bottom"/>
            <w:gridSpan w:val="10"/>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w:t>
            </w:r>
          </w:p>
        </w:tc>
        <w:tc>
          <w:tcPr>
            <w:tcW w:w="1320" w:type="dxa"/>
            <w:vAlign w:val="bottom"/>
            <w:vMerge w:val="restart"/>
          </w:tcPr>
          <w:p>
            <w:pPr>
              <w:spacing w:after="0"/>
              <w:rPr>
                <w:sz w:val="19"/>
                <w:szCs w:val="19"/>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20</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0000FF"/>
            </w:tcBorders>
            <w:gridSpan w:val="4"/>
          </w:tcPr>
          <w:p>
            <w:pPr>
              <w:spacing w:after="0" w:line="140" w:lineRule="exact"/>
              <w:rPr>
                <w:sz w:val="20"/>
                <w:szCs w:val="20"/>
                <w:color w:val="auto"/>
              </w:rPr>
            </w:pPr>
            <w:r>
              <w:rPr>
                <w:rFonts w:ascii="Times New Roman" w:cs="Times New Roman" w:eastAsia="Times New Roman" w:hAnsi="Times New Roman"/>
                <w:sz w:val="16"/>
                <w:szCs w:val="16"/>
                <w:color w:val="0000FF"/>
              </w:rPr>
              <w:t>Operations</w:t>
            </w:r>
          </w:p>
        </w:tc>
        <w:tc>
          <w:tcPr>
            <w:tcW w:w="5120" w:type="dxa"/>
            <w:vAlign w:val="bottom"/>
            <w:tcBorders>
              <w:top w:val="single" w:sz="8" w:color="0000FF"/>
            </w:tcBorders>
            <w:gridSpan w:val="20"/>
          </w:tcPr>
          <w:p>
            <w:pPr>
              <w:spacing w:after="0"/>
              <w:rPr>
                <w:sz w:val="13"/>
                <w:szCs w:val="13"/>
                <w:color w:val="auto"/>
              </w:rPr>
            </w:pPr>
          </w:p>
        </w:tc>
        <w:tc>
          <w:tcPr>
            <w:tcW w:w="1340" w:type="dxa"/>
            <w:vAlign w:val="bottom"/>
            <w:gridSpan w:val="2"/>
          </w:tcPr>
          <w:p>
            <w:pPr>
              <w:spacing w:after="0"/>
              <w:rPr>
                <w:sz w:val="13"/>
                <w:szCs w:val="13"/>
                <w:color w:val="auto"/>
              </w:rPr>
            </w:pPr>
          </w:p>
        </w:tc>
        <w:tc>
          <w:tcPr>
            <w:tcW w:w="132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920" w:type="dxa"/>
            <w:vAlign w:val="bottom"/>
            <w:gridSpan w:val="4"/>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gridSpan w:val="7"/>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7"/>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7"/>
              </w:rPr>
              <w:t>Item 3. Quantitative and Qualitative Disclosures About Market Risk</w:t>
            </w:r>
          </w:p>
        </w:tc>
        <w:tc>
          <w:tcPr>
            <w:tcW w:w="258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4"/>
              </w:rPr>
              <w:t>Item 4. Controls and Procedures</w:t>
            </w:r>
          </w:p>
        </w:tc>
        <w:tc>
          <w:tcPr>
            <w:tcW w:w="2560" w:type="dxa"/>
            <w:vAlign w:val="bottom"/>
            <w:gridSpan w:val="11"/>
          </w:tcPr>
          <w:p>
            <w:pPr>
              <w:spacing w:after="0"/>
              <w:rPr>
                <w:sz w:val="21"/>
                <w:szCs w:val="21"/>
                <w:color w:val="auto"/>
              </w:rPr>
            </w:pPr>
          </w:p>
        </w:tc>
        <w:tc>
          <w:tcPr>
            <w:tcW w:w="258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4600" w:type="dxa"/>
            <w:vAlign w:val="bottom"/>
            <w:gridSpan w:val="16"/>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32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580" w:type="dxa"/>
            <w:vAlign w:val="bottom"/>
            <w:gridSpan w:val="15"/>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6"/>
              </w:rPr>
              <w:t>Item 3. Defaults Upon Senior Securities</w:t>
            </w:r>
          </w:p>
        </w:tc>
        <w:tc>
          <w:tcPr>
            <w:tcW w:w="4580" w:type="dxa"/>
            <w:vAlign w:val="bottom"/>
            <w:gridSpan w:val="15"/>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580" w:type="dxa"/>
            <w:vAlign w:val="bottom"/>
            <w:gridSpan w:val="1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580" w:type="dxa"/>
            <w:vAlign w:val="bottom"/>
            <w:gridSpan w:val="15"/>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14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40" w:type="dxa"/>
            <w:vAlign w:val="bottom"/>
            <w:gridSpan w:val="18"/>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580" w:type="dxa"/>
            <w:vAlign w:val="bottom"/>
            <w:gridSpan w:val="19"/>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6. Exhibits</w:t>
            </w:r>
          </w:p>
        </w:tc>
        <w:tc>
          <w:tcPr>
            <w:tcW w:w="700" w:type="dxa"/>
            <w:vAlign w:val="bottom"/>
            <w:gridSpan w:val="2"/>
          </w:tcPr>
          <w:p>
            <w:pPr>
              <w:spacing w:after="0"/>
              <w:rPr>
                <w:sz w:val="21"/>
                <w:szCs w:val="21"/>
                <w:color w:val="auto"/>
              </w:rPr>
            </w:pPr>
          </w:p>
        </w:tc>
        <w:tc>
          <w:tcPr>
            <w:tcW w:w="5580" w:type="dxa"/>
            <w:vAlign w:val="bottom"/>
            <w:gridSpan w:val="19"/>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80" w:type="dxa"/>
            <w:vAlign w:val="bottom"/>
            <w:gridSpan w:val="2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60"/>
          </w:cols>
          <w:pgMar w:left="320" w:top="105" w:right="1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7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83"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total revenue and total test volume;</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future research and development, general and administrative and selling and marketing expenses and our anticipated uses of our funds;</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3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impact of inflation, volatile interest rates and foreign exchange fluctuations, the war in Ukraine and the ongoing conflict in the Middle East, any impacts of the upcoming U.S. election, energy and supply chain disruptions, and the resulting market volatility on our business;</w:t>
      </w:r>
    </w:p>
    <w:p>
      <w:pPr>
        <w:spacing w:after="0" w:line="9"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with respect to importance of maintaining libraries of clinical evidence;</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Percepta Nasal Swab classifier for early lung cancer classification;</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addition of minimal residual detection capabilities to our diagnostic platform;</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our transition to offering more of our tests as in vitro diagnostic tests on multiple platforms worldwide;</w:t>
      </w:r>
    </w:p>
    <w:p>
      <w:pPr>
        <w:spacing w:after="0" w:line="3"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receive quality reagents and other raw materials from certain single source suppliers, and to manufacture our in vitro diagnostics, or IVD, products;</w:t>
      </w:r>
    </w:p>
    <w:p>
      <w:pPr>
        <w:spacing w:after="0" w:line="17"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C2i Genomics, Inc., or C2i, HalioDx and Decipher Biosciences into our business and our ability to run our tests on the nCounter Analysis System, as well as other platforms worldwide;</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partnerships and agreements;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capital expenditures, our anticipated cash needs and our estimates regarding our capital requirements and profitability;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ability to execute on our strategy;</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Medicare, other government payer, and other commercial third party payer reimbursement at acceptable levels and our expectations regarding the timing of reimbursement;</w:t>
      </w:r>
    </w:p>
    <w:p>
      <w:pPr>
        <w:spacing w:after="0" w:line="3"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estimated number of patients eligible for our tests and the attributes and potential benefits of our tests and any future tests we may develop to patients, physicians, and payers;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on our ability to drive demand for and reimbursement of our tests; our sales, marketing and distribution capabilities and strategy;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policies, guidance agency interpretations and judicial decisions; and</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in our competitive position.</w:t>
      </w:r>
    </w:p>
    <w:p>
      <w:pPr>
        <w:spacing w:after="0" w:line="298"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report. 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7"/>
        </w:trPr>
        <w:tc>
          <w:tcPr>
            <w:tcW w:w="7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(See Note 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216,454</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40,378</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Supplies and inventory</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16,128</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285,621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702,984</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0" w:type="dxa"/>
            <w:vAlign w:val="bottom"/>
          </w:tcPr>
          <w:p>
            <w:pPr>
              <w:spacing w:after="0"/>
              <w:rPr>
                <w:sz w:val="1"/>
                <w:szCs w:val="1"/>
                <w:color w:val="auto"/>
              </w:rPr>
            </w:pPr>
          </w:p>
        </w:tc>
      </w:tr>
      <w:tr>
        <w:trPr>
          <w:trHeight w:val="208"/>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1,234,327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1,114,906</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3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12,943</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04"/>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70,804</w:t>
            </w: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 June 30,</w:t>
            </w:r>
          </w:p>
        </w:tc>
        <w:tc>
          <w:tcPr>
            <w:tcW w:w="280" w:type="dxa"/>
            <w:vAlign w:val="bottom"/>
            <w:shd w:val="clear" w:color="auto" w:fill="CCEEFF"/>
          </w:tcPr>
          <w:p>
            <w:pPr>
              <w:spacing w:after="0"/>
              <w:rPr>
                <w:sz w:val="14"/>
                <w:szCs w:val="14"/>
                <w:color w:val="auto"/>
              </w:rPr>
            </w:pPr>
          </w:p>
        </w:tc>
        <w:tc>
          <w:tcPr>
            <w:tcW w:w="1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2024 and December 31, 2023</w:t>
            </w:r>
          </w:p>
        </w:tc>
        <w:tc>
          <w:tcPr>
            <w:tcW w:w="280" w:type="dxa"/>
            <w:vAlign w:val="bottom"/>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3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Common stock, $0.001 par value; 125,000,000 shares authorized, 76,743,663 and 73,264,738 shares issued and</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June 30, 2024 and December 31, 2023, respectively</w:t>
            </w: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1,627,307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0" w:type="dxa"/>
            <w:vAlign w:val="bottom"/>
          </w:tcPr>
          <w:p>
            <w:pPr>
              <w:spacing w:after="0"/>
              <w:rPr>
                <w:sz w:val="1"/>
                <w:szCs w:val="1"/>
                <w:color w:val="auto"/>
              </w:rPr>
            </w:pPr>
          </w:p>
        </w:tc>
      </w:tr>
      <w:tr>
        <w:trPr>
          <w:trHeight w:val="20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1,132,523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1,234,327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1,114,906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0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6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106,970</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81,749</w:t>
            </w:r>
          </w:p>
        </w:tc>
        <w:tc>
          <w:tcPr>
            <w:tcW w:w="120" w:type="dxa"/>
            <w:vAlign w:val="bottom"/>
          </w:tcPr>
          <w:p>
            <w:pPr>
              <w:spacing w:after="0"/>
              <w:rPr>
                <w:sz w:val="18"/>
                <w:szCs w:val="18"/>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197,273</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154,145</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w:t>
            </w:r>
          </w:p>
        </w:tc>
      </w:tr>
      <w:tr>
        <w:trPr>
          <w:trHeight w:val="210"/>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10,696</w:t>
            </w:r>
          </w:p>
        </w:tc>
      </w:tr>
      <w:tr>
        <w:trPr>
          <w:trHeight w:val="208"/>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211,272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172,744</w:t>
            </w:r>
          </w:p>
        </w:tc>
      </w:t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42,981</w:t>
            </w: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w:t>
            </w:r>
          </w:p>
        </w:tc>
      </w:tr>
      <w:tr>
        <w:trPr>
          <w:trHeight w:val="210"/>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9,618</w:t>
            </w:r>
          </w:p>
        </w:tc>
      </w:tr>
      <w:tr>
        <w:trPr>
          <w:trHeight w:val="208"/>
        </w:trPr>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65,535</w:t>
            </w:r>
          </w:p>
        </w:tc>
      </w:tr>
      <w:tr>
        <w:trPr>
          <w:trHeight w:val="204"/>
        </w:trPr>
        <w:tc>
          <w:tcPr>
            <w:tcW w:w="4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107,209</w:t>
            </w:r>
          </w:p>
        </w:tc>
      </w:tr>
      <w:tr>
        <w:trPr>
          <w:trHeight w:val="19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25,310</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51,886</w:t>
            </w: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46,100</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10"/>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08"/>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125,758</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(18,549)</w:t>
            </w:r>
          </w:p>
        </w:tc>
      </w:tr>
      <w:tr>
        <w:trPr>
          <w:trHeight w:val="21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(loss), net</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(16,368)</w:t>
            </w:r>
          </w:p>
        </w:tc>
      </w:tr>
      <w:tr>
        <w:trPr>
          <w:trHeight w:val="21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8"/>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(16,493)</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9"/>
        </w:trPr>
        <w:tc>
          <w:tcPr>
            <w:tcW w:w="46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Earnings (loss) per share:</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Pr>
          <w:p>
            <w:pPr>
              <w:spacing w:after="0"/>
              <w:rPr>
                <w:sz w:val="18"/>
                <w:szCs w:val="18"/>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earnings (loss) per common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76,538,325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72,478,662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75,649,057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72,327,897</w:t>
            </w:r>
          </w:p>
        </w:tc>
      </w:tr>
      <w:tr>
        <w:trPr>
          <w:trHeight w:val="208"/>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77,163,149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72,478,662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76,600,079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72,327,897</w:t>
            </w:r>
          </w:p>
        </w:tc>
      </w:tr>
    </w:tbl>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3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5,734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9"/>
              </w:rPr>
              <w:t>3,870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(16,493)</w:t>
            </w:r>
          </w:p>
        </w:tc>
      </w:tr>
      <w:tr>
        <w:trPr>
          <w:trHeight w:val="210"/>
        </w:trPr>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currency translation adjustments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(1,703)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ind w:left="660"/>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w:t>
            </w:r>
          </w:p>
        </w:tc>
      </w:tr>
      <w:tr>
        <w:trPr>
          <w:trHeight w:val="20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 (loss)</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4,031</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(12,930)</w:t>
            </w:r>
          </w:p>
        </w:tc>
      </w:tr>
      <w:tr>
        <w:trPr>
          <w:trHeight w:val="20"/>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76,425</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1,617,465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(469,985)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1,118,649</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76,744</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1,627,307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(464,251)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1,132,523</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73,265</w:t>
            </w:r>
          </w:p>
        </w:tc>
        <w:tc>
          <w:tcPr>
            <w:tcW w:w="120" w:type="dxa"/>
            <w:vAlign w:val="bottom"/>
          </w:tcPr>
          <w:p>
            <w:pPr>
              <w:spacing w:after="0"/>
              <w:rPr>
                <w:sz w:val="18"/>
                <w:szCs w:val="18"/>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and options for</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74,145</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17,301</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0" w:type="dxa"/>
            <w:vAlign w:val="bottom"/>
          </w:tcPr>
          <w:p>
            <w:pPr>
              <w:spacing w:after="0"/>
              <w:rPr>
                <w:sz w:val="1"/>
                <w:szCs w:val="1"/>
                <w:color w:val="auto"/>
              </w:rPr>
            </w:pPr>
          </w:p>
        </w:tc>
      </w:tr>
      <w:tr>
        <w:trPr>
          <w:trHeight w:val="233"/>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1,627,307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1,132,523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1,509,861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1,081,259</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72,643</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1,520,638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(410,210)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(27,783)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1,082,718</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71,959</w:t>
            </w:r>
          </w:p>
        </w:tc>
        <w:tc>
          <w:tcPr>
            <w:tcW w:w="100" w:type="dxa"/>
            <w:vAlign w:val="bottom"/>
          </w:tcPr>
          <w:p>
            <w:pPr>
              <w:spacing w:after="0"/>
              <w:rPr>
                <w:sz w:val="18"/>
                <w:szCs w:val="18"/>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1,500,191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1,075,200</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(16,493)</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72,643</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1,520,638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(410,210)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(27,783)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1,082,718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20" w:type="dxa"/>
            <w:vAlign w:val="bottom"/>
            <w:gridSpan w:val="4"/>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(16,493)</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13,529</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18,366</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loss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r>
      <w:tr>
        <w:trPr>
          <w:trHeight w:val="192"/>
        </w:trPr>
        <w:tc>
          <w:tcPr>
            <w:tcW w:w="120" w:type="dxa"/>
            <w:vAlign w:val="bottom"/>
          </w:tcPr>
          <w:p>
            <w:pPr>
              <w:spacing w:after="0"/>
              <w:rPr>
                <w:sz w:val="16"/>
                <w:szCs w:val="16"/>
                <w:color w:val="auto"/>
              </w:rPr>
            </w:pPr>
          </w:p>
        </w:tc>
        <w:tc>
          <w:tcPr>
            <w:tcW w:w="7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Supplies and inventory</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w:t>
            </w: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14,499</w:t>
            </w: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C2i, net of cash acquired</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(19,700)</w:t>
            </w: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3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39,773</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(4,662)</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20,411</w:t>
            </w:r>
          </w:p>
        </w:tc>
      </w:tr>
      <w:tr>
        <w:trPr>
          <w:trHeight w:val="173"/>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in cash, cash equivalents and restricted cash</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36,992</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37,035</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217,330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154,996</w:t>
            </w:r>
          </w:p>
        </w:tc>
      </w:tr>
      <w:tr>
        <w:trPr>
          <w:trHeight w:val="199"/>
        </w:trPr>
        <w:tc>
          <w:tcPr>
            <w:tcW w:w="120" w:type="dxa"/>
            <w:vAlign w:val="bottom"/>
          </w:tcPr>
          <w:p>
            <w:pPr>
              <w:spacing w:after="0"/>
              <w:rPr>
                <w:sz w:val="17"/>
                <w:szCs w:val="17"/>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237,003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192,031</w:t>
            </w:r>
          </w:p>
        </w:tc>
      </w:tr>
      <w:tr>
        <w:trPr>
          <w:trHeight w:val="20"/>
        </w:trPr>
        <w:tc>
          <w:tcPr>
            <w:tcW w:w="1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3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 and accrued liability</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5"/>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216,454</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217,330</w:t>
            </w: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provides clinicians with tests for patients with, or potentially facing, a cancer diagnosis. Veracyte's tests are used by clinicians for diagnostic, prognostic and treatment decisions.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Inc. operated as an incubator until early 2008. On March 4, 2008, the Company changed its name to Veracyte, Inc. The Company’s headquarters are in South San Francisco, California, and it also has operations in San Diego, California; Austin, Texas; and Marseille, France.</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currently offers tests in prostate cancer (Decipher Prostate); thyroid cancer (Afirma); breast cancer (Prosigna); and bladder cancer (Decipher Bladder). The Company’s Percepta Nasal Swab test is being run in its Clinical Laboratory Improvement Amendments of 1988, or CLIA, certified lab in support of clinical studies and its test for lymphoma is in development as a companion diagnostic.</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IVD test.</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February 2024, the Company acquired C2i, a minimal residual disease, or MRD, detection company. Refer to Note 4 Business Combination for additional information.</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June 30, 2024, the condensed consolidated statements of operations for the three and six months ended June 30, 2024 and 2023, the condensed consolidated statements of comprehensive income (loss) for the three and six months ended June 30, 2024 and 2023, the condensed consolidated statements of stockholders' equity for the three and six months ended June 30, 2024 and 2023, and the condensed consolidated statements of cash flows for the six months ended June 30, 2024 and 2023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2023 has been derived from audited financial statements. The results for the three and six months ended June 30, 2024 are not indicative of the results expected for the full year or any other period. The condensed consolidated financial statements include the accounts of the Company and its wholly owned subsidiaries. All intercompany accounts and transactions have been eliminated in consolidation. The Company operates in one segment.</w:t>
      </w:r>
    </w:p>
    <w:p>
      <w:pPr>
        <w:spacing w:after="0" w:line="19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six months ended June 30, 2023, the Company reclassified $1.4 million of impairment of long-lived assets from the general and administrative caption in the condensed consolidated statements of operations to a separate caption within operating expenses and for the three and six months ended June 30, 2023, the Company reclassified $4.8 million and $9.6 million, respectively, of amortization of intangible assets from the intangible asset amortization - operating expense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caption in the condensed consolidated statements of operations to a separate caption, intangible asset amortization - cost of revenue, within a new cost of revenue section.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two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June 30, 2024, the Company has derived most of its revenue from the sale of Decipher Prostate and Afirma testing. To date, Decipher Prostate and Afirma testing have been delivered primarily to physicians in the United States.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June 30, 2024.</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29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12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80" w:type="dxa"/>
            <w:vAlign w:val="bottom"/>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Medicare</w:t>
            </w: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0"/>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31"/>
        </w:trPr>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an original maturity of 90 days or less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had deposits of $1.1 million and $0.9 million included in long-term assets as of June 30, 2024 and December 31, 2023, respectively, restricted from withdrawal and held by banks in the form of collateral for irrevocable standby letters of credit held as security for the Company's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4"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Company recognizes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its test to a customer as a single performance obligation. A stated contract price does not exist and the transaction price for each implied contract with a customer represents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three and six months ended June 30, 2024 and 2023, the Company recorded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$4.0 million and $6.9 million and $2.3 million and $4.6 million as revenue, respectively, resulting from cash collections exceeding the estimated variable consideration related to tests reported in previous years, including revenue received from successful appeals of reimbursement denials, net of recoupments.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Company's product revenue primarily consists of the Prosigna IVD breast cancer assay, related diagnostic kits and services. Product revenue from diagnostic kits is generally recognized upon shipment. Shipping and handling costs incurred for product shipments are included in product revenue. Revenue is presented net of the taxes that are collected from customers and remitted to governmental authorities.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Company enters into arrangements to license or provide access to its assets or services, including clinical and testing services, research and development, contract manufacturing and development, as well as other services, which are classified under biopharmaceutical and other revenue. Such arrangements may require the Company to deliver various rights, data, test results, manufactured diagnostic test kits, services and/or samples, including intellectual property rights/licenses and biopharmaceutical research and development services. The Company receives consideration in the form of upfront license fees; payments on delivery of data, test results or manufactured products; costs of service plus margin; and development and commercial performance milestone payments.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These milestone payments are recognized in the same manner as milestone payments from customers and are classified under biopharmaceutical and other revenue.</w:t>
      </w:r>
    </w:p>
    <w:p>
      <w:pPr>
        <w:spacing w:after="0" w:line="2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$3.3 million at June 30, 2024 and $6.0 million at December 31, 2023. There was $2.2 million and $2.0 million of deferred revenue related to these agreements at June 30, 2024 and December 31, 2023, respectively. Revenue included in biopharmaceutical and other revenue for the three and six months ended June 30, 2024 and 2023 was as follows (in thousands of dollars):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07"/>
        </w:trPr>
        <w:tc>
          <w:tcPr>
            <w:tcW w:w="4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Biopharmaceutical revenue</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7,758</w:t>
            </w:r>
          </w:p>
        </w:tc>
      </w:tr>
      <w:tr>
        <w:trPr>
          <w:trHeight w:val="21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233"/>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product revenue consists primarily of costs of purchasing diagnostic kit components, labor, installation, service and packaging and delivery costs. In addition, cost of product includes royalty costs for licensed technologies included in the Company’s products. Cost of product revenue is recognized in the period the related revenue is recognized. Shipping and handling costs incurred for product shipments are included in cost of product in the condensed consolidated statements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09" w:lineRule="exact"/>
        <w:rPr>
          <w:sz w:val="20"/>
          <w:szCs w:val="20"/>
          <w:color w:val="auto"/>
        </w:rPr>
      </w:pPr>
    </w:p>
    <w:p>
      <w:pPr>
        <w:ind w:right="60" w:firstLine="399"/>
        <w:spacing w:after="0" w:line="245"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license or provide access to its assets or services, including clinical and testing services, research and development, contract manufacturing and development, as well as other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Liability</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offers a defined benefit pension plan to certain non-U.S. employees of its Veracyte SAS subsidiary. As of June 30, 2024 and December 31, 2023, the total pension obligation was $0.5 million and $0.8 million, respectively, and is included in other liabilities on the condensed consolidated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jc w:val="both"/>
        <w:ind w:firstLine="399"/>
        <w:spacing w:after="0" w:line="242"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This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Company's consolidated financial statements, once adopted.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(Loss) Per Common Share</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Basic earnings (loss)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equity awards are assumed to be used to repurchase shares. The following table sets forth the computation of basic and diluted EPS (in thousands, except per-share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94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for basic and diluted EPS — net income (loss) (A)</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(16,493)</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 for basic EPS — weighted average shares (B)</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76,538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potentially dilutive common stock from:</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0"/>
        </w:trPr>
        <w:tc>
          <w:tcPr>
            <w:tcW w:w="5160" w:type="dxa"/>
            <w:vAlign w:val="bottom"/>
          </w:tcPr>
          <w:p>
            <w:pPr>
              <w:ind w:left="20"/>
              <w:spacing w:after="0" w:line="140" w:lineRule="exact"/>
              <w:rPr>
                <w:sz w:val="20"/>
                <w:szCs w:val="20"/>
                <w:color w:val="auto"/>
              </w:rPr>
            </w:pPr>
            <w:r>
              <w:rPr>
                <w:rFonts w:ascii="Times New Roman" w:cs="Times New Roman" w:eastAsia="Times New Roman" w:hAnsi="Times New Roman"/>
                <w:sz w:val="16"/>
                <w:szCs w:val="16"/>
                <w:color w:val="auto"/>
              </w:rPr>
              <w:t>Denominator for diluted EPS — adjusted weighted average shares and assumed</w:t>
            </w:r>
          </w:p>
        </w:tc>
        <w:tc>
          <w:tcPr>
            <w:tcW w:w="8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77,163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72,479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76,600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conversions (C)</w:t>
            </w:r>
          </w:p>
        </w:tc>
        <w:tc>
          <w:tcPr>
            <w:tcW w:w="8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 (A / B)</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 (A / C)</w:t>
            </w:r>
          </w:p>
        </w:tc>
        <w:tc>
          <w:tcPr>
            <w:tcW w:w="86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62"/>
        </w:trPr>
        <w:tc>
          <w:tcPr>
            <w:tcW w:w="5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equivalent shares excluded from the dilutive calculation due to</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effect: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0" w:type="dxa"/>
            <w:vAlign w:val="bottom"/>
          </w:tcPr>
          <w:p>
            <w:pPr>
              <w:spacing w:after="0"/>
              <w:rPr>
                <w:sz w:val="1"/>
                <w:szCs w:val="1"/>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3"/>
        </w:trPr>
        <w:tc>
          <w:tcPr>
            <w:tcW w:w="5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Anti-dilutive potential common shares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amounts of goodwill were as follows (in thousands of dollars):</w:t>
      </w: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9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702,984</w:t>
            </w:r>
          </w:p>
        </w:tc>
      </w:tr>
      <w:tr>
        <w:trPr>
          <w:trHeight w:val="210"/>
        </w:trPr>
        <w:tc>
          <w:tcPr>
            <w:tcW w:w="9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acquired - C2i</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55,974</w:t>
            </w:r>
          </w:p>
        </w:tc>
      </w:tr>
      <w:tr>
        <w:trPr>
          <w:trHeight w:val="213"/>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 of foreign currency translation on Goodwill acquired - HalioDx</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(6,851)</w:t>
            </w:r>
          </w:p>
        </w:tc>
      </w:tr>
      <w:tr>
        <w:trPr>
          <w:trHeight w:val="208"/>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752,107</w:t>
            </w:r>
          </w:p>
        </w:tc>
      </w:tr>
      <w:tr>
        <w:trPr>
          <w:trHeight w:val="20"/>
        </w:trPr>
        <w:tc>
          <w:tcPr>
            <w:tcW w:w="9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4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0"/>
                <w:szCs w:val="10"/>
                <w:color w:val="auto"/>
              </w:rPr>
            </w:pPr>
          </w:p>
        </w:tc>
        <w:tc>
          <w:tcPr>
            <w:tcW w:w="9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6,667</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87"/>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2,998</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Prosigna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445</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LymphMark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64,766</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1,757</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HalioDx developed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1,089</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HalioDx customer relationships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1,429</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HalioDx customer backlog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1,729</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C2i developed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08"/>
        </w:trPr>
        <w:tc>
          <w:tcPr>
            <w:tcW w:w="3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finite-lived intangibles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81,293</w:t>
            </w:r>
          </w:p>
        </w:tc>
        <w:tc>
          <w:tcPr>
            <w:tcW w:w="1060" w:type="dxa"/>
            <w:vAlign w:val="bottom"/>
            <w:tcBorders>
              <w:top w:val="single" w:sz="8" w:color="CCEEFF"/>
            </w:tcBorders>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8.5</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w:t>
      </w:r>
    </w:p>
    <w:p>
      <w:pPr>
        <w:spacing w:after="0" w:line="202"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Amortization expense of $3.8 million and $5.3 million was recognized for the three months ended June 30, 2024 and 2023, respectively, and expense of $7.4 million and $10.7 million was recognized for the six months ended June 30, 2024 and 2023, respectively.</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June 30, 2024 is as follows (in thousands of dollars):</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remainder of year</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7,534</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14,241</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12,770</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12,168</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12,168</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40,151</w:t>
            </w:r>
          </w:p>
        </w:tc>
      </w:tr>
      <w:tr>
        <w:trPr>
          <w:trHeight w:val="23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99,032</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49"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There was no impairment of long-lived assets for the three months ended June 30, 2024 and 2023. Impairment of long-lived assets for the six months ended June 30, 2024 and 2023 was $0.4 million and $1.4 million, respectively, of impairment of right-of-use and fixed assets in relation to exiting our Watertown and Richmond facilities.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Supplies and inventory consisted of lab supplies and reagents to be used in the performance of testing services and inventory related to finished and semi-finished goods used in the assembly of IVD kits related to product sales as well as raw</w:t>
      </w: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materials consumed in the contract manufacturing process. As of June 30, 2024 and December 31, 2023, supplies and inventory consisted of the following (in thousands of dollars):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Supplies</w:t>
            </w: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supplies and inventory</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11,997</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On February 5, 2024, or the Closing Date, the Company acquired 100% of the outstanding equity interests of C2i, or the C2i Acquisition. C2i was a privately-held company that developed a novel method for estimating tumor burden in cancer patients by analyzing a patient’s cell free DNA sequence and offered post-treatment monitoring of cancer recurrence and progression by analyzing subtle changes in the pattern of the tumor’s DNA. The consideration to acquire C2i was $100.2 million, comprised of $73.3 million in the form of approximately 2.7 million shares of the Company’s common stock based on the Company's share price on the Closing Date, $0.8 million of pre-combination portion of replacement stock options issued to C2i’s continuing employees, $17.2 million of contingent consideration that has been agreed to be paid on achievement of certain milestones and the remainder in cash. The Company incurred $5.1 million of transaction costs related to the of C2i Acquisition, which were recorded as general and administrative expense.</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part of the agreement, the Company deposited $8.0 million of the cash consideration into escrow for meeting any unresolved or unsatisfied claims for indemnifiable damages against C2i and any special tax claims. The balance after meeting these indemnification obligations will be paid directly to the securityholders of C2i. After deducting the expenses for indemnifiable damages and tax claims the escrow amount of $5.0 million will be released 18 months from the Closing Date and the balance of $3.0 million will be released 36 months after the Closing Date. As this payment is dependent on the resolution of claims that existed as of the Closing Date, the amount deposited into escrow is included in the purchase price.</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pursuant to the Agreement and Plan of Merger, dated as of January 5, 2024, by and among the Company, C2i, Canary Merger Sub I, Inc., a Delaware corporation and wholly owned subsidiary of the Company, Veracyte Diagnostics, LLC, a Delaware limited liability company and a wholly owned subsidiary of the Company, and Fortis Advisors LLC, as the securityholders’ agent, or the Merger Agreement, the C2i noteholders are entitled to receive from the Company up to $25.0 million in contingent consideration that is dependent on the achievement of specified training requirements, licensing, regulatory and commercialization milestones and are payable in cash or shares of the Company’s common stock, at the Company's election.</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included financial results of C2i in its consolidated financial statements from the acquisition date, which contributed zero and $1.9 million of revenue and operating loss, respectively, during the three months ended June 30, 2024 and zero and $6.1 million of revenue and operating loss, respectively, during the six months ended June 30, 2024 including $1.3 million of severance and retention charges and $0.7 million of impairment of right-of-use asset and intangible asset amortization.</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Assets acquired and liabilities assumed are recorded based on valuations derived from estimated fair value assessments and assumptions used by the Company. While the Company believes that its estimates and assumptions underlying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valuations are reasonable, different estimates and assumptions could result in different valuations assigned to the individual assets acquired and liabilities assumed, and the resulting amount of goodwill. The following table summarizes the preliminary fair values of assets acquired and liabilities assumed in the C2i Acquisition at the Closing Date (in thousands):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6"/>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 of use assets, operating leases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5"/>
        </w:trPr>
        <w:tc>
          <w:tcPr>
            <w:tcW w:w="8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47,917</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55,974</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1"/>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purchase price</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Based on the guidance provided in ASC 805 Business Combinations, the Company accounted for the C2i Acquisition as a business combination in which the Company determined that C2i was a business which combines inputs and processes to create outputs, and substantially all of the fair value of gross assets acquired was not concentrated in a single identifiable asset or group of similar identifiable assets.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Company's purchase price allocation for the C2i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certain income tax items, intangible assets and goodwill. Additional information that existed as of the closing date but not known at the time of this filing may become known to the Company during the remainder of the measurement period, a period not to exceed 12 months from the Closing Date.</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intangible assets acquired included IPR&amp;D assets and developed technology. The preliminary fair value of the Company's intangible assets as of the acquisition date and the method used to value these assets as well as the estimated economic lives for amortizable intangible assets were as follows (in thousands, except useful life which is in years):</w:t>
      </w: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Estimated Useful</w:t>
            </w:r>
          </w:p>
        </w:tc>
        <w:tc>
          <w:tcPr>
            <w:tcW w:w="402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Valuation Method</w:t>
            </w:r>
          </w:p>
        </w:tc>
      </w:tr>
      <w:tr>
        <w:trPr>
          <w:trHeight w:val="26"/>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1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r>
      <w:tr>
        <w:trPr>
          <w:trHeight w:val="232"/>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174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Relief from royalty method</w:t>
            </w:r>
          </w:p>
        </w:tc>
      </w:tr>
      <w:tr>
        <w:trPr>
          <w:trHeight w:val="21"/>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53"/>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IPR&amp;D assets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Indefinite</w:t>
            </w:r>
          </w:p>
        </w:tc>
        <w:tc>
          <w:tcPr>
            <w:tcW w:w="4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Multi-period excess earnings method</w:t>
            </w: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1"/>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amortization expense for all acquired intangible assets will be recognized on a straight-line basis and recorded within intangible asset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intangible assets acquired. The C2i acquisition resulted in the recognition of $56.0 million of goodwill which the Company believes consists primarily of expanded market and product opportunities, including an MRD platform, which will enable new areas of genomic testing.</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connection with the C2i Acquisition, a net deferred tax liability was assumed with a fair value of $0.7 million which primarily relates to future intangible asset amortization which is not deductible for income tax purposes.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supplemental pro forma financial information has been prepared using the acquisition method of accounting and is based on the historical financial information of C2i. The supplemental pro forma financial information does not necessarily represent what the combined companies' revenue or results of operations would have been had the acquisitions been completed on January 1, 2023, nor is it intended to be a projection of future operating results of the combined company. It also does not reflect any operating efficiencies or potential cost savings that might be achieved from synergies of combining C2i and the Company.</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has been calculated after adjusting the results of the combined company to reflect incremental amortization expense resulting from the fair value adjustments for acquired intangible assets. Further, adjustments related to transaction costs and stock- based compensation expense are also reflected in the pro forma financial information in the table below:</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880" w:type="dxa"/>
            <w:vAlign w:val="bottom"/>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5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114,428</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90,544</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211,272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172,966</w:t>
            </w:r>
          </w:p>
        </w:tc>
      </w:tr>
      <w:tr>
        <w:trPr>
          <w:trHeight w:val="24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6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16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(35,965)</w:t>
            </w: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2" w:lineRule="exact"/>
        <w:rPr>
          <w:rFonts w:ascii="Times New Roman" w:cs="Times New Roman" w:eastAsia="Times New Roman" w:hAnsi="Times New Roman"/>
          <w:sz w:val="18"/>
          <w:szCs w:val="18"/>
          <w:color w:val="auto"/>
        </w:rPr>
      </w:pPr>
    </w:p>
    <w:p>
      <w:pPr>
        <w:ind w:left="800" w:right="120" w:hanging="315"/>
        <w:spacing w:after="0" w:line="261"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9"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5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condensed consolidated balance sheets, were $19.3 million and $1.4 million as of June 30, 2024 and December 31, 2023, respectively, and are Level I assets as described above. The deposits for the leases, included in restricted cash, were $1.1 million and $0.9 million as of June 30, 2024 and December 31, 2023, respectively, and are Level I assets as described above. There were no transfers between Levels 1, 2 or 3 for the three and six months ended June 30, 2024 and 2023.</w:t>
      </w:r>
    </w:p>
    <w:p>
      <w:pPr>
        <w:spacing w:after="0" w:line="18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 multiplex analysis system. This contingency was valued at $6.1 million as of the acquisition date and is remeasured to fair value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at each reporting date until the contingent consideration is settled, with the corresponding changes included in general and administrative expense in the Company's condensed consolidated statements of operations. As of June 30, 2024 and December 31, 2023, this contingency was remeasured to $3.2 million and $3.2 million, respectively. For both the three and six months ended June 30, 2024, an expense of $0.1 million was recorded. For the three and six months ended June 30, 2023, expense of $0.1 million and reversals of expense of $0.3 million, respectively, were recorded. As of June 30, 2024, the achievement of one of the milestones is forecasted to occur within the next 12 months. As a result, $2.7 million of the contingent consideration is included in short term liabilities at June 30, 2024. In addition, the contingent consideration related to the C2i Acquisition as discussed in Note 4, is dependent on the achievement of certain milestones and is payable in cash or shares of the Company’s common stock, at the Company’s election, of up to $25 million and was valued at $17.2 million. The fair value of the contingent consideration related to the C2i Acquisition will be remeasured to fair value at each reporting date until the contingent consideration is settled, with the corresponding changes included in general and administrative expense. As of June 30, 2024, this contingency was remeasured to $18.0 million. For both the three and six months ended June 30, 2024, $0.8 million expense was recorded. As of June 30, 2024, the achievement of one of the milestones is forecasted to occur within the next 12 months. As a result, $4.6 million of the contingent consideration is included in short term liabilities at June 30, 2024. The fair value of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June 30, 2024 and December 31, 2023, the Company calculated the estimated fair value of the milestones using the following significant unobservable inputs: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10"/>
        </w:trPr>
        <w:tc>
          <w:tcPr>
            <w:tcW w:w="742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7"/>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 - 6.6% (5.6%)</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6.8%</w:t>
            </w:r>
          </w:p>
        </w:tc>
      </w:tr>
      <w:tr>
        <w:trPr>
          <w:trHeight w:val="20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0% - 95% (88%)</w:t>
            </w:r>
          </w:p>
        </w:tc>
        <w:tc>
          <w:tcPr>
            <w:tcW w:w="100" w:type="dxa"/>
            <w:vAlign w:val="bottom"/>
          </w:tcPr>
          <w:p>
            <w:pPr>
              <w:spacing w:after="0"/>
              <w:rPr>
                <w:sz w:val="18"/>
                <w:szCs w:val="18"/>
                <w:color w:val="auto"/>
              </w:rPr>
            </w:pPr>
          </w:p>
        </w:tc>
        <w:tc>
          <w:tcPr>
            <w:tcW w:w="18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 - 80% (69%)</w:t>
            </w: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 leases office and laboratory facilities in South San Francisco and San Diego, California; Austin, Texas; Marseille, France; Richmond, Virginia; and Watertown, Massachusetts, and leases certain equipment under various non-cancelable lease agreements. The lease terms extend to May 2036 and contain extension of lease terms and expansion options. The leases have a weighted average remaining lease term of 6.3 years as of June 30, 2024. The Company had deposits of $1.1 million and $0.9 million included in long-term assets as of June 30, 2024 and December 31, 2023, respectively, restricted from withdrawal and held by banks in the form of collateral for irrevocable standby letters of credit held as security for the leases.</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9.7%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the Company classified its deferred rent for tenant improvements with its operating lease right-of-use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June 30, 2024 are as follows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9,793</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28,622</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7,884</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20,738</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7,185</w:t>
            </w:r>
          </w:p>
        </w:tc>
      </w:tr>
      <w:tr>
        <w:trPr>
          <w:trHeight w:val="23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13,553</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2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88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0" w:type="dxa"/>
            <w:vAlign w:val="bottom"/>
          </w:tcPr>
          <w:p>
            <w:pPr>
              <w:spacing w:after="0"/>
              <w:rPr>
                <w:sz w:val="1"/>
                <w:szCs w:val="1"/>
                <w:color w:val="auto"/>
              </w:rPr>
            </w:pPr>
          </w:p>
        </w:tc>
      </w:tr>
      <w:tr>
        <w:trPr>
          <w:trHeight w:val="160"/>
        </w:trPr>
        <w:tc>
          <w:tcPr>
            <w:tcW w:w="450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paid for amounts included in the measurement of lease</w:t>
            </w:r>
          </w:p>
        </w:tc>
        <w:tc>
          <w:tcPr>
            <w:tcW w:w="3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Pr>
          <w:p>
            <w:pPr>
              <w:spacing w:after="0"/>
              <w:rPr>
                <w:sz w:val="13"/>
                <w:szCs w:val="13"/>
                <w:color w:val="auto"/>
              </w:rPr>
            </w:pPr>
          </w:p>
        </w:tc>
        <w:tc>
          <w:tcPr>
            <w:tcW w:w="3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100" w:type="dxa"/>
            <w:vAlign w:val="bottom"/>
          </w:tcPr>
          <w:p>
            <w:pPr>
              <w:spacing w:after="0"/>
              <w:rPr>
                <w:sz w:val="13"/>
                <w:szCs w:val="13"/>
                <w:color w:val="auto"/>
              </w:rPr>
            </w:pPr>
          </w:p>
        </w:tc>
        <w:tc>
          <w:tcPr>
            <w:tcW w:w="3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tcPr>
          <w:p>
            <w:pPr>
              <w:spacing w:after="0"/>
              <w:rPr>
                <w:sz w:val="13"/>
                <w:szCs w:val="13"/>
                <w:color w:val="auto"/>
              </w:rPr>
            </w:pPr>
          </w:p>
        </w:tc>
        <w:tc>
          <w:tcPr>
            <w:tcW w:w="38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0" w:type="dxa"/>
            <w:vAlign w:val="bottom"/>
          </w:tcPr>
          <w:p>
            <w:pPr>
              <w:spacing w:after="0"/>
              <w:rPr>
                <w:sz w:val="1"/>
                <w:szCs w:val="1"/>
                <w:color w:val="auto"/>
              </w:rPr>
            </w:pPr>
          </w:p>
        </w:tc>
      </w:tr>
      <w:tr>
        <w:trPr>
          <w:trHeight w:val="208"/>
        </w:trPr>
        <w:tc>
          <w:tcPr>
            <w:tcW w:w="4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3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has leased laboratory equipment under various financing leases. The total right-of-use assets and total financing lease liabilities for these financing leases were $0.1 million and $0.1 million, respectively, as of both June 30, 2024 and December 31, 2023, and are included in property, plant and equipment, net and other liabilities in the accompanying condensed consolidated balance sheets.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entered into a lease agreement for a newly constructed facility in Marseille, France. The lease commenced during the three months ended June 30, 2024 and the Company recorded a lease liability and a corresponding ROU asset of $8.0 million. The initial term of the lease is twelve years with annual rent of approximately $1.3 million, excluding common area maintenance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2" w:lineRule="exact"/>
        <w:rPr>
          <w:sz w:val="20"/>
          <w:szCs w:val="20"/>
          <w:color w:val="auto"/>
        </w:rPr>
      </w:pPr>
    </w:p>
    <w:p>
      <w:pPr>
        <w:jc w:val="both"/>
        <w:ind w:firstLine="439"/>
        <w:spacing w:after="0" w:line="275"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9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6,987,117</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6,318,389</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3,730,380</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5,194,399</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1,109,722</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1,189,513</w:t>
            </w:r>
          </w:p>
        </w:tc>
      </w:tr>
      <w:tr>
        <w:trPr>
          <w:trHeight w:val="208"/>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11,827,219</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12,702,301</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Components of Other Income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French research tax credits</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r>
      <w:tr>
        <w:trPr>
          <w:trHeight w:val="21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Loss on currency revaluation</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6"/>
        </w:trPr>
        <w:tc>
          <w:tcPr>
            <w:tcW w:w="4320" w:type="dxa"/>
            <w:vAlign w:val="bottom"/>
          </w:tcPr>
          <w:p>
            <w:pPr>
              <w:spacing w:after="0"/>
              <w:rPr>
                <w:sz w:val="17"/>
                <w:szCs w:val="17"/>
                <w:color w:val="auto"/>
              </w:rPr>
            </w:pP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w:t>
            </w:r>
          </w:p>
        </w:tc>
      </w:tr>
      <w:tr>
        <w:trPr>
          <w:trHeight w:val="22"/>
        </w:trPr>
        <w:tc>
          <w:tcPr>
            <w:tcW w:w="4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applied to the Company’s year to date income or loss and is adjusted for discrete items recorded in the period. For the three months ended June 30, 2024 and 2023, the Company’s effective tax rate was 22.1% and (1.5)%, respectively. For the six months ended June 30, 2024 and 2023, the Company’s effective tax rate was 29.0% and (0.8)% respectively. For the six months ended June 30, 2024, the primary difference between the effective tax rate and the federal statutory rate is driven by unfavorable permanent differences and foreign and state taxes offset by the full valuation allowance the Company has established on its federal, state and foreign net operating losses and credits. For the six months ended June 30, 2023, the primary difference between the effective tax rate and the federal statutory rate is driven by the full valuation allowance the Company has established on its federal, state and foreign net operating losses and credits.</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 recorded income tax expense of $1.6 million and $0.1 million for the three months ended June 30, 2024 and 2023, respectively, and recorded income tax expense of $1.6 million and $0.1 million for the six months ended June 30, 2024 and 2023, respectively. The provision for income taxes recorded in the three and six months ended June 30, 2024 consists primarily of federal, state and foreign income taxes, offset partially by reductions in deferred tax liabilities from acquired entities. The provision for income taxes recorded in the three and six months ended June 30, 2023 consists primarily of state and foreign income taxes.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ind w:firstLine="399"/>
        <w:spacing w:after="0" w:line="27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Quarterly Report on Form 10-Q.</w:t>
      </w:r>
    </w:p>
    <w:p>
      <w:pPr>
        <w:spacing w:after="0" w:line="187"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i w:val="1"/>
          <w:iCs w:val="1"/>
          <w:color w:val="auto"/>
        </w:rPr>
        <w:t>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in the section titled “Risk Factors” under Part II, Item 1A.</w:t>
      </w:r>
    </w:p>
    <w:p>
      <w:pPr>
        <w:spacing w:after="0" w:line="20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16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HalioDx, TMExplore, Brightplex, Immunosign, C2i Genomics, C2intelligence, C2inform and the Veracyte logo are registered or pending trademarks of Veracyte, Inc. and its subsidiaries in the United States and selected countries. nCounter is the registered trademark of NanoString Technologies, Inc., or NanoString, now owned by Bruker Corporation as part of Bruker Corporation’s asset acquisition of NanoString, in the United States and selected countries and used by Veracyte under license. Immunoscore is the registered trademark of Institut National de la Santé et de la Recherche Médicale, or Inserm, in the United States and selected countries and used by Veracyte under license.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accelerating time to appropriate treatment, thereby improving outcomes for patients all over the world.</w:t>
      </w:r>
    </w:p>
    <w:p>
      <w:pPr>
        <w:spacing w:after="0" w:line="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currently offer tests in prostate cancer (Decipher Prostate); thyroid cancer (Afirma); breast cancer (Prosigna); and bladder cancer (Decipher Bladder). Our Percepta Nasal Swab test is being run in our CLIA lab in support of clinical studies and our test for lymphoma is in development as a companion diagnostic.</w:t>
      </w:r>
    </w:p>
    <w:p>
      <w:pPr>
        <w:spacing w:after="0" w:line="6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Decipher Prostate and Percepta Nasal Swab as IVD tests. We believe our broad menu of advanced diagnostic tests, combined with our ability to deliver them globally, differentiates us in the diagnostics industry.</w:t>
      </w:r>
    </w:p>
    <w:p>
      <w:pPr>
        <w:spacing w:after="0" w:line="7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February 2024, we acquired C2i, a MRD detection company, which aims to expand our role across the patient cancer journey, moving from providing early decision support to following the patient through treatment, where we will be able to help monitor the success of a therapeutic or surgical intervention, and determine the best course of action for each patient.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Recent interest rate changes and inflation in the United States and other markets globally, as well as the macroeconomic environment, have heightened the risk of an economic downturn, recession or heightened volatility in the capital or credit markets in the United States and globally. Moreover, the continued fluctuation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regional conflicts like those between Russia and Ukraine may adversely impact our business and operating results. Finally, the ongoing conflict in the Middle East may disrupt our Israel business operations and employees that we acquired through the C2i Acquisition.</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extent of the macroeconomic factors on our future liquidity and operational performance will depend on certain developments, the impact on our customers' operations; the impact to our sales and renewal cycles; changes in central bank policies and interest rates; rates of inflation; and changes in foreign currency exchange rates. See "Risk Factors" for further discussion.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2"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Our performance depends on the number of tests that we perform and report as completed in our CLIA-certified laboratories and Prosigna tests purchased by our customers. Factors impacting the number of tests that we report as completed include, but are not limited to:</w:t>
      </w:r>
    </w:p>
    <w:p>
      <w:pPr>
        <w:spacing w:after="0" w:line="164" w:lineRule="exact"/>
        <w:rPr>
          <w:sz w:val="20"/>
          <w:szCs w:val="20"/>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5"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or our customers to perform our tests and report the results, including as a result of supply chain challenges (including quality of single-source reagents);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timing of industry conferences and timing of when patient deductibles are exceeded, which also impacts the reimbursement we receive from insurers; and</w:t>
      </w:r>
    </w:p>
    <w:p>
      <w:pPr>
        <w:spacing w:after="0" w:line="1" w:lineRule="exact"/>
        <w:rPr>
          <w:rFonts w:ascii="Times New Roman" w:cs="Times New Roman" w:eastAsia="Times New Roman" w:hAnsi="Times New Roman"/>
          <w:sz w:val="18"/>
          <w:szCs w:val="18"/>
          <w:color w:val="auto"/>
        </w:rPr>
      </w:pPr>
    </w:p>
    <w:p>
      <w:pPr>
        <w:ind w:left="960" w:hanging="315"/>
        <w:spacing w:after="0" w:line="253"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7"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bill list price regardless of contract rate, but only recognize revenue from amounts that we estimate are collectible and meet our revenue recognition criteria. Revenue may not be equal to the billed amount due to a number of factors that we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8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0"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products consist primarily of the Prosigna breast cancer assay,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2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enter into arrangements to license or provide access to our assets or services, including clinical and testing services, research and development, contract manufacturing and development, as well as other services. Such arrangements may require us to deliver various rights, data, services, manufactured diagnostic test kits, access and/or testing services to partner biopharmaceutical and other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are recorded as offsets against research and development expense or cost of biopharmaceutical and other revenue in our consolidated statements of operations.</w:t>
      </w:r>
    </w:p>
    <w:p>
      <w:pPr>
        <w:spacing w:after="0" w:line="21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spend a significant amount on activities to secure clinical trial results in support of our testing and product development portfolio and on-market tests, as well as clinical validation and utilization studies. We also deploy state-of-the-art and costly genomic technologies in our discovery experiments, and our spending on these technologies may vary substantially from quarter to quarter.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Through June 30, 2024, we derived most of our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29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12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80" w:type="dxa"/>
            <w:vAlign w:val="bottom"/>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Medicare</w:t>
            </w: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0"/>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31"/>
        </w:trPr>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processing efficiencies for these new tests.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9"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Our cost of product revenue consists primarily of costs of purchasing diagnostic kit components, labor, installation, service and packaging and delivery costs. In addition, cost of product revenue includes royalty costs for licensed technologies included in our products. As our Prosigna test kits are sold in various configurations with different number of tests, our product cost per test will vary based on the specific kit configuration purchased by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cost of biopharmaceutical and other revenue are the costs of performing activities under arrangements that require us to perform research and development, contract testing services, commercialization, and contract manufacturing and development. This expense is mainly composed of compensation, manufacturing and laboratory supplies, and pass-through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Cost of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4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collect clinical samples and conduct clinical studies to develop and support our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2023 in support of our early-stage products, including Percepta Nasal Swab, as well as the development of new IVD products and discovery. In the six months ended June 30, 2024, our research and development expenses also included support for our MRD tests. Going forward, we expect to incur significant expense as we invest in the continued development of our innovation engine, early-stage products including our MRD tests, required clinical studies and the development of current tests on multiple IVD platforms.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110 representatives is organized by business unit in the U.S., with separate teams calling on thyroid cancer, and urologic cancer physicians. The business units have dedicated marketing support, as well as a marketing operations team that serves the commercial organization broadly. Prosigna sales outside of the U.S. are led by country managers and sales teams that call on laboratories and breast cancer oncologists, with dedicated marketing support.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Operating Expenses</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4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(loss), net consists primarily of interest income from our cash held in interest bearing accounts, realized and unrealized gains and losses on foreign currency transactions, and French research tax credits. The French research tax credits (crédit d’impôt recherche, or CIR) are generated by our wholly owned subsidiary, Veracyte SAS, in connection with its research efforts performed in Marseille, France.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functional currency of our foreign subsidiaries, Veracyte SAS and C2i Genomics, Ltd., are the Euro and the Israeli Shekel, respectively.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income (loss),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2024 and 2023 (in thousands of dollars, except percentages and test volume):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07"/>
        </w:trPr>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0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106,970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25,221</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197,273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43,128</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28%</w:t>
            </w:r>
          </w:p>
        </w:tc>
      </w:tr>
      <w:tr>
        <w:trPr>
          <w:trHeight w:val="215"/>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210"/>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8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208"/>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38,528</w:t>
            </w:r>
          </w:p>
        </w:tc>
        <w:tc>
          <w:tcPr>
            <w:tcW w:w="8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5"/>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w:t>
            </w:r>
          </w:p>
        </w:tc>
        <w:tc>
          <w:tcPr>
            <w:tcW w:w="8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w:t>
            </w:r>
          </w:p>
        </w:tc>
      </w:tr>
      <w:tr>
        <w:trPr>
          <w:trHeight w:val="215"/>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210"/>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8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208"/>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w:t>
            </w:r>
          </w:p>
        </w:tc>
        <w:tc>
          <w:tcPr>
            <w:tcW w:w="8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8%</w:t>
            </w:r>
          </w:p>
        </w:tc>
      </w:tr>
      <w:tr>
        <w:trPr>
          <w:trHeight w:val="204"/>
        </w:trPr>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77,913</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22,093</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5"/>
              </w:rPr>
              <w:t>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140,381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33,172</w:t>
            </w:r>
          </w:p>
        </w:tc>
        <w:tc>
          <w:tcPr>
            <w:tcW w:w="80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31%</w:t>
            </w:r>
          </w:p>
        </w:tc>
      </w:tr>
      <w:tr>
        <w:trPr>
          <w:trHeight w:val="19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28%</w:t>
            </w:r>
          </w:p>
        </w:tc>
      </w:tr>
      <w:tr>
        <w:trPr>
          <w:trHeight w:val="215"/>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21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26%</w:t>
            </w:r>
          </w:p>
        </w:tc>
      </w:tr>
      <w:tr>
        <w:trPr>
          <w:trHeight w:val="215"/>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r>
      <w:tr>
        <w:trPr>
          <w:trHeight w:val="210"/>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5"/>
              </w:rPr>
              <w:t>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54%</w:t>
            </w:r>
          </w:p>
        </w:tc>
      </w:tr>
      <w:tr>
        <w:trPr>
          <w:trHeight w:val="208"/>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14,673</w:t>
            </w:r>
          </w:p>
        </w:tc>
        <w:tc>
          <w:tcPr>
            <w:tcW w:w="8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12%</w:t>
            </w: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12,657</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18,499</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(100)%</w:t>
            </w:r>
          </w:p>
        </w:tc>
      </w:tr>
      <w:tr>
        <w:trPr>
          <w:trHeight w:val="21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(loss), net</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8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152%</w:t>
            </w: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15,638</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21,821</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(133)%</w:t>
            </w:r>
          </w:p>
        </w:tc>
      </w:tr>
      <w:tr>
        <w:trPr>
          <w:trHeight w:val="21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1,202%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8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1,166%</w:t>
            </w:r>
          </w:p>
        </w:tc>
      </w:tr>
      <w:tr>
        <w:trPr>
          <w:trHeight w:val="206"/>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14,136</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20,363</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(123)%</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r>
      <w:tr>
        <w:trPr>
          <w:trHeight w:val="20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Diagnostic tests reported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12,117</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tests sold</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08"/>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test volume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39,023</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72,447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11,850</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r>
      <w:tr>
        <w:trPr>
          <w:trHeight w:val="219"/>
        </w:trPr>
        <w:tc>
          <w:tcPr>
            <w:tcW w:w="3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21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increased $24.1 million for the three months ended June 30, 2024 compared to the same period in 2023. This was primarily due to a $25.2 million increase in testing revenue, partially offset by a $1.0 million decrease in our Biopharmaceutical and other revenue. The 31% growth in testing revenue was primarily driven by a 24% volume increase and a 5% average selling price increase between our Decipher Prostate and Afirma products for the three months ended June 30, 2024.</w:t>
      </w:r>
    </w:p>
    <w:p>
      <w:pPr>
        <w:spacing w:after="0" w:line="20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Revenue increased $38.5 million for the six months ended June 30, 2024 compared to the same period in 2023. This was primarily due to a $43.1 million increase in testing revenue driven by a 22% volume increase, partially offset by a $4.1 million decrease in our Biopharmaceutical and other revenue. The increase in testing revenue and tests reported for the six months ended June 30, 2024 was due to Decipher Prostate and Afirma tests.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Product revenue decreased $0.1 million for the three months ended June 30, 2024 and decreased $0.5 million for the six months ended June 30, 2024 compared to the same periods in 2023. The six months result was primarily driven by lower demand for product test kits, largely as a result of supply chain issues.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Biopharmaceutical and other revenue decreased by $1.0 million for the three months ended June 30, 2024 and decreased by $4.1 million for the six months ended June 30, 2024 compared to the same periods in 2023, driven primarily by the reduction of customer projects given overall spending constraints across the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2024 and 2023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Laboratory costs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Sample collection costs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33"/>
        </w:trPr>
        <w:tc>
          <w:tcPr>
            <w:tcW w:w="3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391 %</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637 %</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603 %</w:t>
            </w:r>
          </w:p>
        </w:tc>
        <w:tc>
          <w:tcPr>
            <w:tcW w:w="0" w:type="dxa"/>
            <w:vAlign w:val="bottom"/>
          </w:tcPr>
          <w:p>
            <w:pPr>
              <w:spacing w:after="0"/>
              <w:rPr>
                <w:sz w:val="1"/>
                <w:szCs w:val="1"/>
                <w:color w:val="auto"/>
              </w:rPr>
            </w:pPr>
          </w:p>
        </w:tc>
      </w:tr>
      <w:tr>
        <w:trPr>
          <w:trHeight w:val="206"/>
        </w:trPr>
        <w:tc>
          <w:tcPr>
            <w:tcW w:w="3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3"/>
        </w:trPr>
        <w:tc>
          <w:tcPr>
            <w:tcW w:w="3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testing revenue increased $4.6 million, or 20%, for the three months ended June 30, 2024 compared to the same period in 2023. The increase in cost of testing revenue was due to increased volume in testing, higher staffing to support testing performance and the build out of infrastructure related to current and future growth expectations, primarily related to Decipher Prostate and Afirma tests.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testing revenue increased $10.9 million, or 25%, for the six months ended June 30, 2024 compared to the same period in 2023. The increase in cost of testing revenue was due to increased volume in testing, higher staffing to support testing performance and the build out of infrastructure related to current and future growth expectations, primarily related to Decipher Prostate and Afirma tests.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product revenue decreased $0.4 million, or 19%, for the three months ended June 30, 2024 compared to the same period in 2023, driven by lower volume of tests and a decrease in overhead related to manufacturing our IVD kits at our Marseille, France facilities. Cost of product revenue was the same for the six months ended June 30, 2024 compared to the same period in 2023.</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laboratory supplies and pass-through expenses incurred on these projects. Cost of biopharmaceutical and other revenue for the three and six months ended June 30, 2024 decreased by $0.2 million and $1.8 million, respectively, compared to the same periods in 2023, driven by reductions of variable expenses related to projects.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2024 and 2023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7"/>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0"/>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21 %</w:t>
            </w:r>
          </w:p>
        </w:tc>
      </w:tr>
      <w:tr>
        <w:trPr>
          <w:trHeight w:val="215"/>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74 %</w:t>
            </w:r>
          </w:p>
        </w:tc>
      </w:tr>
      <w:tr>
        <w:trPr>
          <w:trHeight w:val="210"/>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r>
      <w:tr>
        <w:trPr>
          <w:trHeight w:val="215"/>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3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r>
      <w:tr>
        <w:trPr>
          <w:trHeight w:val="233"/>
        </w:trPr>
        <w:tc>
          <w:tcPr>
            <w:tcW w:w="3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$3.9 million, or 31%, for the three months ended June 30, 2024 compared to the same period in 2023. The increase was primarily driven by direct research and development expense related to our on-going clinical studies including, but not limited to, furthering the support and clinical utility evidence of our urology products and our Percepta Nasal Swab test. In addition to clinical studies, the increase is partially driven by development costs related to our IVD and MRD strategies, as well as projects to enhance laboratory efficiencies.</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$7.1 million, or 28%, for the six months ended June 30, 2024 compared to the same period in 2023. The increase was primarily driven by direct research and development expense related to our on-going clinical studies including, but not limited to, furthering the support and clinical utility evidence of our Percepta Nasal Swab test and urology products. In addition to clinical studies, the increase is partially driven by development and personnel costs related to our IVD and MRD strategies, as well as projects to enhance laboratory efficiencies.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2024 and 2023 is as follows (in thousands of dollars, except percentages):</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0"/>
        </w:trPr>
        <w:tc>
          <w:tcPr>
            <w:tcW w:w="3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34,703</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0"/>
        </w:trPr>
        <w:tc>
          <w:tcPr>
            <w:tcW w:w="3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6"/>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51,886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87"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Selling and marketing expense decreased $1.5 million, or 6%, for the three months ended June 30, 2024 compared to the same period in 2023. The decrease in compensation expense and other expenses was primarily due to the reduction in sales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support for our Envisia product and reduced variable compensation. Direct marketing expense increased primarily due to increases in trade shows and market research.</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Selling and marketing expense decreased $3.9 million, or 7%, for the six months ended June 30, 2024 compared to the same period in 2023. The decrease in compensation and other expense was primarily due to a reversal of the stock-based compensation related to employee exits and reduced variable compensation, partially offset by severance costs associated with the decision to reduce the sales support for our Envisia product. Direct marketing expense increased primarily due to increased trade show events.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2024 and 2023 is as follows (in thousands of dollars, except percentages):</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0"/>
        </w:trPr>
        <w:tc>
          <w:tcPr>
            <w:tcW w:w="3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0"/>
        </w:trPr>
        <w:tc>
          <w:tcPr>
            <w:tcW w:w="3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33"/>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by $6.7 million for the three months ended June 30, 2024, compared to the same period in 2023. Compensation expense for the three months ended June 30, 2024 compared to the same period in 2023 increased primarily due to $2.9 million of expenses related to restructuring costs associated with the rupture conventionelle collective, or mutually consented termination plan, at our Marseille location as well as increased variable compensation. Occupancy expenses increased primarily due to our expansion of our San Diego facilities footprint to support Decipher Prostate growth, and other expenses increased $2.8 million primarily in relation to expenses related to the C2i Acquisition, including contingent consideration expense of $0.8 million, along with an increase in infrastructure costs.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21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by $11.9 million for the six months ended June 30, 2024, compared to the same period in 2023. Compensation expense for the six months ended June 30, 2024 compared to the same period in 2023 increased primarily due to expenses related to restructuring costs associated with the mutually consented termination plan at our Marseille location, annual compensation increases and expenses related to the C2i Acquisition. Occupancy expenses increased primarily due to our expansion of our San Diego facilities footprint to support Decipher Prostate growth, and other expenses increased $7.1 million primarily in relation to expenses related to the C2i Acquisition, infrastructure build out and $0.9 million of contingent consideration expenses.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There were no impairments of long-lived assets during the three months ended June 30, 2024 and 2023. Impairment of long-lived assets during the six months ended June 30, 2024 and 2023 was $0.4 million and $1.4 million, respectively, of impairment of right-of-use and fixed assets in relation to exiting our Watertown and Richmond facilities.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Other income (loss), net, increased $3.0 million for the three months ended June 30, 2024 compared to the same period in 2023, primarily due to an increase of $1.4 million from interest income and an increase of $1.8 million related to the French research tax credit.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(loss), net, increased $3.3 million for the six months ended June 30, 2024 compared to the same period in 2023, primarily due to an increase of $2.9 million from interest and dividend income, an increase of $1.4 million related to the French research tax credit, and a decrease of $0.9 million due to unrealized foreign currency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recorded income tax expense of $1.6 million and $0.1 million for the three months ended June 30, 2024 and 2023, respectively, and recorded income tax expense of $1.6 million and $0.1 million for the six months ended June 30, 2024 and 2023, respectively.</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As of June 30, 2024, we had cash and cash equivalents of $235.9 million. During the six months ended June 30, 2024, our cash and cash equivalents increased by $19.5 million. Historically, we have been financed primarily through net proceeds from the sale of our equity securities. Beginning in 2023, our operations have been financed primarily by cash flows generated by our revenue. For the six months ended June 30, 2024, we had net income of $3.9 million, but we may not sustain profitability for the remainder of 2024 and in future years. As of June 30, 2024, we had an accumulated deficit of $464.3 million.</w:t>
      </w:r>
    </w:p>
    <w:p>
      <w:pPr>
        <w:spacing w:after="0" w:line="191"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We believe our existing cash and cash equivalents as of June 30, 2024, and cash flows generated by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capital expenditures, lease obligations, potential milestones associated with the C2i Acquisition,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banking system may impact liquidity both in the short term and long term and may result in adverse impacts to our or our customers’ business, including in our customers’ ability to pay for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lease office and laboratory facilities in South San Francisco and San Diego, California; Austin, Texas; Marseille, France; Richmond, Virginia; and Watertown, Massachusetts, and lease certain equipment under various non-cancelable lease agreements. The lease terms extend to May 2036 and contain extension of lease term and expansion options. As of June 30, 2024, the leases have a weighted average remaining lease term of 6.3 years and total future minimum lease payments of $28.6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SAS entered into a lease agreement for a newly constructed facility in Marseille, France. The lease commenced during the three months ended June 30, 2024 and we recorded a lease liability and a corresponding ROU asset of $8.0 million. The initial term of the lease is twelve years with annual rent of approximately $1.3 million, excluding common area maintenance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C2i Acquisition Contingent Consideration</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we may pay up to an additional $25.0 million in cash or shares of our common stock, at our election, contingent upon the achievement of certain milestones. As of June 30, 2024, the achievement of one of the milestones contained in the Merger Agreement is forecasted to occur within the next 12 months, requiring payments totaling $5.0 million.</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nCounter Analysis System Acquisition Contingent Consideration</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part of our agreement to acquire the exclusive global diagnostic license to the nCounter Analysis System, we may pay up to an additional $10.0 million in cash, contingent upon first achievement or occurrence, by us or on our behalf, of the commercial launch of the first, second and third diagnostic tests for use on the nCounter multiplex analysis system. As of June 30, 2024, the achievement of one of the milestones is forecasted to occur within the next 12 months, requiring payments totaling $3.5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2024 and 2023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2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14,499</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20,411</w:t>
            </w: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7"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Cash provided by operating activities for the six months ended June 30, 2024 was $20.6 million. Our net income of $3.9 million includes non-cash charges of $17.9 million of stock-based compensation expense, $11.3 million of depreciation and amortization, of which $7.4 million was related to intangible asset amortization, and the remainder was due to a non-cash lease expense of $2.3 million. Cash used as a result of changes in operating assets and liabilities was $17.0 million, primarily composed of an increase in accounts receivable of $10.1 million, an increase in supplies and inventory of $3.3 million, a decrease in operating lease liability of $2.4 million, an increase in prepaids and other current assets of $2.2 million, a decrease in accounts payable of $1.7 million, and an increase in other assets of $1.2 million partially offset by a decrease in accrued liabilities and deferred revenue of $3.9 million.</w:t>
      </w:r>
    </w:p>
    <w:p>
      <w:pPr>
        <w:spacing w:after="0" w:line="17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2023 was $14.5 million. Our net loss of $16.5 million includes non-cash charges of $18.4 million of stock-based compensation expense, $13.5 million of depreciation and amortization, of which $10.7 million was related to intangible asset amortization, $1.4 million tied to the impairment of right-of-use and fixed assets, and the remainder was due to a non-cash lease expense of $2.0 million. Cash used as a result of changes in operating assets and liabilities was $4.0 million, primarily composed of a decrease in accrued liabilities and deferred revenue of $3.7 million, an increase in prepaids and other current assets of $2.5 million, a decrease in operating lease liability of $2.1 million, and an increase in other assets of $1.0 million. These amounts were partially offset by a decrease in supplies and inventory of $2.8 million, a decrease in accounts receivable of $1.8 million, and an increase in accounts payable of $0.8 million.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provided by investing activities for the six months ended June 30, 2024 was $0.1 million, consisting of $5.0 million net cash acquired from C2i excluding post-close transactions costs, partially offset by $4.9 million used in the purchase of property, plant and equipment.</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for the six months ended June 30, 2023 was $20.4 million, consisting of $44.8 million generated from the sale and maturity of short-term investments, partially offset by $19.7 million used in the purchase of short-term investments and $4.7 million used in the purchase of property, plant and equipment.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2024 was $0.9 million, consisting of $5.1 million in tax payments during the period related to the vesting of restricted stock units granted to employees, partially offset by $4.3 million in proceeds from the exercise of options to purchase our common stock and the purchase of stock under our Employee Stock Purchase Plan, or ESPP.</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2023 was $2.1 million, consisting of $5.3 million in proceeds from the exercise of options to purchase our common stock and the purchase of stock under our ESPP, partially offset by $3.2 million in tax payments during the period related to the vesting of restricted stock units granted to employees.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8"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We expect this ASU will result in the required additional disclosures being included in our consolidated financial statements, once adopted.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in our Annual Report on Form 10-K for the year ended December 31, 2023, or Annual Report, which was filed with the Securities and Exchange Commission, or the SEC, on February 29, 2024 are critical to understanding our historical and future performance, as these policies relate to the more significant areas involving management's judgments and estimates. There have been no material changes to our critical accounting policies and estimates as compared to the critical accounting policies and estimates disclosed in our Annual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$235.9 million as of June 30, 2024 which consisted of bank deposits and money market funds. Such interest-bearing instruments carry a degree of risk; however, a hypothetical 10% change in interest rates during any of the periods presented would not have had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of June 30, 2024 we held $5.0 million of bank deposits denominated in Euros. Such Euro denominated deposits carry a degree of risk from changes in currency exchange rates as the gains or losses from changes in exchange rates are included in our net income (loss) and comprehensive income (loss). As of June 30, 2024 a hypothetical 10% appreciation or depreciation of the U.S. dollar relative to the Euro would not have had a material impact on our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are facing inflation headwinds in compensation, travel, supply and inventory costs. However, we do not believe that inflation has had a material effect on our business, financial condition, or operating results to date.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7"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our Company. On February 5, 2024, we closed the C2i Acquisition and we are in the process of incorporating C2i into our evaluation of internal control over financial reporting. Other than the C2i Acquisition there were no changes in our internal control over financial reporting (as such term is defined in Rule 13a-15(f) under the Exchange Act) identified in connection with the evaluation identified above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4"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287" w:lineRule="exact"/>
        <w:rPr>
          <w:sz w:val="20"/>
          <w:szCs w:val="20"/>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a history of losses, we could incur net losses in the future, and we may not achieve or sustain profitability.</w:t>
      </w:r>
    </w:p>
    <w:p>
      <w:pPr>
        <w:spacing w:after="0" w:line="58"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financial results currently depend mainly on sales of our Decipher Prostate and Afirma tests, and we will need to generate sufficient revenue from these and our other diagnostic tests to grow our business.</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grow sales of our portfolio of tests or products, or we are unable to launch or commercialize our new tests or products, our business may suffer.</w:t>
      </w:r>
    </w:p>
    <w:p>
      <w:pPr>
        <w:spacing w:after="0" w:line="4" w:lineRule="exact"/>
        <w:rPr>
          <w:rFonts w:ascii="Times New Roman" w:cs="Times New Roman" w:eastAsia="Times New Roman" w:hAnsi="Times New Roman"/>
          <w:sz w:val="18"/>
          <w:szCs w:val="18"/>
          <w:color w:val="231F20"/>
        </w:rPr>
      </w:pPr>
    </w:p>
    <w:p>
      <w:pPr>
        <w:ind w:left="640" w:right="2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depend on a few payers for a significant portion of our revenue; if one or more significant payers stops providing reimbursement or decreases the amount of reimbursement for our tests our revenue could decline.</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limits on our revenue if physicians decide not to order our tests or if patients decide not to use our tests as a result of increased costs, fees or changing insurer policies.</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comply with federal, state and foreign licensing requirements, we could lose the ability to perform our tests or experience disruptions to our business.</w:t>
      </w:r>
    </w:p>
    <w:p>
      <w:pPr>
        <w:spacing w:after="0" w:line="4" w:lineRule="exact"/>
        <w:rPr>
          <w:rFonts w:ascii="Times New Roman" w:cs="Times New Roman" w:eastAsia="Times New Roman" w:hAnsi="Times New Roman"/>
          <w:sz w:val="18"/>
          <w:szCs w:val="18"/>
          <w:color w:val="231F20"/>
        </w:rPr>
      </w:pPr>
    </w:p>
    <w:p>
      <w:pPr>
        <w:jc w:val="both"/>
        <w:ind w:left="640" w:hanging="315"/>
        <w:spacing w:after="0" w:line="261"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quarterly operating results may fluctuate significantly or may fall below the expectations of investors or securities analysts for various reasons, including in response to the way we recognize revenue, our level of profitability and/or the amount of cash we generate, which may cause our stock price to fluctuate or decline.</w:t>
      </w:r>
    </w:p>
    <w:p>
      <w:pPr>
        <w:spacing w:after="0" w:line="16" w:lineRule="exact"/>
        <w:rPr>
          <w:rFonts w:ascii="Times New Roman" w:cs="Times New Roman" w:eastAsia="Times New Roman" w:hAnsi="Times New Roman"/>
          <w:sz w:val="18"/>
          <w:szCs w:val="18"/>
          <w:color w:val="231F20"/>
        </w:rPr>
      </w:pPr>
    </w:p>
    <w:p>
      <w:pPr>
        <w:ind w:left="640" w:right="2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If our general strategy of seeking growth through acquisitions and collaborations is not successful, or if we do not successfully integrate </w:t>
      </w:r>
      <w:r>
        <w:rPr>
          <w:rFonts w:ascii="Times New Roman" w:cs="Times New Roman" w:eastAsia="Times New Roman" w:hAnsi="Times New Roman"/>
          <w:sz w:val="18"/>
          <w:szCs w:val="18"/>
          <w:color w:val="000000"/>
        </w:rPr>
        <w:t>companies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 assets that we acquire into our business, our prospects and financial condition will suffer.</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and international growth depend, in part, on our ability to adapt, manufacture and distribute our tests as IVD tests.</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rely on sole suppliers for some of the reagents, equipment, and other materials used to perform or develop our tests, as well as certain sole source providers for kit components, instruments and associated services. We may not be able to find replacements or transition to alternative suppliers or service providers, which may materially impact our ability to generate revenue.</w:t>
      </w:r>
    </w:p>
    <w:p>
      <w:pPr>
        <w:spacing w:after="0" w:line="1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be unable to manage our future growth effectively, which could make it difficult to execute our business strategy.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we are unable to support demand for our tests, products or services, our business could suffer.</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healthcare p</w:t>
      </w:r>
      <w:r>
        <w:rPr>
          <w:rFonts w:ascii="Times New Roman" w:cs="Times New Roman" w:eastAsia="Times New Roman" w:hAnsi="Times New Roman"/>
          <w:sz w:val="18"/>
          <w:szCs w:val="18"/>
          <w:color w:val="000000"/>
        </w:rPr>
        <w:t>olicy, including legislation reforming the U.S. healthcare system, recent U.S. Supreme Court judicial decisions and potential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changes in the regulatory environment, may have a material adverse effect on our financial condition and operations.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Because of Medicare billing rules, we may not receive reimbursement for all tests provided to Medicare patients.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foreign authorities regulation of those of our tests that they do not currently regulate could result in Veracyte incurring substantial costs and delays associated with trying to obtain premarket clearance, approval or certification.</w:t>
      </w:r>
    </w:p>
    <w:p>
      <w:pPr>
        <w:spacing w:after="0" w:line="4"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we may be unable to increase or sustain our revenue and/or achieve profitability.</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of our executive officers, or the inability to attract and retain highly-skilled employees or other key personnel, could adversely affect our business.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for our diagnostic tests is complex, and we must dedicate substantial time and resources to the billing process in order to collect cash and be paid.</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sales force is less successful than anticipated, our business expansion plans could suffer and our ability to generate revenue could be diminished.</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must successfully integrate acquired businesses to realize the financial goals that we currently ant</w:t>
      </w:r>
      <w:r>
        <w:rPr>
          <w:rFonts w:ascii="Times New Roman" w:cs="Times New Roman" w:eastAsia="Times New Roman" w:hAnsi="Times New Roman"/>
          <w:sz w:val="18"/>
          <w:szCs w:val="18"/>
          <w:color w:val="000000"/>
        </w:rPr>
        <w:t>icipate.</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Aspects of our international business expose us to business, personnel, regulatory, political, operational, financial, and economic risks associated with doing business outside of the United States.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be adversely affected by unfavorable macroeconomic and market conditions.</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1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or successfully defend our intellectual property effectively, our business may be harmed.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litigation related to intellectual property, which may be time-intensive and costly and may adversely affect our business, operating results or financial condition.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Being a Public Compa</w:t>
      </w:r>
      <w:r>
        <w:rPr>
          <w:rFonts w:ascii="Times New Roman" w:cs="Times New Roman" w:eastAsia="Times New Roman" w:hAnsi="Times New Roman"/>
          <w:sz w:val="18"/>
          <w:szCs w:val="18"/>
          <w:color w:val="auto"/>
        </w:rPr>
        <w:t>ny</w:t>
      </w:r>
    </w:p>
    <w:p>
      <w:pPr>
        <w:spacing w:after="0" w:line="287" w:lineRule="exact"/>
        <w:rPr>
          <w:sz w:val="20"/>
          <w:szCs w:val="20"/>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300" w:lineRule="exact"/>
        <w:rPr>
          <w:sz w:val="20"/>
          <w:szCs w:val="20"/>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stock price may be volatile, and you may not be able to sell shares of our common stock at or above the price you paid.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we could incur net losses in the future and we may not achieve or sustain profitability.</w:t>
      </w:r>
    </w:p>
    <w:p>
      <w:pPr>
        <w:spacing w:after="0" w:line="24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2024 and 2023, we had net income of $4 million and net loss of $16 million, respectively. As of June 30, 2024, we had an accumulated deficit of $464 million. Although we recorded net income in the six months ended June 30, 2024, we could incur losses in the future. Ongoing widespread inflationary pressures in the United States and across global economies have resulted in higher costs for our raw materials, non-material costs, labor and other business costs, and significant increases in the future could adversely affect our results of operations. We may not achieve profitability in a reporting period or, if we do so, we may not sustain profitability, and our failure to achieve or sustain profitability in the future could cause the market price of our common stock to decline.</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Decipher Prostate and Afirma tests, and we will need to generate sufficient revenue from these and our other diagnostic tests to grow our business.</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Most of our revenue to date has been derived from sales of our Decipher Prostate and Afirma tests, which are used in the diagnosis of urological and thyroid cancers. Over the next few years, we expect to continue to derive a substantial portion of our revenue from sales of our Decipher Prostate and Afirma tests. Regarding our more nascently adopted tests, once they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Decipher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Prostate and Afirma tests, or develop and commercialize other tests, our revenue and our ability to achieve and sustain profitability would be impaired, and the market price of our common stock could decline.</w:t>
      </w:r>
    </w:p>
    <w:p>
      <w:pPr>
        <w:spacing w:after="0" w:line="186"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grow sales of our portfolio of tests or products, or we are unable to launch or commercialize our new tests or products, our business may suffer.</w:t>
      </w:r>
    </w:p>
    <w:p>
      <w:pPr>
        <w:spacing w:after="0" w:line="18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Although a number of our tests, such as Prosigna and Decipher Bladder, have not contributed significant revenue to date, we expect them to grow and become an increasingly important component of our portfolio, as well as our results of operations. We plan to introduce new tests going forward as well, including in MRD as a result of the C2i Acquisition, as well as our Percepta Nasal Swab. There can be no assurance that we will be successful in our launch or commercialization of new tests, nor that physicians will request our new tests be performed in sufficient volumes for our revenue to meet our projections. Additionally, we anticipate expanding the reach of some of our tests to international markets; if our products are not widely adopted internationally, our business and results of operations may be adversely affected.</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if one or more significant payers stops providing reimbursement or decreases the amount of reimbursement for our tests, our revenue could decline.</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Federal Medicare funding and state budgets are limited and have been placed under tremendous strain in recent years, which is likely to be further exacerbated as a result of macroeconomic uncertainty. Such budgetary pressures may force Medicare, Medicare Advantage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Group was 31% and 14%, respectively, of our revenue for the six months ended June 30, 2024, compared with 32% and 11%, respectively, for the six months ended June 30, 2023.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w:t>
      </w:r>
    </w:p>
    <w:p>
      <w:pPr>
        <w:spacing w:after="0" w:line="20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Effective January 2012, Palmetto GBA, the regional Medicare Administrative Contractor, or MAC, that handled claims processing for Medicare services over our jurisdiction at that time, issued coverage and payment determinations for our Afirma Classifier now covered by Noridian Healthcare Solutions, the current MAC for our jurisdiction, through the MolDX program, administered by Palmetto GBA, under a Local Coverage Determination, or LCD. On July 28, 2024, a new LCD through the MolDX program, “Molecular Testing for Risk Stratification of Thyroid Nodules,” takes effect which provides expanded Medicare coverage for Afirma. Modifications to the current Medicare coverage of the Afirma classifier could have an adverse effect on our business, financial condition and results of operations.</w:t>
      </w:r>
    </w:p>
    <w:p>
      <w:pPr>
        <w:spacing w:after="0" w:line="212"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 Act, Congress further delayed the next reporting period to 2022 for final payments made between January 1 and June 30, 2019, extending the applicability for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In November 2023, through the Further Continuing Appropriations and Other Extensions Act of 2024, Congress further delayed the next reporting period to 2025. The applicability of the payment rates based on 2017 reporting thus now extend through December 31, 2025. As a result of the transition from Afirma GEC to Afirma GSC, a new CPT Category I code (81546) was established for the Afirma classifier, effective January 1, 2021. This code went through the national payment determination process for Medicare in 2020, through which the Centers for Medicare &amp; Medicaid Services, or CMS, priced 81546 at the same rate of $3,600 as 81545. Since the Afirma GSC CPT code 81546 was newly issued in 2021, the first PAMA data reporting period for 81546 under the current triennial data reporting process is expected to be January 2028 through March 2028, resulting in a new potential reimbursement rate effective January 1, 2029. There is no guarantee that the Afirma GSC Medicare rate will not be negatively impacted in future PAMA reporting cycles based on the reported weighted median of private commercial payers.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Decipher Prostate is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In August 2023, a new Proposed LCD was issued for “Gene Expression Profile Tests for Decision-Making in Castration Resistant and Metastatic Prostate Cancers” through the MolDX program. We believe that this Proposed LCD, if finalized, would broaden our Decipher Prostate coverage for Castration Resistant and Metastatic prostate cancer patients. There is no guarantee that this Proposed LCD will be finalized, or that the coverage criteria for the Decipher Prostate tests classifier under this Proposed LCD, if finalized, would be as advantageous as under the current LCD. Modifications to the current Medicare coverage of the Decipher Prostate tests could have an adverse effect on our business, financial condition and results of operations.</w:t>
      </w:r>
    </w:p>
    <w:p>
      <w:pPr>
        <w:spacing w:after="0" w:line="21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Decipher Prostate tests were assigned a new American Medical Association Current Procedural Terminology code, or CPT code, 81542, in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submit claims to Medicare for Decipher Prostate using CPT code 81542. CMS assigned 81542 to the gapfilling process in 2020, under which the individual MACs set the payment rate for the test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81542 has been priced at $3,873 since January 1, 2021, based on CMS’ revision of the median of payment rates set by the MACs through the gapfilling process. Since the CPT code was issued in 2020, we expect the next PAMA reporting period to take place between January 2028 and March 2028, resulting in a potential new reimbursement rate effective January 1, 2029. There can be no assurance that the Medicare payment rates for Decipher Prostate will not decrease during a future reporting cycle under PAMA.</w:t>
      </w:r>
    </w:p>
    <w:p>
      <w:pPr>
        <w:spacing w:after="0" w:line="213"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An LCD was issued for Prosigna by Palmetto GBA in August 2015, which has been in effect since October 1, 2015. There can be no assurance that the Prosigna payment rate will not decrease during subsequent reporting cycles under PAMA.</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 LCD was issued by Noridian Healthcare Solutions to provide Medicare coverage for the Envisia Genomic Classifier on April 11, 2019.</w:t>
      </w:r>
    </w:p>
    <w:p>
      <w:pPr>
        <w:spacing w:after="0" w:line="245"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as defined under the ADLT regulations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 reported annually. Effective January 1, 2024, the Medicare payment rate for 81554 is $5,500. There can be no assurance that the Medicare payment rate for Envisia will not be reduced when it is set based on the volume-weighted median of private payer rates. Current ADLT PAMA regulations require us to report these private payer rates for Envisia, 81554, annually.</w:t>
      </w:r>
    </w:p>
    <w:p>
      <w:pPr>
        <w:spacing w:after="0" w:line="21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submit claims to Medicare for Decipher Bladder using CPT code 0016M. CMS assigned 0016M to the gapfilling process in 2021. Since January 1, 2022, the payment rate for 0016M has been $3,489.63, based on the median of payment rates set by the MACs through the gapfilling process. There is no assurance that the Medicare payment rate for Decipher Bladder will not decrease during a future reporting cycle under PAMA.</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many private payers now require prior authorization for molecular diagnostic tests. Potential reductions in reimbursement rates or increases in the difficulty of achieving payment could have a negative effect on our revenue.</w:t>
      </w:r>
    </w:p>
    <w:p>
      <w:pPr>
        <w:spacing w:after="0" w:line="186"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8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2" w:lineRule="exact"/>
        <w:rPr>
          <w:sz w:val="20"/>
          <w:szCs w:val="20"/>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4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are an out-of-network provider with some commercial payers in the United States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12"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We expect to continue to focus substantial resources on increasing adoption, coverage and reimbursement for the Decipher Prostate, Afirma, Prosigna and Decipher Bladder, as well as any other future tests we may develop. We believe it will take several years to achieve coverage and contracted reimbursement with a majority of third-party payers across our entire portfolio of tests.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Afirma genomic classifier is included in most physician practice guidelines in the United States for the assessment of patients with thyroid nodules.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historical practice recommended a full or partial thyroidectomy in cases where cytopathology results were indeterminate to confirm a diagnosis.</w:t>
      </w:r>
    </w:p>
    <w:p>
      <w:pPr>
        <w:spacing w:after="0" w:line="22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strength of the clinical data supporting the use of the Decipher Prostate Genomic Classifier has led to the test’s inclusion in leading clinical guidelines. For example, the Decipher Prostate test received a “Level 1B” evidence designation in the 2024 NCCN Guidelines(R), or NCCN Guidelines, for prostate cancer, distinguishing it as the only gene-expression test to do so.</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Although Decipher Prostate Genomic Classifier has been integrated into the NCCN Guidelines, if we are unsuccessful in maintaining the relative level of recommendation of Decipher Prostate or other of our genomic tests within these guidelines, are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unable to cause any new or modified genomic tests we develop to be included in these guidelines, are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Envisia test is included but not yet recommended in practice guidelines and physicians may be reluctant to order tests that are not recommended in these guidelines. The Prosigna test is included in practice guidelines in the United States and internationally but faces competition from other products globally.</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Because our Decipher Prostate Genomic Classifier, Afirma, Envisia, and Decipher Bladder testing services are performed by our certified laboratories under the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sustain profitability. To the extent international markets have existing practices and standards of care that are different than those in the United States, we may face challenges with the adoption of our tests in international markets.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 as a result of increased costs, fees or changing payer policies.</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putting patients in the position of having to pay more for our tests. In addition, volatile interest rates and ongoing inflation in the United States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210"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86"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00"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Decipher Prostate, Afirma, Envisia and Decipher Bladder tests. We will be required to obtain approval for other tests we may offer in the future. If we were to lose our CLIA certificate or California license for our South San Francisco or San Diego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it could result in a delay in processing tests during that transition and increased costs. If we were to lose our licenses issued by New York or by other states where we are required to hold licenses, we would not be able to test specimens from those states. New tests we may develop, and modifications to existing tests, may be subject to new approvals by regulatory bodies such as the New York State Department of Health, and we may not be able to offer our new or modified tests until such approvals are received. Furthermore, certain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state agencies, including the New York State Department of Health, have been experiencing delays in their response time which may cause delay in our receipt of our corresponding approvals or renewals for our tests.</w:t>
      </w:r>
    </w:p>
    <w:p>
      <w:pPr>
        <w:spacing w:after="0" w:line="186" w:lineRule="exact"/>
        <w:rPr>
          <w:sz w:val="20"/>
          <w:szCs w:val="20"/>
          <w:color w:val="auto"/>
        </w:rPr>
      </w:pPr>
    </w:p>
    <w:p>
      <w:pPr>
        <w:jc w:val="both"/>
        <w:ind w:firstLine="12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for various reasons, including in response to the way we recognize revenue, our level of profitability and/or the amount of cash we generate, which may cause our stock price to fluctuate or decline.</w:t>
      </w:r>
    </w:p>
    <w:p>
      <w:pPr>
        <w:spacing w:after="0" w:line="19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quarterly financial and operating results depend on sales of our products in the markets we operate and are sensitive to a number of factors, including reimbursement, patient and clinician demand, market conditions in the United States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212" w:lineRule="exact"/>
        <w:rPr>
          <w:sz w:val="20"/>
          <w:szCs w:val="20"/>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testing samples and related data;</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analytical and clinical validation studies, as well as clinical utility studies;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scale-up our laboratory processes;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train our sales force;</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a large number of ordering clinicians;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ordering laboratories; and</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clearances, approvals or certifications of our new solutions, as required by applicable regulatory bodies.</w:t>
      </w:r>
    </w:p>
    <w:p>
      <w:pPr>
        <w:spacing w:after="0" w:line="298"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This process involves a high degree of risk and may take up to several years or more. Our test development and commercialization efforts may be delayed or fail for many reasons, including:</w:t>
      </w:r>
    </w:p>
    <w:p>
      <w:pPr>
        <w:spacing w:after="0" w:line="190" w:lineRule="exact"/>
        <w:rPr>
          <w:sz w:val="20"/>
          <w:szCs w:val="20"/>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test at the research or development stage;</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accessing suitable testing samples, especially testing samples with known clinical results;</w:t>
      </w:r>
    </w:p>
    <w:p>
      <w:pPr>
        <w:spacing w:after="0" w:line="58" w:lineRule="exact"/>
        <w:rPr>
          <w:rFonts w:ascii="Times New Roman" w:cs="Times New Roman" w:eastAsia="Times New Roman" w:hAnsi="Times New Roman"/>
          <w:sz w:val="18"/>
          <w:szCs w:val="18"/>
          <w:color w:val="auto"/>
        </w:rPr>
      </w:pPr>
    </w:p>
    <w:p>
      <w:pPr>
        <w:ind w:left="1280" w:hanging="556"/>
        <w:spacing w:after="0" w:line="275" w:lineRule="auto"/>
        <w:tabs>
          <w:tab w:leader="none" w:pos="1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analytical and clinical validation data to support the effectiveness of the test, or lack of clinical utility data to support the value of the test;</w:t>
      </w:r>
    </w:p>
    <w:p>
      <w:pPr>
        <w:spacing w:after="0" w:line="4"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the failure of third-party suppliers or contractors to meet their obligations in a timely and cost-effective manner;</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necessary clearances, approvals or certifications to market the test;</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constraints due to limited energy supply in Europe or other supply constraints; or</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commercial acceptance by patients, clinicians or third-party payers.</w:t>
      </w:r>
    </w:p>
    <w:p>
      <w:pPr>
        <w:spacing w:after="0" w:line="245"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tests, we will have to make additional investments in our laboratory operations as well as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choose not to commercialize, or we may not be able to obtain reimbursement for, the test.</w:t>
      </w:r>
    </w:p>
    <w:p>
      <w:pPr>
        <w:spacing w:after="0" w:line="2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Furthermore, most of our European sales are denominated in Euros, and if the U.S. dollar strengthens relative to the Euro, our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may be adversely affected even where our underlying business is performing as anticipated.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20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an element of our growth strategy, we have, from time to time, pursued opportunities to license assets or purchase companies or assets that we believe would complement our current business or help us expand into new markets. For example, we recently acquired C2i. We may pursue additional acquisitions of complementary businesses or assets as part of our business strategy. There can be no assurance that we will successfully integrate the assets acquired from such acquisitions into our existing business.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1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and international growth depend, in part, on our ability to adapt, manufacture and distribute our tests as IVD tests.</w:t>
      </w:r>
    </w:p>
    <w:p>
      <w:pPr>
        <w:spacing w:after="0" w:line="249"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Our strategy to expand into international markets depends on our ability to successfully adapt our menu of diagnostic tests as in vitro diagnostics, or IVDs, and secure necessary regulatory approvals. Currently, the Prosigna breast cancer assay is available on the nCounter Analysis System platform. If we are not able to adapt our current or future tests to be performed on quantitative polymerase chain reaction, or qPCR, or next generation sequencing, or NGS, IVD platforms or if our tests fail to be competitive against competing products in international markets, our prospects for growth could suffer. In addition, to the extent international markets have existing practices and standards of care that are different than those in the United States, we may face challenges with the adoption of our tests in international markets. For commercialization of our tests on other IVD platforms, we will be dependent on third parties for the support and clinical registration of their platforms as well as certain reagents, instruments, software or components.</w:t>
      </w: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revenue that we are expecting in our biopharma and other services business may not transpire.</w:t>
      </w:r>
    </w:p>
    <w:p>
      <w:pPr>
        <w:spacing w:after="0" w:line="23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2023 and for the six months ended June 30, 2024, we have experienced significant declines in biopharma and other services revenue as a result of reductions in customer projects, extended sales cycles and overall spending constraints across the industry. The success of our biopharma services business depends in part on our ability to identify and successfully negotiate with appropriate pharma partners. We cannot guarantee that we will be successful in the identification of appropriate pharma partners or the successful and timely negotiation with such partners, or that existing partners will not terminate their agreements with us.</w:t>
      </w:r>
    </w:p>
    <w:p>
      <w:pPr>
        <w:spacing w:after="0" w:line="208" w:lineRule="exact"/>
        <w:rPr>
          <w:sz w:val="20"/>
          <w:szCs w:val="20"/>
          <w:color w:val="auto"/>
        </w:rPr>
      </w:pPr>
    </w:p>
    <w:p>
      <w:pPr>
        <w:jc w:val="both"/>
        <w:ind w:firstLine="12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and other materials used to perform our tests, as well as certain sole source providers for kit components, instruments and associated services. We may not be able to find replacements or transition to alternative suppliers or service providers, which may materially impact our ability to generate revenue.</w:t>
      </w:r>
    </w:p>
    <w:p>
      <w:pPr>
        <w:spacing w:after="0" w:line="195"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and other materials and services that we use to perform our tests as well as to satisfy demand for our Prosigna test kits, service kits and service on the nCounter Analysis System. We also purchase components used in our sample collection kits from sole-source suppliers. Some of these items are unique to these suppliers and vendors and their inability to provide us with reagents that perform to specifications, could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negatively impact our ability to provide timely response and reports to our customers and, as a result, may materially impact our ability to generate revenue.</w:t>
      </w:r>
    </w:p>
    <w:p>
      <w:pPr>
        <w:spacing w:after="0" w:line="25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If suppliers can no longer provide us with the materials we need to perform tests or produce test kits, if the materials do not meet our quality specifications or are otherwise unusable, if we cannot obtain acceptable substitute materials, or if we elect to change suppliers, a sustained interruption in test processing or system and test kit deliveries could occur, we may not be able to deliver tests to physicians or deliver patient reports and we may incur higher one-time switching costs.</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rely on NanoString, now Bruker Corporation as a result of Bruker Corporation’s asset acquisition of NanoString, for certain components and raw materials for the Prosigna test and nCounter service kits, as well as service of the nCounter Analysis System. In February 2024, NanoString filed for bankruptcy under Chapter 11 of the United States Bankruptcy Code in the U.S. Bankruptcy Court in Delaware and in May 2024, Bruker Corporation closed its asset acquisition of the business of NanoString. We are participating in the NanoString bankruptcy proceedings and may experience disruption in the supply or services as a result of the NanoString bankruptcy proceedings or the acquisition of certain assets by Bruker Corporation. We have largely completed the transition of the manufacturing of Prosigna test kits to our facility in Marseille, France but may experience manufacturing irregularities and challenges resulting from this transition.</w:t>
      </w:r>
    </w:p>
    <w:p>
      <w:pPr>
        <w:spacing w:after="0" w:line="213"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rely on sole service providers for certain services such as cytopathology professional diagnoses on thyroid fine needle aspiration. If any of these service providers were unable to provide the quality or quantity of services that we require, or if we were unable to agree on commercial terms and our relationships with such service providers were to terminate, our business could be harmed until we were able to secure the services of another provider.</w:t>
      </w:r>
    </w:p>
    <w:p>
      <w:pPr>
        <w:spacing w:after="0" w:line="20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While we have developed alternate sourcing strategies for many materials, vendors and service providers, we cannot be certain whether these strategies will be effective or the alternative sources will be available when we need them. Moreover, the supply of key reagents and testing materials has been periodically challenged by quality of reagents received. Further, we experience supply chain disruptions, although, to date, this has not resulted in delays in our ability to timely return test results.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3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tests, products or services, our business could suffer.</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demand for our tests, products and services grow, we will need to continue to scale our capacity and processing technology, expand customer service, billing and systems processes, enhance our internal quality assurance program and ensure test and product continuity. We will also need additional certified laboratory scientists as well as other scientific and technical personnel to process higher volumes. We cannot assure that any increases in scale, related improvements, supply of reagents to perform testing, and quality assurance measures will be successfully implemented or that appropriate personnel will be available and able to be hired. Failure to implement necessary procedures, transition to new processes or hire the necessary 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recent U.S. Supreme Court judicial decisions and potential changes in the regulatory environment, may have a material adverse effect on our financial condition and operations.</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21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became subject to a reduction of 2% due to the automatic expense reductions (sequester).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213"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involved the use of a range of rates that fell between zero and 80% of the calculated California-specific Medicare rate and the calculation of a weighted average (based on units billed) of such rates. Effective for dates of service on or after July 1, 2022, the cap at 80% of the Medicare rate has been replaced with a cap at 100% of the lowest maximum allowance established by the federal Medicare program for the same or similar services.</w:t>
      </w:r>
    </w:p>
    <w:p>
      <w:pPr>
        <w:spacing w:after="0" w:line="19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CMS bundles payments for many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In November 2023, through the Further Continuing Appropriations and Other Extensions Act of 2024, Congress further delayed the next reporting period to 2025. There can be no assurance that the payment rate for Afirma or Prosigna will not decrease in the future or that the payment rates for Decipher Prostate or Decipher Bladder will not be adversely affected by the PAMA law and regulations.</w:t>
      </w:r>
    </w:p>
    <w:p>
      <w:pPr>
        <w:spacing w:after="0" w:line="223"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Envisia’s Medicare price on the CLFS is based on private payer rates collected and reported annually, which can lead to the Medicare price fluctuating on January 1st of each year. We can determine whether to seek ADLT status for our tests, but there can be no assurance that our tests will be designated ADLTs or that the payment rates for our tests, including Envisia, will not be adversely affected by such designation.</w:t>
      </w:r>
    </w:p>
    <w:p>
      <w:pPr>
        <w:spacing w:after="0" w:line="195"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12"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In December 2020, in its enactment of the CAA, Congress enacted the No Surprises Act. This law, which took effect on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have implemented the No Surprises Act through rulemakings issued on July 1, 2021, September 30, 2021, and August 19, 2022. The No Surprises Act, and regulations and subregulatory guidance promulgated thereunder, could limit our ability to achieve payment in full for our testing services.</w:t>
      </w:r>
    </w:p>
    <w:p>
      <w:pPr>
        <w:spacing w:after="0" w:line="20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 in June 2024, the U.S. Supreme Court reversed its longstanding approach under the Chevron doctrine, which provided for judicial deference to regulatory agencies, including the FDA. As a result of this decision, there may be increased challenges to existing agency regulations and policies and it is uncertain how lower courts will apply the decision in the context of other regulatory schemes. This decision may result in regulatory uncertainties in the healthcare industry and could impact the timely review of any regulatory filings or applications we submit to the FDA,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Decipher Prostate, Afirma,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the CY 2020 Hospital Outpatient Prospective Payment System Proposed Rule, CMS solicited comments on potential revisions to these billing rules that could have impacted our ability to bill Medicare directly for our Decipher Prostate, Afirma, Envisia,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w:t>
      </w:r>
    </w:p>
    <w:p>
      <w:pPr>
        <w:spacing w:after="0" w:line="186"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FDA or foreign authorities regulation those of our tests that they do not currently regulate, could result in Veracyte incurring substantial costs and delays associated with trying to obtain premarket clearance, approval or certification.</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concerning LDTs. While the FDA has historically maintained its authority to regulate LDTs, it has generally exercised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We believe that the Decipher Prostate, Afirma, Envisia, and Decipher Bladder classifiers, have been developed and are performed in a manner consistent with the FDA’s enforcement discretion policy concerning LDTs.</w:t>
      </w:r>
    </w:p>
    <w:p>
      <w:pPr>
        <w:spacing w:after="0" w:line="216"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17"/>
          <w:szCs w:val="17"/>
          <w:color w:val="auto"/>
        </w:rPr>
        <w:t>On April 29, 2024, the FDA released final regulations under 21 CFR Part 809 under the Federal Food, Drug, and Cosmetic Act (FD&amp;C Act) to make explicit that IVD products are devices under the FD&amp;C Act, removing much of the FDAs historical enforcement discretion for most LDTs. In conjunction with this final rule, the FDA proposed to phase out its general enforcement discretion approach for LDTs so that IVDs manufactured by a laboratory would generally fall under the same enforcement approach as other IVDs. This final rule also provides that FDA intends to exercise enforcement discretion and generally not enforce premarket review and quality system requirements (except for requirements under Part 820, subpart M (records)) for currently marketed IVDs offered as LDTs that were first marketed prior to May 6, 2024 and have not been significantly modified thereafter and intends to exercise enforcement discretion and generally not enforce premarket review requirements for LDTs approved by the New York State Clinical Lab Evaluation Program (NYS CLEP). We believe that Decipher Prostate, Afirma, Envisia, and Decipher Bladder classifiers will enjoy the continued FDA enforcement discretion in their current forms. Additionally, pursuant to the final rule, the FDA will gradually end its general enforcement discretion approach in five stages over a four-year period for other LDTs not approved by NYS CLEP or not already on market. Each stage of the proposed phaseout period would subject LDTs to a set of regulatory requirements. For example, the first stage of the phaseout would require LDT developers to comply with medical device reporting requirements, complaint handling and correction and removal reporting requirements within one year after the FDA publishes the final rule. LDTs that are considered higher risk IVDs would be subject to premarket review requirements within three and a half years, and LDTs that are considered moderate or low risk IVDs would be subject to premarket submission requirements within four years after the FDA publishes the final rule. While the enforcement policy is phased out, the FDA could still decide to pursue enforcement action at any time against LDTs that it deems to be violative of its regulations when appropriate.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While we enjoy continued FDA enforcement discretion under this final rule for our existing tests, if the FDA were to determine that Decipher Prostate, Afirma, Envisia and Decipher Bladder classifiers, or modifications thereof, are not within the scope of the FDA's enforcement discretion policy for LDTs for any reason, including based on these final rules or new rules, regulations, policies or guidance, or due to changes in statute, our existing tests may become subject to extensive FDA requirements, or our business may otherwise be adversely affected and lead to potential adverse effects on our business, prospects, results of operations and financial condition. Furthermore, under the terms of this FDA final rule as drafted, any future Veracyte tests developed and commercialized, not currently on market, are likely to be subject to extensive FDA requirements which may adversely impact our business, prospects, results of operations and financial conditions.</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became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 it will apply in Northern Ireland), but the UK government is currently undertaking a consultation on the regime applicable to in vitro diagnostics in the UK, and it is anticipated that similar provisions will be introduced as under the IVDR.</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If premarket reviews or certifications are required, our business could be negatively impacted if we are required to stop selling our products pending their clearance, approval or certification. In addition, the launch of any new products that we develop or modifications we make to existing products could be delayed by the implementation of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For example,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214"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medical device, or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the FDA to investigate our purchase and use of supplier products and for the Agency to question whether or not Veracyte has violated the FDC Act.</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8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rather than through a PMA for class I or class II devices if the 510(k) pathway is not available. If the FDA finalizes the proposed rule to regulate LDTs as medical devices as it is currently drafted, we will need to obtain the appropriate marketing clearance, approval, or authorization for each or our tests that are currently offered as LDTs in accordance with the timelines provided in the final rule.</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September 2013, Prosigna was granted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1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20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Any medical device product for which we obtain marketing authorization, including any tests that are currently offered as LDTs, would be subject to regulatory requirements that would affect how we are able to market and sell the device. The FDC Act and FDA regulations place considerable requirements on medical devices,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If the FDA finalizes its proposed rule to regulate LDTs as medical devices as it is currently drafted, these regulatory requirements will become applicable to our tests that are currently offered as LDTs in stages, including any applicable premarket approval, clearance, or authorization requirements.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510(k) clearance, or De Novo authorization from the FDA and are therefore supplementing our operational capabilities to manage the more complex processes needed to obtain and maintain marketing authorization.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15"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1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 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213"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The IVDR will not be implemented in Great Britain, and 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Additionally, in Great Britain, all medical devices will require a UK Conformity Assessed, or UKCA, mark but CE marks (IVDD self-certified or IVDR issued by EU notified regulatory bodies, subject to validity of the certificate in the EU) will remain valid until June 30, 2030. Manufacturers may choose to use the UKCA mark on a voluntary basis until June 30, 2030.</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For the time being, the regulatory regime for medical devices and IVD MDs in Great Britain (England, Scotland and Wales) continues to be based on the requirements derived from current EU legislation. 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For IVD medical devices, the regime is expected to come into force in July 2030,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21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2030, subject to validity on the certificate. For medical devices, including IVD MDs, placed on the market in Great Britain after this period, the UKCA marking will be mandatory and subject to positive review and issuance of a certificate by an accredited Authorized Body. In contrast, UKCA marking and certificates issued by UK notified regulatory bodies are not yet recognized on the EU market.</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 mutual recognition agreement, or MRA, aligning IVD regulations between the European Union and Switzerland has officially expired following the In Vitro Diagnostic Medical Devices Regulation’s, or IVDR, May 26, 2022 date of application, impacting certification and authorized representation requirements for manufacturers. The Swiss government has issued its own Ordinance on In Vitro Diagnostic Medical Devices, or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These modifications may have an effect on the way we intend to conduct our business in these countries.</w:t>
      </w:r>
    </w:p>
    <w:p>
      <w:pPr>
        <w:spacing w:after="0" w:line="241"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marketing authorizations or certifications, approvals, clearances or certifications to market Prosigna or our other IVD assays or if regulatory limitations are placed on our diagnostic kit products, our business and growth will be harmed.</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for IVD tests focused on other indications. We cannot guarantee that the regulatory authorization or certification for Prosigna or other tests will be granted or, if granted, will not be revoked, which could adversely impact our business, financial condition, and operations.</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pursuant to our collaborations with pharmaceutical companies for the development of companion diagnostic tests for use with their drugs, we are sometimes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Medicines Agency or the relevant national competent authority on the suitability of the companion diagnostic to the medicinal product concerned.</w:t>
      </w:r>
    </w:p>
    <w:p>
      <w:pPr>
        <w:spacing w:after="0" w:line="245"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We are dependent on third party platform and technology providers to maintain their platforms and technology in accordance with the requirements of applicable regulatory bodies. We cannot assure investors that we will be successful in obtaining or maintaining regulatory clearances, certifications, approvals, or marketing authorizations of our existing or future tests or technology, including nCounter. If we do not obtain or maintain regulatory clearances, certifications, approvals, or marketing authorizations for existing or future diagnostic kit products or technology,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related to our IVD strategy would be adversely affected.</w:t>
      </w:r>
    </w:p>
    <w:p>
      <w:pPr>
        <w:spacing w:after="0" w:line="19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the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spacing w:after="0" w:line="219"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IVDR increases the regulatory requirements applicable to in vitro diagnostics in the EU and would require that we re-classify and obtain new certificates of conformity for our existing CE-marked IVD products by May 25, 2022, unless a transitional provision applies to the product. Failure to secure these re-certifications in time will halt our ability to commercialize our products in relevant countries. Currently Prosigna for use on nCounter is our only product that will require recertification. Moreover, complying with the stricter regulatory requirements of the IVDR, including with respect to clinical evaluation requirements, quality systems, and post-market surveillance, may require us to incur significant expenditures. Failure to meet these requirements, or a failure or delay in our ability to recertify Prosigna for use on nCounter could adversely impact our business in the EU and EEA and other regions that tie their product registrations or regulations to the EU requirements.</w:t>
      </w:r>
    </w:p>
    <w:p>
      <w:pPr>
        <w:spacing w:after="0" w:line="213"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IVDR becomes applicable five years after publication on May 26, 2022 and once applicable to a particular product, the IVDR will among other things:</w:t>
      </w:r>
    </w:p>
    <w:p>
      <w:pPr>
        <w:spacing w:after="0" w:line="190" w:lineRule="exact"/>
        <w:rPr>
          <w:sz w:val="20"/>
          <w:szCs w:val="20"/>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importers’ and distributors’ obligations and responsibilities;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 obligation to identify a responsible person who is ultimately responsible for all aspects of compliance with the requirements of the new regulation;</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(Eudamed) to provide patients, healthcare professionals and the public with comprehensive information on products available in the EU;</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recourse for damage caused by a defective device; and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rules for the assessment of certain high-risk devices that may have to undergo an additional check by experts before they are placed on the market.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the FDA has recently finalized a rule to revise the QSR to more closely align with ISO 13485:2016 but that also includes proposed clarifications and additional definitions and requirements.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the FDA or global regulatory authority action in any of these areas could significantly increase our expenses and limit our revenue and profitability.</w:t>
      </w: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and/or achieve profitability.</w:t>
      </w:r>
    </w:p>
    <w:p>
      <w:pPr>
        <w:spacing w:after="0" w:line="24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operate in a highly competitive market. Our Decipher Prostate test faces competition from Myriad Genetics and MDx Health, which offer genomic testing for prognostic purposes within localized prostate cancer, as well as from Artera which offers prognostic and predictive tests for localized prostate cancer. Additionally, traditional methods used by pathologists and clinicians to estimate risk of disease progression pose competitive threats to our business in addition to new technologies such as artificial intelligence, or AI, and digital pathology. In bladder cancer, we are not currently aware of a direct competitor offering genomic testing for prognostic purposes that matches the intended use population for the Decipher Bladder test. However, DNA mutational analysis and traditional clinical methods and nomograms are currently in use by physicians for similar purposes.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For our Afirma genomic classifier we face competition from companies and academic institutions that use NGS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Envisia classifiers will similarly come from traditional methods used by physicians to diagnose the related diseases. For the Percepta Nasal Swab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w:t>
      </w:r>
    </w:p>
    <w:p>
      <w:pPr>
        <w:spacing w:after="0" w:line="20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As we expand our portfolio of tests, including into the MRD space, we may also face competition from companies informing treatment decisions such as Natera, Guardant Health, Exact Sciences, Personalis, Myriad, Neogenomics, Quest or LabCorp. Competition could also emerge using alternative samples, such as blood, urine or sputum, as well as tumor naive approaches.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Quest Diagnostics, and Sonic Healthcare USA, with strong infrastructure to support the commercialization of diagnostic services. We face potential competition from companies such as Thermo Fisher Scientific Inc., which has entered the clinical diagnostics market. Other potential competitors include companies that develop diagnostic products, such as Roche Diagnostics, a division of Roche Holding Ltd, Siemens AG and Qiagen N.V., and we also may face competition from competitors of our biopharma services such as CARIS, Neogenomics, Flagship Bioscience, TempusAI, Guardant, Indivumed, and CellCerta.</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products and services, we will face many of these same competitive risks.</w:t>
      </w:r>
    </w:p>
    <w:p>
      <w:pPr>
        <w:spacing w:after="0" w:line="196"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any inability to attract and retain highly-skilled employees and other key personnel, could adversely affect our business.</w:t>
      </w:r>
    </w:p>
    <w:p>
      <w:pPr>
        <w:spacing w:after="0" w:line="20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spacing w:after="0" w:line="20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in order to collect cash and be paid.</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45" w:lineRule="exact"/>
        <w:rPr>
          <w:sz w:val="20"/>
          <w:szCs w:val="20"/>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hanging="315"/>
        <w:spacing w:after="0" w:line="27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 and other government payers;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payers may argue technical contract noncompliance and withhold payment;</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our tests, including cytopathology. Through December 31, 2020, we used the CPT code 81545 to bill for our Afirma classifier. Effective January 1, 2021, we began using the new CPT code 81546 to bill for our Afirma classifier, and code 81545 was retired. Effective January 1, 2020, we began using CPT code 81542 to bill for Decipher Prostate tests. Effective January 1, 2021, we began using the new CPT code 81554 to bill for our Envisia classifier. Effective October 1, 2020, we began using CPT code 0016M to bill for our Decipher Bladder test.</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9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subsequent updates, such coding policy changes may negatively affect our total revenue and cash flow.</w:t>
      </w:r>
    </w:p>
    <w:p>
      <w:pPr>
        <w:spacing w:after="0" w:line="212"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49"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2"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spacing w:after="0" w:line="201" w:lineRule="exact"/>
        <w:rPr>
          <w:sz w:val="20"/>
          <w:szCs w:val="20"/>
          <w:color w:val="auto"/>
        </w:rPr>
      </w:pPr>
    </w:p>
    <w:p>
      <w:pPr>
        <w:jc w:val="both"/>
        <w:ind w:firstLine="402"/>
        <w:spacing w:after="0" w:line="252" w:lineRule="auto"/>
        <w:rPr>
          <w:sz w:val="20"/>
          <w:szCs w:val="20"/>
          <w:color w:val="auto"/>
        </w:rPr>
      </w:pPr>
      <w:r>
        <w:rPr>
          <w:rFonts w:ascii="Times New Roman" w:cs="Times New Roman" w:eastAsia="Times New Roman" w:hAnsi="Times New Roman"/>
          <w:sz w:val="18"/>
          <w:szCs w:val="18"/>
          <w:color w:val="auto"/>
        </w:rPr>
        <w:t>If our internal sales force is not successful or new additions to our sales team fail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subsequent molecular diagnostic tests and products, thereby hindering the desired expansion of our business. We have growing, however limited, historical experience forecasting the direct sales of our molecular diagnostics tests and products. Our ability to produce total test volumes that meet customer demand is dependent upon our ability to forecast accurately and plan production capacities accordingly.</w:t>
      </w:r>
    </w:p>
    <w:p>
      <w:pPr>
        <w:spacing w:after="0" w:line="208" w:lineRule="exact"/>
        <w:rPr>
          <w:sz w:val="20"/>
          <w:szCs w:val="20"/>
          <w:color w:val="auto"/>
        </w:rPr>
      </w:pPr>
    </w:p>
    <w:p>
      <w:pPr>
        <w:ind w:right="180"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20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We cannot be certain that we will meet our projected targets and if we do not meet these as publicly announced, the commercialization of our tests may be delayed or may not occur at all and, as a result, our business will suffer and our stock price may decline.</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 utility studies that meet individual payer evidence requirements to obtain reimbursement. Even after launching new products, we must complete additional studies that meet the clinical evidence required by individual payers to obtain reimbursement.</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to be run in our CLIA lab, we need to:</w:t>
      </w:r>
    </w:p>
    <w:p>
      <w:pPr>
        <w:spacing w:after="0" w:line="245" w:lineRule="exact"/>
        <w:rPr>
          <w:sz w:val="20"/>
          <w:szCs w:val="20"/>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regulatory, and compliance infrastructure to market and sell new products.</w:t>
      </w:r>
    </w:p>
    <w:p>
      <w:pPr>
        <w:spacing w:after="0" w:line="245"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test and product development efforts may fail for many reasons, including:</w:t>
      </w:r>
    </w:p>
    <w:p>
      <w:pPr>
        <w:spacing w:after="0" w:line="190" w:lineRule="exact"/>
        <w:rPr>
          <w:sz w:val="20"/>
          <w:szCs w:val="20"/>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or clinical utility studies to support the effectiveness of the test.</w:t>
      </w:r>
    </w:p>
    <w:p>
      <w:pPr>
        <w:spacing w:after="0" w:line="245"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If a clinical utility study fails to demonstrate the value of a particular test, we may not be able to obtain reimbursement for the test. In addition, competitors may develop and commercialize competing products or technologies faster than us or at a lower cost.</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8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0" w:lineRule="exact"/>
        <w:rPr>
          <w:sz w:val="20"/>
          <w:szCs w:val="20"/>
          <w:color w:val="auto"/>
        </w:rPr>
      </w:pPr>
    </w:p>
    <w:p>
      <w:pPr>
        <w:jc w:val="both"/>
        <w:ind w:left="640" w:hanging="315"/>
        <w:spacing w:after="0" w:line="253"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 certificate;</w:t>
      </w:r>
    </w:p>
    <w:p>
      <w:pPr>
        <w:spacing w:after="0" w:line="245"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07"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spacing w:after="0" w:line="275" w:lineRule="auto"/>
        <w:rPr>
          <w:sz w:val="20"/>
          <w:szCs w:val="20"/>
          <w:color w:val="auto"/>
        </w:rPr>
      </w:pPr>
      <w:r>
        <w:rPr>
          <w:rFonts w:ascii="Times New Roman" w:cs="Times New Roman" w:eastAsia="Times New Roman" w:hAnsi="Times New Roman"/>
          <w:sz w:val="18"/>
          <w:szCs w:val="18"/>
          <w:color w:val="auto"/>
        </w:rPr>
        <w:t>certain healthcare providers as well as ownership or investment interests that physicians or physicians’ immediate family members hold with the reporting entity;</w:t>
      </w:r>
    </w:p>
    <w:p>
      <w:pPr>
        <w:spacing w:after="0" w:line="190" w:lineRule="exact"/>
        <w:rPr>
          <w:sz w:val="20"/>
          <w:szCs w:val="20"/>
          <w:color w:val="auto"/>
        </w:rPr>
      </w:pPr>
    </w:p>
    <w:p>
      <w:pPr>
        <w:jc w:val="both"/>
        <w:ind w:left="640" w:hanging="315"/>
        <w:spacing w:after="0" w:line="261"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9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20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 and</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and regulations equivalent to the above.</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(including physicians and labs),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207"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and we cannot ensure that all our employees, agents, contractors, vendors, licensees, partners or collaborators will comply, or have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historically complied, with all applicable laws and regulations.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4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integrate acquired businesses to realize the financial goals that we currently anticipate.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Risks we face in connection with the integration of C2i as well as the historical integrations of HalioDx and Decipher Biosciences include:</w:t>
      </w:r>
    </w:p>
    <w:p>
      <w:pPr>
        <w:spacing w:after="0" w:line="165" w:lineRule="exact"/>
        <w:rPr>
          <w:sz w:val="20"/>
          <w:szCs w:val="20"/>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acquired products and tests or retaining key personnel from the acquired businesses;</w:t>
      </w:r>
    </w:p>
    <w:p>
      <w:pPr>
        <w:spacing w:after="0" w:line="165"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27"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innovative technologies we acquire, including AI, presents risk and challenges, including flawed algorithms or insufficient or biased datasets, which could adversely impact the reliability of our data and subject us to delays and competitive harm, regulatory action, or legal liability, as well as brand or reputational harm;</w:t>
      </w:r>
    </w:p>
    <w:p>
      <w:pPr>
        <w:spacing w:after="0" w:line="122" w:lineRule="exact"/>
        <w:rPr>
          <w:rFonts w:ascii="Times New Roman" w:cs="Times New Roman" w:eastAsia="Times New Roman" w:hAnsi="Times New Roman"/>
          <w:sz w:val="18"/>
          <w:szCs w:val="18"/>
          <w:color w:val="auto"/>
        </w:rPr>
      </w:pPr>
    </w:p>
    <w:p>
      <w:pPr>
        <w:jc w:val="both"/>
        <w:ind w:left="640" w:hanging="315"/>
        <w:spacing w:after="0" w:line="253"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32" w:lineRule="exact"/>
        <w:rPr>
          <w:rFonts w:ascii="Times New Roman" w:cs="Times New Roman" w:eastAsia="Times New Roman" w:hAnsi="Times New Roman"/>
          <w:sz w:val="18"/>
          <w:szCs w:val="18"/>
          <w:color w:val="auto"/>
        </w:rPr>
      </w:pPr>
    </w:p>
    <w:p>
      <w:pPr>
        <w:jc w:val="both"/>
        <w:ind w:left="640" w:hanging="315"/>
        <w:spacing w:after="0" w:line="250"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acquisitions, none of HalioDx, Decipher Biosciences, or C2i were required to maintain an internal control infrastructure that would meet the standards of a public company, including the requirements of the Sarbanes-Oxley Act of 2002. Over the course of 2021 and 2022, we integrated the operations of HalioDx and Decipher Biosciences into our internal control structure and implemented additional internal controls where needed and, beginning in 2024, we began to integrate similar internal control structures for C2i. As we continue to integrate and improve the operations of HalioDx, Decipher Biosciences, and C2i, we may need to implement additional controls. The costs that we may incur to implement such controls and procedures may be substantial and we could encounter unexpected delays and challenges in this implementation. In addition, we may discover significant deficiencies or material weaknesses in the quality of HalioDx's, Decipher Biosciences', and C2i's respective financial and disclosure controls and procedures;</w:t>
      </w:r>
    </w:p>
    <w:p>
      <w:pPr>
        <w:spacing w:after="0" w:line="13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failure of development activities on behalf of a HalioDx customer where HalioDx bears development risk resulting in a refund of development fees;</w:t>
      </w:r>
    </w:p>
    <w:p>
      <w:pPr>
        <w:spacing w:after="0" w:line="11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successfully manufacture the test kits for the nCounter from our manufacturing facility in Marseille, France, for a variety of reasons, including that we may experience manufacturing irregularities and challenges in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connection with the manufacturing transition from NanoString to our Marseille, France facility, such as sole supplier challenges;</w:t>
      </w:r>
    </w:p>
    <w:p>
      <w:pPr>
        <w:spacing w:after="0" w:line="165" w:lineRule="exact"/>
        <w:rPr>
          <w:sz w:val="20"/>
          <w:szCs w:val="20"/>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disagreements, challenges, strikes, and litigation associated with the French employee work council or French union;</w:t>
      </w:r>
    </w:p>
    <w:p>
      <w:pPr>
        <w:spacing w:after="0" w:line="16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 in integrating key talent from the C2i Acquisition due to the ongoing conflict in the Middle East and the ability to travel in and out of the conflicted area; and</w:t>
      </w:r>
    </w:p>
    <w:p>
      <w:pPr>
        <w:spacing w:after="0" w:line="11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circumstances prior to acquiring our acquired businesses, which could result in unexpected litigation or regulatory exposure, unfavorable accounting or tax treatment, a diversion of management’s attention and resources, and other adverse effects on our business, financial condition, and operating results.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transactions denominated in foreign currency.</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21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Aspects of our international business expose us to business, regulatory, political, operational, financial and economic risks associated with doing business outside of the United States.</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In 2024, we acquired C2i, an oncology diagnostics company based in Tel Aviv, Israel, with global operations. Doing business internationally involves a number of risks, including:</w:t>
      </w:r>
    </w:p>
    <w:p>
      <w:pPr>
        <w:spacing w:after="0" w:line="212" w:lineRule="exact"/>
        <w:rPr>
          <w:sz w:val="20"/>
          <w:szCs w:val="20"/>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83"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disruptions to the development and launch of additional products or services as a result of having technology and research and development operations in Israel, including disruptions related to maintaining key research and development employees in Israel and the potential impact of the conflict in the Middle East on Company personnel who are performing, or on reserve to perform, military services as a result of such conflict;</w:t>
      </w:r>
    </w:p>
    <w:p>
      <w:pPr>
        <w:spacing w:after="0" w:line="186" w:lineRule="exact"/>
        <w:rPr>
          <w:rFonts w:ascii="Times New Roman" w:cs="Times New Roman" w:eastAsia="Times New Roman" w:hAnsi="Times New Roman"/>
          <w:sz w:val="17"/>
          <w:szCs w:val="17"/>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authorizations, or certifications where required for the use of our solutions in various countries;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 including payers mandating additional evidence requirements for reimbursement consideration;</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7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and other regional conflicts, outbreak of disease, including pandemics, boycotts, curtailment of trade and other business restrictions (including as a direct or indirect result of the conflict in Ukraine); and</w:t>
      </w:r>
    </w:p>
    <w:p>
      <w:pPr>
        <w:spacing w:after="0" w:line="202"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unfavorable macroeconomic and market conditions.</w:t>
      </w:r>
    </w:p>
    <w:p>
      <w:pPr>
        <w:spacing w:after="0" w:line="249"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Our business or financial results may be adversely impacted by uncertain economic conditions, including: regional conflicts globally, turmoil in the global banking and finance system, adverse changes in interest rates, foreign currency exchange rates, tax laws or tax rates; inflation; a recession; the impact of disease outbreak;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United States and those in Europe, have experienced and continue to experience uncertain economic conditions, including increased inflation and interest rates, resulting from global as well as local factors. For example, the short and long-term implications of the military conflict between Russia and Ukraine are difficult to predict at this time, including as it relates to our site in Marseille, France. The impact to Ukraine as well as actions taken by other countries, including new and stricter sanctions imposed by the United States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 Additionally, financial pressures may cause government or other third-party payers to more aggressively seek cost containment measures in healthcare and other settings. Furthermore, the C2i Acquisition included acquiring assets, including employees, based in Israel, and the impact of the military conflict in the Middle East is difficult to predict at this time. The conflict has the potential to disrupt operations and business continuity, including physical damage or impaired access to Company facilities, offices, or technology and disruptions in access to electricity, gasoline, or water, as well as potential impact on our key employees located in Israel, such as the mobilization of employees who are members of the Israeli military reserves to active duty, disrupted communication with employees and restrictions on movement in areas subject to armed conflict.</w:t>
      </w:r>
    </w:p>
    <w:p>
      <w:pPr>
        <w:spacing w:after="0" w:line="22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have established distribution agreements for the Prosigna IVD test kit.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18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Envisia, and Decipher Bladder tests, as well as tests we may develop or acquire in the future.</w:t>
      </w:r>
    </w:p>
    <w:p>
      <w:pPr>
        <w:spacing w:after="0" w:line="218"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time-consuming for us to defend. Although we maintain product liability and errors and omissions insurance, we cannot assure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AI and machine learning in our offerings could adversely affect our business and operating results.</w:t>
      </w:r>
    </w:p>
    <w:p>
      <w:pPr>
        <w:spacing w:after="0" w:line="249"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continue to integrate AI and machine learning into certain of our product offerings. Issues relating to the use of new and evolving technologies such as AI and machine learning may cause us to experience brand or reputational harm, competitive harm, legal liability, and new or enhanced governmental or regulatory scrutiny, and we may incur additional costs to resolve such issues. As with many innovations, AI presents risks and challenges that could undermine or slow its adoption, and therefore harm our business. For example, perceived or actual technical, legal, compliance, privacy, security, ethical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 of doing so. Developing, testing and deploying AI components in our product offerings may also increase the cost profile of our product offerings due to the nature of the computing costs involved in such AI systems, which could impact our product margin and adversely affect our business and operating results. Further, market demand and acceptance of AI technologies are uncertain, and we may be unsuccessful in our product development efforts.</w:t>
      </w:r>
    </w:p>
    <w:p>
      <w:pPr>
        <w:spacing w:after="0" w:line="215"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operations of our laboratories are subject to the risk of disruptions caused by pandemics, political events, war, terrorism, earthquakes, fire, power outages, severe weather, floods, and other catastrophic events.</w:t>
      </w:r>
    </w:p>
    <w:p>
      <w:pPr>
        <w:spacing w:after="0" w:line="18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War, terrorism, geopolitical uncertainties, including any developments or consequences of regional conflicts globally or related sanctions, trade restrictions, public health issues, natural disasters and other catastrophic events may cause damage or disruption to the economy and commerce on a global, regional or country-specific basis, and could disrupt supply or delivery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of, or demand for, our products. For example, the COVID-19 outbreak and emergence of variants had a negative effect on consumer confidence and spending, and other impacts, which adversely affected our business.</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we perform all of the Afirma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manufacturing facility in Marseille, France, produces many of our Prosigna tests, as well as products for our IVD manufacturing services, and is subject to the risk of power outages resulting from constrained European energy supply.</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 organically or inorganically.</w:t>
      </w:r>
    </w:p>
    <w:p>
      <w:pPr>
        <w:spacing w:after="0" w:line="18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We expect continued capital expenditures over the next few years as we expand our infrastructure, commercial operations and research and development activities. In addition, if we achieve profitability, we may not be able to sustain the profitability and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companies have been highly volatile, which may reduce our ability to access capital on favorable terms or at all. In addition, a recession, depression or other sustained adverse market event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2023, the global banking system experienced turmoil.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and cash equivalents and short-term investments may be threatened, which could have a material adverse effect on our business and financial condition. Moreover, events such as the closure of large financial institutions, in addition to other global macroeconomic conditions, may cause further turbulence and uncertainty in the capital markets.</w:t>
      </w:r>
    </w:p>
    <w:p>
      <w:pPr>
        <w:spacing w:after="0" w:line="208"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0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other personally identifiable information, credit card information, intellectual property,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an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spacing w:after="0" w:line="215"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January 11, 2023. The Biden Administration lifted the PHE declaration on May 11, 2023.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most significantly in the form of amendments and expansions pursuant to the California Privacy Rights Act adopted by ballot measure in November 2020,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215"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Further, on July 26, 2023, the SEC adopted new cybersecurity disclosure rules for public companies that require disclosure regarding cybersecurity risk management (including the board of director’s role in overseeing cybersecurity risks, management’s role and expertise in assessing and managing cybersecurity risks and processes for assessing, identifying and managing cybersecurity risks) in annual reports on Form 10-K. These new cybersecurity disclosure rules also require the disclosure of material cybersecurity incidents through a Current Report on Form 8-K, within four business days of determining an incident is material. Our failure to comply with these requirements, and disclosures of any cybersecurity incidents pursuant to these requirements, could adversely impact our business, operating results and financial condition.</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86"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8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 which, at that time, included the United States. The EU Commission announced July 2023 that it had adopted a new adequacy decision with respect to the United States under a new regulatory structure known as the EU-US Data Privacy Framework. Although the EU-US Data Privacy Framework potentially provides additional regulatory certainty regarding data transfers from the EU to the US, it is widely expected that the new data transfer framework may be challenged before the CJEU, and in addition, the EU-US Data Privacy Framework is not automatically available to all companies but requires a company to meet certain jurisdictional and procedural requirements in order to get the benefit of utilizing such framework as a data-protective transfer mechanism.</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Additionally, 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were required to be migrated to the revised SCCs by December 27, 2022. We were required to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Following the United Kingdom’s withdrawal from the EEA and the EU, and the expiry of the transition period, companies processing the information of EU data subjects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spacing w:after="0" w:line="21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are expected to increase data breach litigation. The CCPA and CPRA may increase our compliance costs and potential liability. Following the lead of California, several other states, including Colorado, Utah, Virginia and Connecticut have each enacted laws similar to the CCPA/CPRA and Oregon, Texas, Florida, Montana and Washington each have laws that will come into effect in 2024 that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include obligations on privacy, data protection and use of personal data. The multiple layers of privacy law within the United States could increase our potential liability, increase our compliance costs, and adversely affect our business.</w:t>
      </w:r>
    </w:p>
    <w:p>
      <w:pPr>
        <w:spacing w:after="0" w:line="190"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Other countries outside of the United States and Europe have enacted or are considering enacting international data transfer restrictions and laws requiring local data residency and restricting international data transfer, which could increase the cost and complexity of delivering our services and operating our business. For example, Brazil's General Data Protection Law (as amended by Law No. 13,853/2019) contains restrictions on international transfer and heightened requirements on data concerning health, genetic and biometric data. China’s Personal Information Protection Law (effective November 2021), together with the Cyberspace Administration of China’s Measures on Security Assessment on Cross-border Data Transfer, broadly regulate the processing and international transfer of personal information and impose compliance obligations and penalties comparable to those of the GDPR.</w:t>
      </w:r>
    </w:p>
    <w:p>
      <w:pPr>
        <w:spacing w:after="0" w:line="19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Furthermore, the C2i Acquisition included acquiring personal data that may originate from, be processed in, or be transferred to and from, Israel, the EU and other jurisdictions. Our ability to process, use and transfer such personal data may be subject to Israel’s privacy and data protection laws including but not limited to Basic Law: Human Dignity and Liberty, 5752 -1992; the Protection of Privacy Law, 5741-1981 and the regulations promulgated thereunder, or the PPL, and the guidelines of the Israel Privacy Authority. Personal data acquired through the C2i Acquisition may be subject to third-party contractual restrictions, as well as privacy and data protection laws in additional jurisdictions. The additional layers of privacy laws in Israel, additional jurisdictions, and contractual requirements increases the complexity of our global data privacy and data protection compliance obligations and risks. This could increase our potential liability, compliance costs, and may adversely affect our business operations.</w:t>
      </w:r>
    </w:p>
    <w:p>
      <w:pPr>
        <w:spacing w:after="0" w:line="2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49"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or successfully defend our intellectual property effectively, our business may be harmed.</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may result in the unenforceability or invalidity of such patents and increased competition to our business. The outcome of patent litigation can be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uncertain and any attempts by us to enforce our patent rights against others may not be successful, or, if successful, may take substantial time and result in substantial cost, and may divert our efforts and attention from other aspects of our business.</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may be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may make it difficult for us to stop the infringement of our patents in such countries. Proceedings to enforce our patent rights in foreign jurisdictions may result in substantial cost and divert our efforts and attention from other aspects of our business.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may result in significant cost and distraction.</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may be difficult, and we may not know whether the steps we have taken to prevent such disclosure are, or will be, adequate. If we were to enforce a claim that a third-party had illegally obtained and was using our trade secrets, it may be expensive and time-consuming, and the outcome may be unpredictable. In addition, courts outside the United States may be less willing to protect trade secrets.</w:t>
      </w:r>
    </w:p>
    <w:p>
      <w:pPr>
        <w:spacing w:after="0" w:line="202"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may hamper or prevent our ability to commercialize potential products, which could harm our business. Even if we are successful in defending against these claims, litigation may result in substantial costs and be a distraction to management.</w:t>
      </w:r>
    </w:p>
    <w:p>
      <w:pPr>
        <w:spacing w:after="0" w:line="19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 competitors may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geographic markets. If we apply to register these trademarks, our applications may not be allowed for registration in a timely fashion or at all, and our registered trademarks may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12"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may be adversely affected, as may our business. Both the patent application process and the process of managing patent disputes can be time consuming and expensive.</w:t>
      </w:r>
    </w:p>
    <w:p>
      <w:pPr>
        <w:spacing w:after="0" w:line="18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may be time-intensive and costly and may adversely affect our business, operating results or financial condition.</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involving liquid biopsy technologies, including assays for detection or quantification of MRD in patients who have had cancer. We may receive notices of claims of direct or indirect infringement or misappropriation or misuse of other parties’ proprietary rights from time to time. Some of these claims may lead to litigation. We cannot assure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 We are aware of third-party patents and patent applications with claims related to our products, and there may be other relevant third-party patents or patent applications of which we are not aware. We cannot assure that our products do not, or will not, infringe third-party issued patents.</w:t>
      </w:r>
    </w:p>
    <w:p>
      <w:pPr>
        <w:spacing w:after="0" w:line="2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may experience significant costs and management distraction.</w:t>
      </w:r>
    </w:p>
    <w:p>
      <w:pPr>
        <w:spacing w:after="0" w:line="21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may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may be burdensome and expensive, even if we were to prevail. Any litigation that may be necessary in the future may result in substantial costs and diversion of resources and may have a material adverse effect on our business, operating results or financial condition.</w:t>
      </w:r>
    </w:p>
    <w:p>
      <w:pPr>
        <w:spacing w:after="0" w:line="213"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may incur substantial costs and divert the attention of our management and technical personnel in defending against any of these claims. Parties making claims against us may be able to obtain injunctive or other relief, which may block our ability to develop, commercialize and sell products, and may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terms, if at all. We may incur substantial costs related to royalty payments for licenses obtained from third parties, which may negatively affect our financial results. In addition, we may encounter delays in product introductions while we attempt to develop alternative methods or products to avoid infringing third-party patents or proprietary rights. Defense of any lawsuit or failure to obtain any of these licenses may prevent us from commercializing products, and the prohibition of sale of any of our products may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195"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may be compromised by disclosure during this type of litigation. In addition, during the course of this kind of litigation, there may be public announcements of the results of hearings, motions, or other interim proceedings or developments. If securities analysts or investors perceive these results to be negative, it may have a substantial adverse effect on the price of our common stock.</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may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may incur significant costs and expenses that may adversely affect our business, operating results, or financial condition.</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have incurred net losses since our inception and may not achieve or sustain profitability. As of December 31, 2023, we had net operating loss, or NOL, carryforwards of approximately $320.7 million, $77.4 million and $113.6 million available to reduce future taxable income, if any, for federal, California and other state income tax purposes, respectively. The U.S. federal NOL carryforwards will begin to expire in 2035 while for state purposes, the NOL carryforwards begin to expire in 2024. In addition, as of December 31, 2023, we had foreign net operating loss carryforwards of approximately $71.0 million and $53.1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1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Changes to Internal Revenue Code Section 174 under the 2017 Tax Cuts and Jobs Act went into effect in 2022. The revised code no longer permits a deduction for research and development expenditures in the tax year that such costs are incurred. Instead, such costs must be capitalized and amortized over five or 15 years for U.S. and foreign costs, respectively. The new rules will change the utilization of our NOLs and it is uncertain whether the new rules will be repealed or modified in the future.</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Impairment in the value of our goodwill or other intangible assets could have a material adverse effect on our operating results and financial condition.</w:t>
      </w:r>
    </w:p>
    <w:p>
      <w:pPr>
        <w:spacing w:after="0" w:line="26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amounts that have been accrued.</w:t>
      </w:r>
    </w:p>
    <w:p>
      <w:pPr>
        <w:spacing w:after="0" w:line="23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 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The impact of releasing some or all of such valuation allowance in a future period could be material in the period in which such release occurs. However, the exact timing and amount of a valuation allowance release are subject to change on the basis of the level of profitability that we actually achieve.</w:t>
      </w:r>
    </w:p>
    <w:p>
      <w:pPr>
        <w:spacing w:after="0" w:line="21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7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8"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20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plant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4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09"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because C2i was a private company and was not subject to audits of internal controls, the C2i Acquisition requires or will require us to incorporate additional controls to the businesses acquired in the C2i Acquisition,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In addition, corporate responsibility criteria with respect to ESG could change, which could result in greater expectations of us and cause us to undertake more costly initiatives to satisfy such new criteria. For example, in 2023, California passed three separate climate bills governing disclosure of climate house gas emissions data, climate-related financial risks, and details around emissions-related claims and carbon offsets. If we elect not to or are unable to satisfy such new criteria, investors may conclude that our policies with respect to corporate responsibility are inadequate and we may be subject to fines from regulatory authorities and may harm our reputation. We may face reputational damage in the event that we do not meet the ESG standards set by various constituencies. In addition, the SEC recently adopted a rule that requires climate disclosures in periodic and other filings with the SEC, which rule has been stayed pending the completion of a judicial review. To comply with this SEC rule, if such rule goes into effect in its current form, we will be required to establish additional internal controls, engage additional consultants and incur additional costs related to evaluating, managing and reporting on our environmental impact and climate-related risks and opportunities. If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fail to implement sufficient oversight or accurately capture and disclose on environmental matters, our reputation, business, operating results and financial condition may be materially adversely affected.</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4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90" w:lineRule="exact"/>
        <w:rPr>
          <w:sz w:val="20"/>
          <w:szCs w:val="20"/>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global macroeconomic impacts of volatile interest rates or inflationary pressures;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 including the effect of additional equity we or our competitors issue as consideration for such acquisitions;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banking system;</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changes in interest rates, and slow or negative growth of our markets.</w:t>
      </w:r>
    </w:p>
    <w:p>
      <w:pPr>
        <w:spacing w:after="0" w:line="29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8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0" w:lineRule="exact"/>
        <w:rPr>
          <w:sz w:val="20"/>
          <w:szCs w:val="20"/>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7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staggered three-year terms. However, beginning with our annual meeting of stockholders to be held in 2024, our board of directors will be declassified over a three-year period, with each class, beginning with the directors standing for election at the annual meeting of stockholders to be held in 2024, subject to an election for a term of one year expiring at the next succeeding annual meeting of stockholders;</w:t>
      </w:r>
    </w:p>
    <w:p>
      <w:pPr>
        <w:spacing w:after="0" w:line="21"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serving in a class of directors for a term expiring at the third annual meeting of stockholders following the election of such class may be removed only for cause;</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4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59"/>
        </w:trPr>
        <w:tc>
          <w:tcPr>
            <w:tcW w:w="122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6"/>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12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4660" w:type="dxa"/>
            <w:vAlign w:val="bottom"/>
            <w:gridSpan w:val="6"/>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179"/>
        </w:trPr>
        <w:tc>
          <w:tcPr>
            <w:tcW w:w="1020" w:type="dxa"/>
            <w:vAlign w:val="bottom"/>
            <w:tcBorders>
              <w:top w:val="single" w:sz="8" w:color="auto"/>
            </w:tcBorders>
            <w:gridSpan w:val="3"/>
          </w:tcPr>
          <w:p>
            <w:pPr>
              <w:jc w:val="right"/>
              <w:spacing w:after="0" w:line="180"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560" w:type="dxa"/>
            <w:vAlign w:val="bottom"/>
            <w:tcBorders>
              <w:top w:val="single" w:sz="8" w:color="auto"/>
            </w:tcBorders>
            <w:gridSpan w:val="5"/>
          </w:tcPr>
          <w:p>
            <w:pPr>
              <w:spacing w:after="0" w:line="180"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2023 Equity Incentive Plan, as amended</w:t>
              </w:r>
            </w:hyperlink>
          </w:p>
        </w:tc>
        <w:tc>
          <w:tcPr>
            <w:tcW w:w="100" w:type="dxa"/>
            <w:vAlign w:val="bottom"/>
          </w:tcPr>
          <w:p>
            <w:pPr>
              <w:spacing w:after="0"/>
              <w:rPr>
                <w:sz w:val="15"/>
                <w:szCs w:val="15"/>
                <w:color w:val="auto"/>
              </w:rPr>
            </w:pPr>
          </w:p>
        </w:tc>
        <w:tc>
          <w:tcPr>
            <w:tcW w:w="66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2"/>
              </w:rPr>
              <w:t>8-K</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ind w:right="191"/>
              <w:spacing w:after="0" w:line="180" w:lineRule="exact"/>
              <w:rPr>
                <w:sz w:val="20"/>
                <w:szCs w:val="20"/>
                <w:color w:val="auto"/>
              </w:rPr>
            </w:pPr>
            <w:r>
              <w:rPr>
                <w:rFonts w:ascii="Times New Roman" w:cs="Times New Roman" w:eastAsia="Times New Roman" w:hAnsi="Times New Roman"/>
                <w:sz w:val="18"/>
                <w:szCs w:val="18"/>
                <w:color w:val="auto"/>
              </w:rPr>
              <w:t>001-36156</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171"/>
              <w:spacing w:after="0" w:line="180"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91"/>
              <w:spacing w:after="0" w:line="180" w:lineRule="exact"/>
              <w:rPr>
                <w:sz w:val="20"/>
                <w:szCs w:val="20"/>
                <w:color w:val="auto"/>
              </w:rPr>
            </w:pPr>
            <w:r>
              <w:rPr>
                <w:rFonts w:ascii="Times New Roman" w:cs="Times New Roman" w:eastAsia="Times New Roman" w:hAnsi="Times New Roman"/>
                <w:sz w:val="18"/>
                <w:szCs w:val="18"/>
                <w:color w:val="auto"/>
              </w:rPr>
              <w:t>6/13/2024</w:t>
            </w: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4660" w:type="dxa"/>
            <w:vAlign w:val="bottom"/>
            <w:gridSpan w:val="6"/>
          </w:tcPr>
          <w:p>
            <w:pPr>
              <w:spacing w:after="0" w:line="166" w:lineRule="exact"/>
              <w:rPr>
                <w:sz w:val="20"/>
                <w:szCs w:val="20"/>
                <w:color w:val="auto"/>
              </w:rPr>
            </w:pPr>
            <w:r>
              <w:rPr>
                <w:rFonts w:ascii="Times New Roman" w:cs="Times New Roman" w:eastAsia="Times New Roman" w:hAnsi="Times New Roman"/>
                <w:sz w:val="18"/>
                <w:szCs w:val="18"/>
                <w:color w:val="0000FF"/>
              </w:rPr>
              <w:t>13a-14(a)/15d-14(a), as adopted pursuant to Section 302 of the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60" w:type="dxa"/>
            <w:vAlign w:val="bottom"/>
            <w:tcBorders>
              <w:top w:val="single" w:sz="8" w:color="0000FF"/>
            </w:tcBorders>
            <w:gridSpan w:val="4"/>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top w:val="single" w:sz="8" w:color="0000FF"/>
            </w:tcBorders>
          </w:tcPr>
          <w:p>
            <w:pPr>
              <w:spacing w:after="0"/>
              <w:rPr>
                <w:sz w:val="24"/>
                <w:szCs w:val="24"/>
                <w:color w:val="auto"/>
              </w:rPr>
            </w:pPr>
          </w:p>
        </w:tc>
        <w:tc>
          <w:tcPr>
            <w:tcW w:w="2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6940" w:type="dxa"/>
            <w:vAlign w:val="bottom"/>
            <w:gridSpan w:val="7"/>
          </w:tcPr>
          <w:p>
            <w:pPr>
              <w:spacing w:after="0"/>
              <w:rPr>
                <w:sz w:val="17"/>
                <w:szCs w:val="17"/>
                <w:color w:val="auto"/>
              </w:rPr>
            </w:pPr>
          </w:p>
        </w:tc>
        <w:tc>
          <w:tcPr>
            <w:tcW w:w="2580" w:type="dxa"/>
            <w:vAlign w:val="bottom"/>
          </w:tcPr>
          <w:p>
            <w:pPr>
              <w:spacing w:after="0"/>
              <w:rPr>
                <w:sz w:val="17"/>
                <w:szCs w:val="17"/>
                <w:color w:val="auto"/>
              </w:rPr>
            </w:pPr>
          </w:p>
        </w:tc>
      </w:tr>
      <w:tr>
        <w:trPr>
          <w:trHeight w:val="871"/>
        </w:trPr>
        <w:tc>
          <w:tcPr>
            <w:tcW w:w="1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5"/>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w:t>
            </w:r>
          </w:p>
        </w:tc>
        <w:tc>
          <w:tcPr>
            <w:tcW w:w="2720" w:type="dxa"/>
            <w:vAlign w:val="bottom"/>
            <w:gridSpan w:val="3"/>
          </w:tcPr>
          <w:p>
            <w:pPr>
              <w:jc w:val="right"/>
              <w:ind w:right="2520"/>
              <w:spacing w:after="0" w:line="153" w:lineRule="exact"/>
              <w:rPr>
                <w:sz w:val="20"/>
                <w:szCs w:val="20"/>
                <w:color w:val="auto"/>
              </w:rPr>
            </w:pPr>
            <w:r>
              <w:rPr>
                <w:rFonts w:ascii="Times New Roman" w:cs="Times New Roman" w:eastAsia="Times New Roman" w:hAnsi="Times New Roman"/>
                <w:sz w:val="17"/>
                <w:szCs w:val="17"/>
                <w:color w:val="0000FF"/>
                <w:w w:val="86"/>
              </w:rPr>
              <w:t>the</w:t>
            </w:r>
          </w:p>
        </w:tc>
        <w:tc>
          <w:tcPr>
            <w:tcW w:w="2580" w:type="dxa"/>
            <w:vAlign w:val="bottom"/>
          </w:tcPr>
          <w:p>
            <w:pPr>
              <w:spacing w:after="0"/>
              <w:rPr>
                <w:sz w:val="13"/>
                <w:szCs w:val="13"/>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219"/>
        </w:trPr>
        <w:tc>
          <w:tcPr>
            <w:tcW w:w="1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4"/>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2840" w:type="dxa"/>
            <w:vAlign w:val="bottom"/>
            <w:gridSpan w:val="4"/>
          </w:tcPr>
          <w:p>
            <w:pPr>
              <w:jc w:val="right"/>
              <w:ind w:right="2440"/>
              <w:spacing w:after="0" w:line="153" w:lineRule="exact"/>
              <w:rPr>
                <w:sz w:val="20"/>
                <w:szCs w:val="20"/>
                <w:color w:val="auto"/>
              </w:rPr>
            </w:pPr>
            <w:r>
              <w:rPr>
                <w:rFonts w:ascii="Times New Roman" w:cs="Times New Roman" w:eastAsia="Times New Roman" w:hAnsi="Times New Roman"/>
                <w:sz w:val="17"/>
                <w:szCs w:val="17"/>
                <w:color w:val="0000FF"/>
                <w:w w:val="95"/>
              </w:rPr>
              <w:t>2002)</w:t>
            </w:r>
          </w:p>
        </w:tc>
        <w:tc>
          <w:tcPr>
            <w:tcW w:w="2580" w:type="dxa"/>
            <w:vAlign w:val="bottom"/>
          </w:tcPr>
          <w:p>
            <w:pPr>
              <w:spacing w:after="0"/>
              <w:rPr>
                <w:sz w:val="13"/>
                <w:szCs w:val="13"/>
                <w:color w:val="auto"/>
              </w:rPr>
            </w:pPr>
          </w:p>
        </w:tc>
      </w:tr>
      <w:tr>
        <w:trPr>
          <w:trHeight w:val="219"/>
        </w:trPr>
        <w:tc>
          <w:tcPr>
            <w:tcW w:w="1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4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2440" w:type="dxa"/>
            <w:vAlign w:val="bottom"/>
          </w:tcPr>
          <w:p>
            <w:pPr>
              <w:spacing w:after="0"/>
              <w:rPr>
                <w:sz w:val="19"/>
                <w:szCs w:val="19"/>
                <w:color w:val="auto"/>
              </w:rPr>
            </w:pP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2880" w:type="dxa"/>
            <w:vAlign w:val="bottom"/>
            <w:gridSpan w:val="5"/>
          </w:tcPr>
          <w:p>
            <w:pPr>
              <w:jc w:val="right"/>
              <w:ind w:right="2440"/>
              <w:spacing w:after="0" w:line="153" w:lineRule="exact"/>
              <w:rPr>
                <w:sz w:val="20"/>
                <w:szCs w:val="20"/>
                <w:color w:val="auto"/>
              </w:rPr>
            </w:pPr>
            <w:r>
              <w:rPr>
                <w:rFonts w:ascii="Times New Roman" w:cs="Times New Roman" w:eastAsia="Times New Roman" w:hAnsi="Times New Roman"/>
                <w:sz w:val="17"/>
                <w:szCs w:val="17"/>
                <w:color w:val="0000FF"/>
              </w:rPr>
              <w:t>2002)</w:t>
            </w:r>
          </w:p>
        </w:tc>
        <w:tc>
          <w:tcPr>
            <w:tcW w:w="2580" w:type="dxa"/>
            <w:vAlign w:val="bottom"/>
          </w:tcPr>
          <w:p>
            <w:pPr>
              <w:spacing w:after="0"/>
              <w:rPr>
                <w:sz w:val="13"/>
                <w:szCs w:val="13"/>
                <w:color w:val="auto"/>
              </w:rPr>
            </w:pPr>
          </w:p>
        </w:tc>
      </w:tr>
      <w:tr>
        <w:trPr>
          <w:trHeight w:val="206"/>
        </w:trPr>
        <w:tc>
          <w:tcPr>
            <w:tcW w:w="1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101.INS</w:t>
            </w:r>
          </w:p>
        </w:tc>
        <w:tc>
          <w:tcPr>
            <w:tcW w:w="4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2440" w:type="dxa"/>
            <w:vAlign w:val="bottom"/>
          </w:tcPr>
          <w:p>
            <w:pPr>
              <w:spacing w:after="0"/>
              <w:rPr>
                <w:sz w:val="17"/>
                <w:szCs w:val="17"/>
                <w:color w:val="auto"/>
              </w:rPr>
            </w:pP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73"/>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80" w:type="dxa"/>
            <w:vAlign w:val="bottom"/>
            <w:gridSpan w:val="9"/>
          </w:tcPr>
          <w:p>
            <w:pPr>
              <w:spacing w:after="0" w:line="173"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2580" w:type="dxa"/>
            <w:vAlign w:val="bottom"/>
          </w:tcPr>
          <w:p>
            <w:pPr>
              <w:spacing w:after="0"/>
              <w:rPr>
                <w:sz w:val="15"/>
                <w:szCs w:val="15"/>
                <w:color w:val="auto"/>
              </w:rPr>
            </w:pPr>
          </w:p>
        </w:tc>
      </w:tr>
      <w:tr>
        <w:trPr>
          <w:trHeight w:val="232"/>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2580" w:type="dxa"/>
            <w:vAlign w:val="bottom"/>
          </w:tcPr>
          <w:p>
            <w:pPr>
              <w:spacing w:after="0"/>
              <w:rPr>
                <w:sz w:val="20"/>
                <w:szCs w:val="20"/>
                <w:color w:val="auto"/>
              </w:rPr>
            </w:pPr>
          </w:p>
        </w:tc>
      </w:tr>
      <w:tr>
        <w:trPr>
          <w:trHeight w:val="228"/>
        </w:trPr>
        <w:tc>
          <w:tcPr>
            <w:tcW w:w="1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101.SCH</w:t>
            </w:r>
          </w:p>
        </w:tc>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101.CAL</w:t>
            </w:r>
          </w:p>
        </w:tc>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101.DEF</w:t>
            </w:r>
          </w:p>
        </w:tc>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101.LAB</w:t>
            </w:r>
          </w:p>
        </w:tc>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101.PRE</w:t>
            </w:r>
          </w:p>
        </w:tc>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78"/>
        </w:trPr>
        <w:tc>
          <w:tcPr>
            <w:tcW w:w="1020" w:type="dxa"/>
            <w:vAlign w:val="bottom"/>
            <w:gridSpan w:val="4"/>
          </w:tcPr>
          <w:p>
            <w:pPr>
              <w:jc w:val="right"/>
              <w:ind w:right="60"/>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5"/>
                <w:szCs w:val="15"/>
                <w:color w:val="auto"/>
              </w:rPr>
            </w:pPr>
          </w:p>
        </w:tc>
        <w:tc>
          <w:tcPr>
            <w:tcW w:w="6980" w:type="dxa"/>
            <w:vAlign w:val="bottom"/>
            <w:gridSpan w:val="9"/>
          </w:tcPr>
          <w:p>
            <w:pPr>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580" w:type="dxa"/>
            <w:vAlign w:val="bottom"/>
          </w:tcPr>
          <w:p>
            <w:pPr>
              <w:ind w:left="2460"/>
              <w:spacing w:after="0" w:line="178" w:lineRule="exact"/>
              <w:rPr>
                <w:sz w:val="20"/>
                <w:szCs w:val="20"/>
                <w:color w:val="auto"/>
              </w:rPr>
            </w:pPr>
            <w:r>
              <w:rPr>
                <w:rFonts w:ascii="Times New Roman" w:cs="Times New Roman" w:eastAsia="Times New Roman" w:hAnsi="Times New Roman"/>
                <w:sz w:val="18"/>
                <w:szCs w:val="18"/>
                <w:color w:val="auto"/>
                <w:w w:val="76"/>
              </w:rPr>
              <w:t>X</w:t>
            </w:r>
          </w:p>
        </w:tc>
      </w:tr>
      <w:tr>
        <w:trPr>
          <w:trHeight w:val="232"/>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6502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301" w:lineRule="exact"/>
        <w:rPr>
          <w:sz w:val="20"/>
          <w:szCs w:val="20"/>
          <w:color w:val="auto"/>
        </w:rPr>
      </w:pPr>
    </w:p>
    <w:p>
      <w:pPr>
        <w:ind w:left="1240" w:hanging="1216"/>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5" w:lineRule="exact"/>
        <w:rPr>
          <w:sz w:val="20"/>
          <w:szCs w:val="20"/>
          <w:color w:val="auto"/>
        </w:rPr>
      </w:pPr>
    </w:p>
    <w:p>
      <w:pPr>
        <w:jc w:val="both"/>
        <w:ind w:left="1240" w:hanging="1216"/>
        <w:spacing w:after="0" w:line="219"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75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40640</wp:posOffset>
            </wp:positionV>
            <wp:extent cx="19500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June 30, 2024;</w:t>
      </w:r>
    </w:p>
    <w:p>
      <w:pPr>
        <w:spacing w:after="0" w:line="218" w:lineRule="exact"/>
        <w:rPr>
          <w:rFonts w:ascii="Times New Roman" w:cs="Times New Roman" w:eastAsia="Times New Roman" w:hAnsi="Times New Roman"/>
          <w:sz w:val="18"/>
          <w:szCs w:val="18"/>
          <w:color w:val="auto"/>
        </w:rPr>
      </w:pPr>
    </w:p>
    <w:p>
      <w:pPr>
        <w:ind w:right="200" w:firstLine="764"/>
        <w:spacing w:after="0" w:line="261" w:lineRule="auto"/>
        <w:tabs>
          <w:tab w:leader="none" w:pos="14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40" w:firstLine="764"/>
        <w:spacing w:after="0" w:line="275" w:lineRule="auto"/>
        <w:tabs>
          <w:tab w:leader="none" w:pos="14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80" w:firstLine="1442"/>
        <w:spacing w:after="0" w:line="261" w:lineRule="auto"/>
        <w:tabs>
          <w:tab w:leader="none" w:pos="206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40" w:firstLine="1442"/>
        <w:spacing w:after="0" w:line="261" w:lineRule="auto"/>
        <w:tabs>
          <w:tab w:leader="none" w:pos="20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442"/>
        <w:spacing w:after="0" w:line="305" w:lineRule="auto"/>
        <w:tabs>
          <w:tab w:leader="none" w:pos="206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0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80" w:firstLine="764"/>
        <w:spacing w:after="0" w:line="305" w:lineRule="auto"/>
        <w:tabs>
          <w:tab w:leader="none" w:pos="141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100" w:firstLine="1442"/>
        <w:spacing w:after="0" w:line="275" w:lineRule="auto"/>
        <w:tabs>
          <w:tab w:leader="none" w:pos="20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20" w:firstLine="1442"/>
        <w:spacing w:after="0" w:line="275" w:lineRule="auto"/>
        <w:tabs>
          <w:tab w:leader="none" w:pos="206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June 30, 2024;</w:t>
      </w:r>
    </w:p>
    <w:p>
      <w:pPr>
        <w:spacing w:after="0" w:line="218" w:lineRule="exact"/>
        <w:rPr>
          <w:rFonts w:ascii="Times New Roman" w:cs="Times New Roman" w:eastAsia="Times New Roman" w:hAnsi="Times New Roman"/>
          <w:sz w:val="18"/>
          <w:szCs w:val="18"/>
          <w:color w:val="auto"/>
        </w:rPr>
      </w:pPr>
    </w:p>
    <w:p>
      <w:pPr>
        <w:ind w:right="140" w:firstLine="764"/>
        <w:spacing w:after="0" w:line="261" w:lineRule="auto"/>
        <w:tabs>
          <w:tab w:leader="none" w:pos="14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764"/>
        <w:spacing w:after="0" w:line="275" w:lineRule="auto"/>
        <w:tabs>
          <w:tab w:leader="none" w:pos="14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20" w:firstLine="1442"/>
        <w:spacing w:after="0" w:line="261" w:lineRule="auto"/>
        <w:tabs>
          <w:tab w:leader="none" w:pos="21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40" w:firstLine="1442"/>
        <w:spacing w:after="0" w:line="261" w:lineRule="auto"/>
        <w:tabs>
          <w:tab w:leader="none" w:pos="21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1442"/>
        <w:spacing w:after="0" w:line="305" w:lineRule="auto"/>
        <w:tabs>
          <w:tab w:leader="none" w:pos="215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1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764"/>
        <w:spacing w:after="0" w:line="305" w:lineRule="auto"/>
        <w:tabs>
          <w:tab w:leader="none" w:pos="146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20" w:firstLine="1442"/>
        <w:spacing w:after="0" w:line="275" w:lineRule="auto"/>
        <w:tabs>
          <w:tab w:leader="none" w:pos="21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0" w:firstLine="1442"/>
        <w:spacing w:after="0" w:line="275" w:lineRule="auto"/>
        <w:tabs>
          <w:tab w:leader="none" w:pos="21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32385</wp:posOffset>
            </wp:positionV>
            <wp:extent cx="24822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40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June 30,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spacing w:after="0" w:line="29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40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June 30,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spacing w:after="0" w:line="2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32385</wp:posOffset>
            </wp:positionV>
            <wp:extent cx="2533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85" Type="http://schemas.openxmlformats.org/officeDocument/2006/relationships/hyperlink" Target="https://www.sec.gov/Archives/edgar/data/1384101/000138410124000093/ex1018-k06x12x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2024-08-07T07:21:34Z</dcterms:created>
  <dcterms:modified xsi:type="dcterms:W3CDTF">2024-08-07T07:21:34Z</dcterms:modified>
</cp:coreProperties>
</file>