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13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________________________________</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960" w:right="1740" w:hanging="3880"/>
        <w:spacing w:after="0" w:line="438" w:lineRule="auto"/>
        <w:tabs>
          <w:tab w:leader="none" w:pos="39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2017</w:t>
      </w:r>
    </w:p>
    <w:p>
      <w:pPr>
        <w:spacing w:after="0" w:line="200" w:lineRule="exact"/>
        <w:rPr>
          <w:sz w:val="24"/>
          <w:szCs w:val="24"/>
          <w:color w:val="auto"/>
        </w:rPr>
      </w:pPr>
    </w:p>
    <w:p>
      <w:pPr>
        <w:spacing w:after="0" w:line="206" w:lineRule="exact"/>
        <w:rPr>
          <w:sz w:val="24"/>
          <w:szCs w:val="24"/>
          <w:color w:val="auto"/>
        </w:rPr>
      </w:pPr>
    </w:p>
    <w:p>
      <w:pPr>
        <w:ind w:left="140"/>
        <w:spacing w:after="0"/>
        <w:tabs>
          <w:tab w:leader="none" w:pos="3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376" w:lineRule="exact"/>
        <w:rPr>
          <w:sz w:val="24"/>
          <w:szCs w:val="24"/>
          <w:color w:val="auto"/>
        </w:rPr>
      </w:pPr>
    </w:p>
    <w:tbl>
      <w:tblPr>
        <w:tblLayout w:type="fixed"/>
        <w:tblInd w:w="1880" w:type="dxa"/>
        <w:tblCellMar>
          <w:top w:w="0" w:type="dxa"/>
          <w:left w:w="0" w:type="dxa"/>
          <w:bottom w:w="0" w:type="dxa"/>
          <w:right w:w="0" w:type="dxa"/>
        </w:tblCellMar>
      </w:tblPr>
      <w:tr>
        <w:trPr>
          <w:trHeight w:val="220"/>
        </w:trPr>
        <w:tc>
          <w:tcPr>
            <w:tcW w:w="2020" w:type="dxa"/>
            <w:vAlign w:val="bottom"/>
          </w:tcPr>
          <w:p>
            <w:pPr>
              <w:spacing w:after="0"/>
              <w:rPr>
                <w:sz w:val="19"/>
                <w:szCs w:val="19"/>
                <w:color w:val="auto"/>
              </w:rPr>
            </w:pPr>
          </w:p>
        </w:tc>
        <w:tc>
          <w:tcPr>
            <w:tcW w:w="5320" w:type="dxa"/>
            <w:vAlign w:val="bottom"/>
          </w:tcPr>
          <w:p>
            <w:pPr>
              <w:jc w:val="center"/>
              <w:ind w:right="1596"/>
              <w:spacing w:after="0"/>
              <w:rPr>
                <w:sz w:val="20"/>
                <w:szCs w:val="20"/>
                <w:color w:val="auto"/>
              </w:rPr>
            </w:pPr>
            <w:r>
              <w:rPr>
                <w:rFonts w:ascii="Arial" w:cs="Arial" w:eastAsia="Arial" w:hAnsi="Arial"/>
                <w:sz w:val="18"/>
                <w:szCs w:val="18"/>
                <w:b w:val="1"/>
                <w:bCs w:val="1"/>
                <w:color w:val="auto"/>
                <w:w w:val="90"/>
              </w:rPr>
              <w:t>Commission file number 001-36156</w:t>
            </w:r>
          </w:p>
        </w:tc>
      </w:tr>
      <w:tr>
        <w:trPr>
          <w:trHeight w:val="230"/>
        </w:trPr>
        <w:tc>
          <w:tcPr>
            <w:tcW w:w="2020" w:type="dxa"/>
            <w:vAlign w:val="bottom"/>
          </w:tcPr>
          <w:p>
            <w:pPr>
              <w:spacing w:after="0"/>
              <w:rPr>
                <w:sz w:val="20"/>
                <w:szCs w:val="20"/>
                <w:color w:val="auto"/>
              </w:rPr>
            </w:pPr>
          </w:p>
        </w:tc>
        <w:tc>
          <w:tcPr>
            <w:tcW w:w="5320" w:type="dxa"/>
            <w:vAlign w:val="bottom"/>
          </w:tcPr>
          <w:p>
            <w:pPr>
              <w:jc w:val="right"/>
              <w:ind w:right="1976"/>
              <w:spacing w:after="0"/>
              <w:rPr>
                <w:sz w:val="20"/>
                <w:szCs w:val="20"/>
                <w:color w:val="auto"/>
              </w:rPr>
            </w:pPr>
            <w:r>
              <w:rPr>
                <w:rFonts w:ascii="Arial" w:cs="Arial" w:eastAsia="Arial" w:hAnsi="Arial"/>
                <w:sz w:val="18"/>
                <w:szCs w:val="18"/>
                <w:color w:val="auto"/>
              </w:rPr>
              <w:t>________________________________</w:t>
            </w:r>
          </w:p>
        </w:tc>
      </w:tr>
      <w:tr>
        <w:trPr>
          <w:trHeight w:val="481"/>
        </w:trPr>
        <w:tc>
          <w:tcPr>
            <w:tcW w:w="2020" w:type="dxa"/>
            <w:vAlign w:val="bottom"/>
          </w:tcPr>
          <w:p>
            <w:pPr>
              <w:spacing w:after="0"/>
              <w:rPr>
                <w:sz w:val="24"/>
                <w:szCs w:val="24"/>
                <w:color w:val="auto"/>
              </w:rPr>
            </w:pPr>
          </w:p>
        </w:tc>
        <w:tc>
          <w:tcPr>
            <w:tcW w:w="5320" w:type="dxa"/>
            <w:vAlign w:val="bottom"/>
          </w:tcPr>
          <w:p>
            <w:pPr>
              <w:jc w:val="center"/>
              <w:ind w:right="1596"/>
              <w:spacing w:after="0"/>
              <w:rPr>
                <w:sz w:val="20"/>
                <w:szCs w:val="20"/>
                <w:color w:val="auto"/>
              </w:rPr>
            </w:pPr>
            <w:r>
              <w:rPr>
                <w:rFonts w:ascii="Arial" w:cs="Arial" w:eastAsia="Arial" w:hAnsi="Arial"/>
                <w:sz w:val="29"/>
                <w:szCs w:val="29"/>
                <w:b w:val="1"/>
                <w:bCs w:val="1"/>
                <w:color w:val="auto"/>
              </w:rPr>
              <w:t>VERACYTE, INC.</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616"/>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30"/>
        </w:trPr>
        <w:tc>
          <w:tcPr>
            <w:tcW w:w="2020" w:type="dxa"/>
            <w:vAlign w:val="bottom"/>
          </w:tcPr>
          <w:p>
            <w:pPr>
              <w:spacing w:after="0"/>
              <w:rPr>
                <w:sz w:val="20"/>
                <w:szCs w:val="20"/>
                <w:color w:val="auto"/>
              </w:rPr>
            </w:pPr>
          </w:p>
        </w:tc>
        <w:tc>
          <w:tcPr>
            <w:tcW w:w="5320" w:type="dxa"/>
            <w:vAlign w:val="bottom"/>
          </w:tcPr>
          <w:p>
            <w:pPr>
              <w:jc w:val="right"/>
              <w:ind w:right="1996"/>
              <w:spacing w:after="0"/>
              <w:rPr>
                <w:sz w:val="20"/>
                <w:szCs w:val="20"/>
                <w:color w:val="auto"/>
              </w:rPr>
            </w:pPr>
            <w:r>
              <w:rPr>
                <w:rFonts w:ascii="Arial" w:cs="Arial" w:eastAsia="Arial" w:hAnsi="Arial"/>
                <w:sz w:val="18"/>
                <w:szCs w:val="18"/>
                <w:color w:val="auto"/>
              </w:rPr>
              <w:t>________________________________</w:t>
            </w:r>
          </w:p>
        </w:tc>
      </w:tr>
      <w:tr>
        <w:trPr>
          <w:trHeight w:val="540"/>
        </w:trPr>
        <w:tc>
          <w:tcPr>
            <w:tcW w:w="2020" w:type="dxa"/>
            <w:vAlign w:val="bottom"/>
          </w:tcPr>
          <w:p>
            <w:pPr>
              <w:jc w:val="center"/>
              <w:ind w:right="202"/>
              <w:spacing w:after="0"/>
              <w:rPr>
                <w:sz w:val="20"/>
                <w:szCs w:val="20"/>
                <w:color w:val="auto"/>
              </w:rPr>
            </w:pPr>
            <w:r>
              <w:rPr>
                <w:rFonts w:ascii="Arial" w:cs="Arial" w:eastAsia="Arial" w:hAnsi="Arial"/>
                <w:sz w:val="18"/>
                <w:szCs w:val="18"/>
                <w:b w:val="1"/>
                <w:bCs w:val="1"/>
                <w:color w:val="auto"/>
                <w:w w:val="93"/>
              </w:rPr>
              <w:t>Delaware</w:t>
            </w:r>
          </w:p>
        </w:tc>
        <w:tc>
          <w:tcPr>
            <w:tcW w:w="5320" w:type="dxa"/>
            <w:vAlign w:val="bottom"/>
          </w:tcPr>
          <w:p>
            <w:pPr>
              <w:jc w:val="center"/>
              <w:ind w:left="4176"/>
              <w:spacing w:after="0"/>
              <w:rPr>
                <w:sz w:val="20"/>
                <w:szCs w:val="20"/>
                <w:color w:val="auto"/>
              </w:rPr>
            </w:pPr>
            <w:r>
              <w:rPr>
                <w:rFonts w:ascii="Arial" w:cs="Arial" w:eastAsia="Arial" w:hAnsi="Arial"/>
                <w:sz w:val="18"/>
                <w:szCs w:val="18"/>
                <w:b w:val="1"/>
                <w:bCs w:val="1"/>
                <w:color w:val="auto"/>
                <w:w w:val="89"/>
              </w:rPr>
              <w:t>20-5455398</w:t>
            </w:r>
          </w:p>
        </w:tc>
      </w:tr>
      <w:tr>
        <w:trPr>
          <w:trHeight w:val="218"/>
        </w:trPr>
        <w:tc>
          <w:tcPr>
            <w:tcW w:w="2020" w:type="dxa"/>
            <w:vAlign w:val="bottom"/>
          </w:tcPr>
          <w:p>
            <w:pPr>
              <w:jc w:val="center"/>
              <w:ind w:right="202"/>
              <w:spacing w:after="0"/>
              <w:rPr>
                <w:sz w:val="20"/>
                <w:szCs w:val="20"/>
                <w:color w:val="auto"/>
              </w:rPr>
            </w:pPr>
            <w:r>
              <w:rPr>
                <w:rFonts w:ascii="Arial" w:cs="Arial" w:eastAsia="Arial" w:hAnsi="Arial"/>
                <w:sz w:val="14"/>
                <w:szCs w:val="14"/>
                <w:color w:val="auto"/>
                <w:w w:val="94"/>
              </w:rPr>
              <w:t>(State or other jurisdiction of</w:t>
            </w:r>
          </w:p>
        </w:tc>
        <w:tc>
          <w:tcPr>
            <w:tcW w:w="5320" w:type="dxa"/>
            <w:vAlign w:val="bottom"/>
          </w:tcPr>
          <w:p>
            <w:pPr>
              <w:jc w:val="center"/>
              <w:ind w:left="4176"/>
              <w:spacing w:after="0"/>
              <w:rPr>
                <w:sz w:val="20"/>
                <w:szCs w:val="20"/>
                <w:color w:val="auto"/>
              </w:rPr>
            </w:pPr>
            <w:r>
              <w:rPr>
                <w:rFonts w:ascii="Arial" w:cs="Arial" w:eastAsia="Arial" w:hAnsi="Arial"/>
                <w:sz w:val="14"/>
                <w:szCs w:val="14"/>
                <w:color w:val="auto"/>
                <w:w w:val="95"/>
              </w:rPr>
              <w:t>(I.R.S. Employer</w:t>
            </w:r>
          </w:p>
        </w:tc>
      </w:tr>
      <w:tr>
        <w:trPr>
          <w:trHeight w:val="203"/>
        </w:trPr>
        <w:tc>
          <w:tcPr>
            <w:tcW w:w="2020" w:type="dxa"/>
            <w:vAlign w:val="bottom"/>
          </w:tcPr>
          <w:p>
            <w:pPr>
              <w:jc w:val="center"/>
              <w:ind w:right="202"/>
              <w:spacing w:after="0"/>
              <w:rPr>
                <w:sz w:val="20"/>
                <w:szCs w:val="20"/>
                <w:color w:val="auto"/>
              </w:rPr>
            </w:pPr>
            <w:r>
              <w:rPr>
                <w:rFonts w:ascii="Arial" w:cs="Arial" w:eastAsia="Arial" w:hAnsi="Arial"/>
                <w:sz w:val="14"/>
                <w:szCs w:val="14"/>
                <w:color w:val="auto"/>
                <w:w w:val="95"/>
              </w:rPr>
              <w:t>incorporation or organization)</w:t>
            </w:r>
          </w:p>
        </w:tc>
        <w:tc>
          <w:tcPr>
            <w:tcW w:w="5320" w:type="dxa"/>
            <w:vAlign w:val="bottom"/>
          </w:tcPr>
          <w:p>
            <w:pPr>
              <w:jc w:val="center"/>
              <w:ind w:left="4156"/>
              <w:spacing w:after="0"/>
              <w:rPr>
                <w:sz w:val="20"/>
                <w:szCs w:val="20"/>
                <w:color w:val="auto"/>
              </w:rPr>
            </w:pPr>
            <w:r>
              <w:rPr>
                <w:rFonts w:ascii="Arial" w:cs="Arial" w:eastAsia="Arial" w:hAnsi="Arial"/>
                <w:sz w:val="14"/>
                <w:szCs w:val="14"/>
                <w:color w:val="auto"/>
                <w:w w:val="99"/>
              </w:rPr>
              <w:t>Identification No.)</w:t>
            </w:r>
          </w:p>
        </w:tc>
      </w:tr>
      <w:tr>
        <w:trPr>
          <w:trHeight w:val="367"/>
        </w:trPr>
        <w:tc>
          <w:tcPr>
            <w:tcW w:w="2020" w:type="dxa"/>
            <w:vAlign w:val="bottom"/>
          </w:tcPr>
          <w:p>
            <w:pPr>
              <w:spacing w:after="0"/>
              <w:rPr>
                <w:sz w:val="24"/>
                <w:szCs w:val="24"/>
                <w:color w:val="auto"/>
              </w:rPr>
            </w:pPr>
          </w:p>
        </w:tc>
        <w:tc>
          <w:tcPr>
            <w:tcW w:w="5320" w:type="dxa"/>
            <w:vAlign w:val="bottom"/>
          </w:tcPr>
          <w:p>
            <w:pPr>
              <w:jc w:val="center"/>
              <w:ind w:right="1616"/>
              <w:spacing w:after="0"/>
              <w:rPr>
                <w:sz w:val="20"/>
                <w:szCs w:val="20"/>
                <w:color w:val="auto"/>
              </w:rPr>
            </w:pPr>
            <w:r>
              <w:rPr>
                <w:rFonts w:ascii="Arial" w:cs="Arial" w:eastAsia="Arial" w:hAnsi="Arial"/>
                <w:sz w:val="14"/>
                <w:szCs w:val="14"/>
                <w:b w:val="1"/>
                <w:bCs w:val="1"/>
                <w:color w:val="auto"/>
                <w:w w:val="92"/>
              </w:rPr>
              <w:t>6000 Shoreline Court, Suite 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b w:val="1"/>
                <w:bCs w:val="1"/>
                <w:color w:val="auto"/>
                <w:w w:val="92"/>
              </w:rPr>
              <w:t>South San Francisco, California 94080</w:t>
            </w:r>
          </w:p>
        </w:tc>
      </w:tr>
      <w:tr>
        <w:trPr>
          <w:trHeight w:val="182"/>
        </w:trPr>
        <w:tc>
          <w:tcPr>
            <w:tcW w:w="2020" w:type="dxa"/>
            <w:vAlign w:val="bottom"/>
          </w:tcPr>
          <w:p>
            <w:pPr>
              <w:spacing w:after="0"/>
              <w:rPr>
                <w:sz w:val="15"/>
                <w:szCs w:val="15"/>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color w:val="auto"/>
                <w:w w:val="94"/>
              </w:rPr>
              <w:t>(Address of principal executive offices, zip code)</w:t>
            </w:r>
          </w:p>
        </w:tc>
      </w:tr>
      <w:tr>
        <w:trPr>
          <w:trHeight w:val="304"/>
        </w:trPr>
        <w:tc>
          <w:tcPr>
            <w:tcW w:w="2020" w:type="dxa"/>
            <w:vAlign w:val="bottom"/>
          </w:tcPr>
          <w:p>
            <w:pPr>
              <w:spacing w:after="0"/>
              <w:rPr>
                <w:sz w:val="24"/>
                <w:szCs w:val="24"/>
                <w:color w:val="auto"/>
              </w:rPr>
            </w:pPr>
          </w:p>
        </w:tc>
        <w:tc>
          <w:tcPr>
            <w:tcW w:w="5320" w:type="dxa"/>
            <w:vAlign w:val="bottom"/>
          </w:tcPr>
          <w:p>
            <w:pPr>
              <w:jc w:val="right"/>
              <w:ind w:right="2976"/>
              <w:spacing w:after="0"/>
              <w:rPr>
                <w:sz w:val="20"/>
                <w:szCs w:val="20"/>
                <w:color w:val="auto"/>
              </w:rPr>
            </w:pPr>
            <w:r>
              <w:rPr>
                <w:rFonts w:ascii="Arial" w:cs="Arial" w:eastAsia="Arial" w:hAnsi="Arial"/>
                <w:sz w:val="14"/>
                <w:szCs w:val="14"/>
                <w:b w:val="1"/>
                <w:bCs w:val="1"/>
                <w:color w:val="auto"/>
              </w:rPr>
              <w:t>(650) 243-6300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30"/>
        </w:trPr>
        <w:tc>
          <w:tcPr>
            <w:tcW w:w="2020" w:type="dxa"/>
            <w:vAlign w:val="bottom"/>
          </w:tcPr>
          <w:p>
            <w:pPr>
              <w:spacing w:after="0"/>
              <w:rPr>
                <w:sz w:val="20"/>
                <w:szCs w:val="20"/>
                <w:color w:val="auto"/>
              </w:rPr>
            </w:pPr>
          </w:p>
        </w:tc>
        <w:tc>
          <w:tcPr>
            <w:tcW w:w="5320" w:type="dxa"/>
            <w:vAlign w:val="bottom"/>
          </w:tcPr>
          <w:p>
            <w:pPr>
              <w:jc w:val="center"/>
              <w:ind w:right="1556"/>
              <w:spacing w:after="0"/>
              <w:rPr>
                <w:sz w:val="20"/>
                <w:szCs w:val="20"/>
                <w:color w:val="auto"/>
              </w:rPr>
            </w:pPr>
            <w:r>
              <w:rPr>
                <w:rFonts w:ascii="Arial" w:cs="Arial" w:eastAsia="Arial" w:hAnsi="Arial"/>
                <w:sz w:val="18"/>
                <w:szCs w:val="18"/>
                <w:color w:val="auto"/>
                <w:w w:val="89"/>
              </w:rPr>
              <w:t>________________________________</w:t>
            </w:r>
          </w:p>
        </w:tc>
      </w:tr>
    </w:tbl>
    <w:p>
      <w:pPr>
        <w:spacing w:after="0" w:line="197" w:lineRule="exact"/>
        <w:rPr>
          <w:sz w:val="24"/>
          <w:szCs w:val="24"/>
          <w:color w:val="auto"/>
        </w:rPr>
      </w:pPr>
    </w:p>
    <w:p>
      <w:pPr>
        <w:ind w:firstLine="243"/>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7" w:lineRule="exact"/>
        <w:rPr>
          <w:sz w:val="24"/>
          <w:szCs w:val="24"/>
          <w:color w:val="auto"/>
        </w:rPr>
      </w:pPr>
    </w:p>
    <w:p>
      <w:pPr>
        <w:ind w:firstLine="243"/>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26" w:lineRule="exact"/>
        <w:rPr>
          <w:sz w:val="24"/>
          <w:szCs w:val="24"/>
          <w:color w:val="auto"/>
        </w:rPr>
      </w:pPr>
    </w:p>
    <w:p>
      <w:pPr>
        <w:ind w:right="220" w:firstLine="243"/>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5" w:lineRule="exact"/>
        <w:rPr>
          <w:sz w:val="24"/>
          <w:szCs w:val="24"/>
          <w:color w:val="auto"/>
        </w:rPr>
      </w:pPr>
    </w:p>
    <w:tbl>
      <w:tblPr>
        <w:tblLayout w:type="fixed"/>
        <w:tblInd w:w="1420" w:type="dxa"/>
        <w:tblCellMar>
          <w:top w:w="0" w:type="dxa"/>
          <w:left w:w="0" w:type="dxa"/>
          <w:bottom w:w="0" w:type="dxa"/>
          <w:right w:w="0" w:type="dxa"/>
        </w:tblCellMar>
      </w:tblPr>
      <w:tr>
        <w:trPr>
          <w:trHeight w:val="182"/>
        </w:trPr>
        <w:tc>
          <w:tcPr>
            <w:tcW w:w="4540" w:type="dxa"/>
            <w:vAlign w:val="bottom"/>
          </w:tcPr>
          <w:p>
            <w:pPr>
              <w:jc w:val="center"/>
              <w:ind w:right="1828"/>
              <w:spacing w:after="0"/>
              <w:rPr>
                <w:sz w:val="20"/>
                <w:szCs w:val="20"/>
                <w:color w:val="auto"/>
              </w:rPr>
            </w:pPr>
            <w:r>
              <w:rPr>
                <w:rFonts w:ascii="Arial" w:cs="Arial" w:eastAsia="Arial" w:hAnsi="Arial"/>
                <w:sz w:val="14"/>
                <w:szCs w:val="14"/>
                <w:color w:val="auto"/>
                <w:w w:val="93"/>
              </w:rPr>
              <w:t>Large accelerated filer o</w:t>
            </w:r>
          </w:p>
        </w:tc>
        <w:tc>
          <w:tcPr>
            <w:tcW w:w="3560" w:type="dxa"/>
            <w:vAlign w:val="bottom"/>
          </w:tcPr>
          <w:p>
            <w:pPr>
              <w:jc w:val="center"/>
              <w:ind w:left="1808"/>
              <w:spacing w:after="0"/>
              <w:rPr>
                <w:sz w:val="20"/>
                <w:szCs w:val="20"/>
                <w:color w:val="auto"/>
              </w:rPr>
            </w:pPr>
            <w:r>
              <w:rPr>
                <w:rFonts w:ascii="Arial" w:cs="Arial" w:eastAsia="Arial" w:hAnsi="Arial"/>
                <w:sz w:val="14"/>
                <w:szCs w:val="14"/>
                <w:color w:val="auto"/>
                <w:w w:val="97"/>
              </w:rPr>
              <w:t>Accelerated filer x</w:t>
            </w:r>
          </w:p>
        </w:tc>
      </w:tr>
      <w:tr>
        <w:trPr>
          <w:trHeight w:val="392"/>
        </w:trPr>
        <w:tc>
          <w:tcPr>
            <w:tcW w:w="4540" w:type="dxa"/>
            <w:vAlign w:val="bottom"/>
          </w:tcPr>
          <w:p>
            <w:pPr>
              <w:jc w:val="center"/>
              <w:ind w:right="1808"/>
              <w:spacing w:after="0"/>
              <w:rPr>
                <w:sz w:val="20"/>
                <w:szCs w:val="20"/>
                <w:color w:val="auto"/>
              </w:rPr>
            </w:pPr>
            <w:r>
              <w:rPr>
                <w:rFonts w:ascii="Arial" w:cs="Arial" w:eastAsia="Arial" w:hAnsi="Arial"/>
                <w:sz w:val="14"/>
                <w:szCs w:val="14"/>
                <w:color w:val="auto"/>
                <w:w w:val="95"/>
              </w:rPr>
              <w:t>Non-accelerated filer o</w:t>
            </w:r>
          </w:p>
        </w:tc>
        <w:tc>
          <w:tcPr>
            <w:tcW w:w="3560" w:type="dxa"/>
            <w:vAlign w:val="bottom"/>
          </w:tcPr>
          <w:p>
            <w:pPr>
              <w:jc w:val="center"/>
              <w:ind w:left="1808"/>
              <w:spacing w:after="0"/>
              <w:rPr>
                <w:sz w:val="20"/>
                <w:szCs w:val="20"/>
                <w:color w:val="auto"/>
              </w:rPr>
            </w:pPr>
            <w:r>
              <w:rPr>
                <w:rFonts w:ascii="Arial" w:cs="Arial" w:eastAsia="Arial" w:hAnsi="Arial"/>
                <w:sz w:val="14"/>
                <w:szCs w:val="14"/>
                <w:color w:val="auto"/>
                <w:w w:val="93"/>
              </w:rPr>
              <w:t>Smaller reporting company o</w:t>
            </w:r>
          </w:p>
        </w:tc>
      </w:tr>
      <w:tr>
        <w:trPr>
          <w:trHeight w:val="392"/>
        </w:trPr>
        <w:tc>
          <w:tcPr>
            <w:tcW w:w="4540" w:type="dxa"/>
            <w:vAlign w:val="bottom"/>
          </w:tcPr>
          <w:p>
            <w:pPr>
              <w:jc w:val="center"/>
              <w:ind w:right="1808"/>
              <w:spacing w:after="0"/>
              <w:rPr>
                <w:sz w:val="20"/>
                <w:szCs w:val="20"/>
                <w:color w:val="auto"/>
              </w:rPr>
            </w:pPr>
            <w:r>
              <w:rPr>
                <w:rFonts w:ascii="Arial" w:cs="Arial" w:eastAsia="Arial" w:hAnsi="Arial"/>
                <w:sz w:val="14"/>
                <w:szCs w:val="14"/>
                <w:color w:val="auto"/>
                <w:w w:val="94"/>
              </w:rPr>
              <w:t>(Do not check if a smaller reporting company)</w:t>
            </w:r>
          </w:p>
        </w:tc>
        <w:tc>
          <w:tcPr>
            <w:tcW w:w="3560" w:type="dxa"/>
            <w:vAlign w:val="bottom"/>
          </w:tcPr>
          <w:p>
            <w:pPr>
              <w:jc w:val="center"/>
              <w:ind w:left="1808"/>
              <w:spacing w:after="0"/>
              <w:rPr>
                <w:sz w:val="20"/>
                <w:szCs w:val="20"/>
                <w:color w:val="auto"/>
              </w:rPr>
            </w:pPr>
            <w:r>
              <w:rPr>
                <w:rFonts w:ascii="Arial" w:cs="Arial" w:eastAsia="Arial" w:hAnsi="Arial"/>
                <w:sz w:val="14"/>
                <w:szCs w:val="14"/>
                <w:color w:val="auto"/>
                <w:w w:val="94"/>
              </w:rPr>
              <w:t>Emerging growth company x</w:t>
            </w:r>
          </w:p>
        </w:tc>
      </w:tr>
    </w:tbl>
    <w:p>
      <w:pPr>
        <w:spacing w:after="0" w:line="34" w:lineRule="exact"/>
        <w:rPr>
          <w:sz w:val="24"/>
          <w:szCs w:val="24"/>
          <w:color w:val="auto"/>
        </w:rPr>
      </w:pPr>
    </w:p>
    <w:p>
      <w:pPr>
        <w:ind w:right="360" w:firstLine="243"/>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93" w:lineRule="exact"/>
        <w:rPr>
          <w:sz w:val="24"/>
          <w:szCs w:val="24"/>
          <w:color w:val="auto"/>
        </w:rPr>
      </w:pPr>
    </w:p>
    <w:p>
      <w:pPr>
        <w:ind w:left="2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Act).Yes o No </w:t>
      </w:r>
      <w:r>
        <w:rPr>
          <w:rFonts w:ascii="MS PGothic" w:cs="MS PGothic" w:eastAsia="MS PGothic" w:hAnsi="MS PGothic"/>
          <w:sz w:val="14"/>
          <w:szCs w:val="14"/>
          <w:color w:val="auto"/>
        </w:rPr>
        <w:t>☒</w:t>
      </w:r>
    </w:p>
    <w:p>
      <w:pPr>
        <w:spacing w:after="0" w:line="190" w:lineRule="exact"/>
        <w:rPr>
          <w:sz w:val="24"/>
          <w:szCs w:val="24"/>
          <w:color w:val="auto"/>
        </w:rPr>
      </w:pPr>
    </w:p>
    <w:p>
      <w:pPr>
        <w:ind w:left="260"/>
        <w:spacing w:after="0"/>
        <w:rPr>
          <w:sz w:val="20"/>
          <w:szCs w:val="20"/>
          <w:color w:val="auto"/>
        </w:rPr>
      </w:pPr>
      <w:r>
        <w:rPr>
          <w:rFonts w:ascii="Arial" w:cs="Arial" w:eastAsia="Arial" w:hAnsi="Arial"/>
          <w:sz w:val="14"/>
          <w:szCs w:val="14"/>
          <w:color w:val="auto"/>
        </w:rPr>
        <w:t>As of July 28, 2017, there were 33,893,567 shares of common stock, par value $0.001 per share, outstanding.</w:t>
      </w:r>
    </w:p>
    <w:p>
      <w:pPr>
        <w:sectPr>
          <w:pgSz w:w="11900" w:h="16838" w:orient="portrait"/>
          <w:cols w:equalWidth="0" w:num="1">
            <w:col w:w="11280"/>
          </w:cols>
          <w:pgMar w:left="240" w:top="229" w:right="37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No.</w:t>
            </w:r>
          </w:p>
        </w:tc>
        <w:tc>
          <w:tcPr>
            <w:tcW w:w="0" w:type="dxa"/>
            <w:vAlign w:val="bottom"/>
          </w:tcPr>
          <w:p>
            <w:pPr>
              <w:spacing w:after="0"/>
              <w:rPr>
                <w:sz w:val="1"/>
                <w:szCs w:val="1"/>
                <w:color w:val="auto"/>
              </w:rPr>
            </w:pPr>
          </w:p>
        </w:tc>
      </w:tr>
      <w:tr>
        <w:trPr>
          <w:trHeight w:val="189"/>
        </w:trPr>
        <w:tc>
          <w:tcPr>
            <w:tcW w:w="10020" w:type="dxa"/>
            <w:vAlign w:val="bottom"/>
            <w:gridSpan w:val="17"/>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8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Condensed Financial Statements (Unaudited)</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June 30, 2017 and December 31, 2016</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Statements of Operations and Comprehensive Loss for the Three and Six Month Periods Ended June 30, 2017 and 2016</w:t>
              </w:r>
            </w:hyperlink>
          </w:p>
        </w:tc>
        <w:tc>
          <w:tcPr>
            <w:tcW w:w="200" w:type="dxa"/>
            <w:vAlign w:val="bottom"/>
            <w:vMerge w:val="restart"/>
          </w:tcPr>
          <w:p>
            <w:pPr>
              <w:spacing w:after="0"/>
              <w:rPr>
                <w:sz w:val="21"/>
                <w:szCs w:val="21"/>
                <w:color w:val="auto"/>
              </w:rPr>
            </w:pPr>
          </w:p>
        </w:tc>
        <w:tc>
          <w:tcPr>
            <w:tcW w:w="1240" w:type="dxa"/>
            <w:vAlign w:val="bottom"/>
            <w:gridSpan w:val="2"/>
            <w:vMerge w:val="restart"/>
          </w:tcPr>
          <w:p>
            <w:pPr>
              <w:spacing w:after="0"/>
              <w:rPr>
                <w:sz w:val="21"/>
                <w:szCs w:val="21"/>
                <w:color w:val="auto"/>
              </w:rPr>
            </w:pPr>
          </w:p>
        </w:tc>
        <w:tc>
          <w:tcPr>
            <w:tcW w:w="100" w:type="dxa"/>
            <w:vAlign w:val="bottom"/>
            <w:vMerge w:val="restart"/>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2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Borders>
              <w:bottom w:val="single" w:sz="8" w:color="0000EE"/>
            </w:tcBorders>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 for the Six Month Periods Ended June 30, 2017 and 2016</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90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Financial Statements</w:t>
              </w:r>
            </w:hyperlink>
          </w:p>
        </w:tc>
        <w:tc>
          <w:tcPr>
            <w:tcW w:w="2780" w:type="dxa"/>
            <w:vAlign w:val="bottom"/>
            <w:gridSpan w:val="2"/>
          </w:tcPr>
          <w:p>
            <w:pPr>
              <w:spacing w:after="0"/>
              <w:rPr>
                <w:sz w:val="21"/>
                <w:szCs w:val="21"/>
                <w:color w:val="auto"/>
              </w:rPr>
            </w:pPr>
          </w:p>
        </w:tc>
        <w:tc>
          <w:tcPr>
            <w:tcW w:w="12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Item 2.</w:t>
              </w:r>
            </w:hyperlink>
          </w:p>
        </w:tc>
        <w:tc>
          <w:tcPr>
            <w:tcW w:w="9360" w:type="dxa"/>
            <w:vAlign w:val="bottom"/>
            <w:gridSpan w:val="14"/>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6480" w:type="dxa"/>
            <w:vAlign w:val="bottom"/>
            <w:gridSpan w:val="11"/>
          </w:tcPr>
          <w:p>
            <w:pPr>
              <w:ind w:left="20"/>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2880" w:type="dxa"/>
            <w:vAlign w:val="bottom"/>
            <w:gridSpan w:val="3"/>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1800" w:type="dxa"/>
            <w:vAlign w:val="bottom"/>
            <w:gridSpan w:val="4"/>
          </w:tcPr>
          <w:p>
            <w:pPr>
              <w:ind w:left="20"/>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2580" w:type="dxa"/>
            <w:vAlign w:val="bottom"/>
            <w:gridSpan w:val="5"/>
          </w:tcPr>
          <w:p>
            <w:pPr>
              <w:spacing w:after="0"/>
              <w:rPr>
                <w:sz w:val="21"/>
                <w:szCs w:val="21"/>
                <w:color w:val="auto"/>
              </w:rPr>
            </w:pPr>
          </w:p>
        </w:tc>
        <w:tc>
          <w:tcPr>
            <w:tcW w:w="4980" w:type="dxa"/>
            <w:vAlign w:val="bottom"/>
            <w:gridSpan w:val="5"/>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20" w:type="dxa"/>
            <w:vAlign w:val="bottom"/>
            <w:gridSpan w:val="17"/>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Borders>
              <w:top w:val="single" w:sz="8" w:color="0000EE"/>
            </w:tcBorders>
          </w:tcPr>
          <w:p>
            <w:pPr>
              <w:spacing w:after="0"/>
              <w:rPr>
                <w:sz w:val="21"/>
                <w:szCs w:val="21"/>
                <w:color w:val="auto"/>
              </w:rPr>
            </w:pPr>
          </w:p>
        </w:tc>
        <w:tc>
          <w:tcPr>
            <w:tcW w:w="1580" w:type="dxa"/>
            <w:vAlign w:val="bottom"/>
            <w:tcBorders>
              <w:top w:val="single" w:sz="8" w:color="0000EE"/>
            </w:tcBorders>
            <w:gridSpan w:val="5"/>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1A. Risk Factors</w:t>
              </w:r>
            </w:hyperlink>
          </w:p>
        </w:tc>
        <w:tc>
          <w:tcPr>
            <w:tcW w:w="1260" w:type="dxa"/>
            <w:vAlign w:val="bottom"/>
            <w:tcBorders>
              <w:top w:val="single" w:sz="8" w:color="0000EE"/>
            </w:tcBorders>
            <w:gridSpan w:val="2"/>
          </w:tcPr>
          <w:p>
            <w:pPr>
              <w:spacing w:after="0"/>
              <w:rPr>
                <w:sz w:val="21"/>
                <w:szCs w:val="21"/>
                <w:color w:val="auto"/>
              </w:rPr>
            </w:pPr>
          </w:p>
        </w:tc>
        <w:tc>
          <w:tcPr>
            <w:tcW w:w="7040" w:type="dxa"/>
            <w:vAlign w:val="bottom"/>
            <w:gridSpan w:val="9"/>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300" w:type="dxa"/>
            <w:vAlign w:val="bottom"/>
            <w:gridSpan w:val="11"/>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6.</w:t>
              </w:r>
            </w:hyperlink>
          </w:p>
        </w:tc>
        <w:tc>
          <w:tcPr>
            <w:tcW w:w="1060" w:type="dxa"/>
            <w:vAlign w:val="bottom"/>
            <w:gridSpan w:val="3"/>
          </w:tcPr>
          <w:p>
            <w:pPr>
              <w:ind w:left="20"/>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8300" w:type="dxa"/>
            <w:vAlign w:val="bottom"/>
            <w:gridSpan w:val="11"/>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740" w:type="dxa"/>
            <w:vAlign w:val="bottom"/>
            <w:gridSpan w:val="1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4"/>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SIGNATURES</w:t>
              </w:r>
            </w:hyperlink>
          </w:p>
        </w:tc>
        <w:tc>
          <w:tcPr>
            <w:tcW w:w="8920" w:type="dxa"/>
            <w:vAlign w:val="bottom"/>
            <w:gridSpan w:val="13"/>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740" w:type="dxa"/>
            <w:vAlign w:val="bottom"/>
            <w:gridSpan w:val="1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gridSpan w:val="5"/>
          </w:tcPr>
          <w:p>
            <w:pPr>
              <w:spacing w:after="0"/>
              <w:rPr>
                <w:rFonts w:ascii="Arial" w:cs="Arial" w:eastAsia="Arial" w:hAnsi="Arial"/>
                <w:sz w:val="18"/>
                <w:szCs w:val="18"/>
                <w:color w:val="0000EE"/>
                <w:w w:val="95"/>
              </w:rPr>
            </w:pPr>
            <w:hyperlink w:anchor="page50">
              <w:r>
                <w:rPr>
                  <w:rFonts w:ascii="Arial" w:cs="Arial" w:eastAsia="Arial" w:hAnsi="Arial"/>
                  <w:sz w:val="18"/>
                  <w:szCs w:val="18"/>
                  <w:color w:val="0000EE"/>
                  <w:w w:val="95"/>
                </w:rPr>
                <w:t>EXHIBIT INDEX</w:t>
              </w:r>
            </w:hyperlink>
          </w:p>
        </w:tc>
        <w:tc>
          <w:tcPr>
            <w:tcW w:w="8740" w:type="dxa"/>
            <w:vAlign w:val="bottom"/>
            <w:gridSpan w:val="12"/>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1"/>
                <w:szCs w:val="21"/>
                <w:color w:val="auto"/>
              </w:rPr>
            </w:pPr>
          </w:p>
        </w:tc>
        <w:tc>
          <w:tcPr>
            <w:tcW w:w="1340" w:type="dxa"/>
            <w:vAlign w:val="bottom"/>
          </w:tcPr>
          <w:p>
            <w:pPr>
              <w:jc w:val="right"/>
              <w:ind w:right="271"/>
              <w:spacing w:after="0"/>
              <w:rPr>
                <w:sz w:val="20"/>
                <w:szCs w:val="20"/>
                <w:color w:val="auto"/>
              </w:rPr>
            </w:pPr>
            <w:r>
              <w:rPr>
                <w:rFonts w:ascii="Arial" w:cs="Arial" w:eastAsia="Arial" w:hAnsi="Arial"/>
                <w:sz w:val="14"/>
                <w:szCs w:val="14"/>
                <w:b w:val="1"/>
                <w:bCs w:val="1"/>
                <w:color w:val="auto"/>
              </w:rPr>
              <w:t>(See Note 1)</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59,219</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11,027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8,756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Supplies inventory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62,860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73,627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Finite-lived intangible assets, net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14,133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88,347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101,034</w:t>
            </w:r>
          </w:p>
        </w:tc>
        <w:tc>
          <w:tcPr>
            <w:tcW w:w="0" w:type="dxa"/>
            <w:vAlign w:val="bottom"/>
          </w:tcPr>
          <w:p>
            <w:pPr>
              <w:spacing w:after="0"/>
              <w:rPr>
                <w:sz w:val="1"/>
                <w:szCs w:val="1"/>
                <w:color w:val="auto"/>
              </w:rPr>
            </w:pPr>
          </w:p>
        </w:tc>
      </w:tr>
      <w:tr>
        <w:trPr>
          <w:trHeight w:val="210"/>
        </w:trPr>
        <w:tc>
          <w:tcPr>
            <w:tcW w:w="83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8,450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9,110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11,534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24,971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24,918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liability,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rent, net of current portion</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4,277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41,453</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w w:val="89"/>
              </w:rPr>
              <w:t>Preferred stock, $0.001 par value; 5,000,000 shares authorized, no shares issued and outstanding as of June 30,</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40"/>
              <w:spacing w:after="0"/>
              <w:rPr>
                <w:sz w:val="20"/>
                <w:szCs w:val="20"/>
                <w:color w:val="auto"/>
              </w:rPr>
            </w:pPr>
            <w:r>
              <w:rPr>
                <w:rFonts w:ascii="Arial" w:cs="Arial" w:eastAsia="Arial" w:hAnsi="Arial"/>
                <w:sz w:val="18"/>
                <w:szCs w:val="18"/>
                <w:color w:val="auto"/>
              </w:rPr>
              <w:t>2017 and December 31, 2016</w:t>
            </w:r>
          </w:p>
        </w:tc>
        <w:tc>
          <w:tcPr>
            <w:tcW w:w="2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Common stock, $0.001 par value; 125,000,000 shares authorized, 33,891,817 and 33,762,278 shares issued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and outstanding as of June 30, 2017 and December 31, 2016,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243,409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239,631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(180,084)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47,844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59,581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88,347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101,034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and per share amounts</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40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28,225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7,633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7,728</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15,329</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6,192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12,211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12,299</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25,015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25,169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48,964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48,470</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(1,152)</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(21,318)</w:t>
            </w: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 basic and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33,873,128</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27,859,918</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33,848,645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27,838,955</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of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(21,318)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Bad debt expense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on disposal of property and equipment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Genzyme co-promotion fee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Conversion of accrued interest on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and write-off of debt discount and issuance costs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on debt balloon payment and prepayment penalty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Supplies inventory</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current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liabilities and deferred rent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(16,312)</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restricted cash</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the issuance of long-term debt, net of debt issuance costs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24,452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 of end-of-term debt obligation and prepayment penalty</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common stock in a public offering, net of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 of capital lease liability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59,219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39,084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46,463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38,993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Supplementary cash flow information of non-cash investing and financing activities: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 included in accounts payable and accrued liabilities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Veracyte, Inc. (“Veracyte” or the “Company”) was incorporated in the state of Delaware on August 15, 2006 as Calderome, Inc. Calderome operated as an incubator until early 2008. On March 4, 2008, the Company changed its name to Veracyte, Inc. The Company’s operations are based in South San Francisco, California and Austin, Texas, and it operates in one segment.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Veracyte is a leading genomic diagnostics company that is fundamentally improving patient care by resolving diagnostic uncertainty with evidence that is trustworthy and actionable. The Company's products uniquely combine genomic technology, clinical science and machine learning to provide answers that give physicians and patients a clear path forward without risky, costly surgery that is often unnecessary.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the Company's founding in 2008, it has commercialized three genomic tests that it believes are transforming diagnostics:</w:t>
      </w:r>
    </w:p>
    <w:p>
      <w:pPr>
        <w:spacing w:after="0" w:line="225" w:lineRule="exact"/>
        <w:rPr>
          <w:sz w:val="20"/>
          <w:szCs w:val="20"/>
          <w:color w:val="auto"/>
        </w:rPr>
      </w:pPr>
    </w:p>
    <w:p>
      <w:pPr>
        <w:jc w:val="both"/>
        <w:ind w:left="1060"/>
        <w:spacing w:after="0" w:line="297" w:lineRule="auto"/>
        <w:rPr>
          <w:sz w:val="20"/>
          <w:szCs w:val="20"/>
          <w:color w:val="auto"/>
        </w:rPr>
      </w:pPr>
      <w:r>
        <w:rPr>
          <w:rFonts w:ascii="Arial" w:cs="Arial" w:eastAsia="Arial" w:hAnsi="Arial"/>
          <w:sz w:val="16"/>
          <w:szCs w:val="16"/>
          <w:i w:val="1"/>
          <w:iCs w:val="1"/>
          <w:color w:val="auto"/>
        </w:rPr>
        <w:t xml:space="preserve">Afirma Thyroid FNA Analysis </w:t>
      </w:r>
      <w:r>
        <w:rPr>
          <w:rFonts w:ascii="Arial" w:cs="Arial" w:eastAsia="Arial" w:hAnsi="Arial"/>
          <w:sz w:val="16"/>
          <w:szCs w:val="16"/>
          <w:color w:val="auto"/>
        </w:rPr>
        <w:t>- The Afirma genomic classifiers, specifically the Afirma Gene Expression Classifier, or GEC, and the recently</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commercialized Afirma Genomic Sequencing Classifier, or GSC, employ proprietary gene signatures to determine whether thyroid nodules previously classified by cytopathology as indeterminate can be reclassified as benign, thus enabling the patient to avoid an unnecessary surgery. The new Afirma GSC uniquely combines RNA sequencing and machine learning to leverage more enriched, previously undetectable genomic information. It can identify 30 percent more benign thyroid nodules among those deemed indeterminate following cytopathology.</w:t>
      </w:r>
    </w:p>
    <w:p>
      <w:pPr>
        <w:spacing w:after="0" w:line="158"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i w:val="1"/>
          <w:iCs w:val="1"/>
          <w:color w:val="auto"/>
        </w:rPr>
        <w:t xml:space="preserve">Percepta Bronchial Genomic Classifier - </w:t>
      </w:r>
      <w:r>
        <w:rPr>
          <w:rFonts w:ascii="Arial" w:cs="Arial" w:eastAsia="Arial" w:hAnsi="Arial"/>
          <w:sz w:val="18"/>
          <w:szCs w:val="18"/>
          <w:color w:val="auto"/>
        </w:rPr>
        <w:t>The 23-gene Percepta classifier improves lung cancer screening and diagnosis by identifying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at low risk of cancer among those whose lung nodules are not clearly benign or malignant following traditional evaluation. The Percepta classifier analyzes genomic changes that occur in the epithelial cells lining the airways of current or former smokers to assess a patient’s risk of having lung cancer, without the need to test the often-hard-to-reach nodule directly.</w:t>
      </w:r>
    </w:p>
    <w:p>
      <w:pPr>
        <w:spacing w:after="0" w:line="187" w:lineRule="exact"/>
        <w:rPr>
          <w:sz w:val="20"/>
          <w:szCs w:val="20"/>
          <w:color w:val="auto"/>
        </w:rPr>
      </w:pPr>
    </w:p>
    <w:p>
      <w:pPr>
        <w:jc w:val="both"/>
        <w:ind w:left="1060"/>
        <w:spacing w:after="0" w:line="279" w:lineRule="auto"/>
        <w:rPr>
          <w:sz w:val="20"/>
          <w:szCs w:val="20"/>
          <w:color w:val="auto"/>
        </w:rPr>
      </w:pPr>
      <w:r>
        <w:rPr>
          <w:rFonts w:ascii="Arial" w:cs="Arial" w:eastAsia="Arial" w:hAnsi="Arial"/>
          <w:sz w:val="17"/>
          <w:szCs w:val="17"/>
          <w:i w:val="1"/>
          <w:iCs w:val="1"/>
          <w:color w:val="auto"/>
        </w:rPr>
        <w:t xml:space="preserve">Envisia Genomic Classifier </w:t>
      </w:r>
      <w:r>
        <w:rPr>
          <w:rFonts w:ascii="Arial" w:cs="Arial" w:eastAsia="Arial" w:hAnsi="Arial"/>
          <w:sz w:val="17"/>
          <w:szCs w:val="17"/>
          <w:color w:val="auto"/>
        </w:rPr>
        <w:t>- Commercialized in October 2016, the Envisia classifier is designed to improve physicians’ ability to differentiate</w:t>
      </w:r>
      <w:r>
        <w:rPr>
          <w:rFonts w:ascii="Arial" w:cs="Arial" w:eastAsia="Arial" w:hAnsi="Arial"/>
          <w:sz w:val="17"/>
          <w:szCs w:val="17"/>
          <w:i w:val="1"/>
          <w:iCs w:val="1"/>
          <w:color w:val="auto"/>
        </w:rPr>
        <w:t xml:space="preserve"> </w:t>
      </w:r>
      <w:r>
        <w:rPr>
          <w:rFonts w:ascii="Arial" w:cs="Arial" w:eastAsia="Arial" w:hAnsi="Arial"/>
          <w:sz w:val="17"/>
          <w:szCs w:val="17"/>
          <w:color w:val="auto"/>
        </w:rPr>
        <w:t>idiopathic pulmonary fibrosis, or IPF, from other interstitial lung diseases, or ILD, without the need for invasive and potentially risky surgery. The Envisia classifier uses machine learning coupled with powerful, deep RNA sequencing to detect the presence or absence of usual interstitial pneumonia, or UIP, a classic diagnostic pattern whose presence is essential for the diagnosis of IPF.</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Company's testing services are made available through its clinical reference laboratories located in South San Francisco, California and Austin, Texas, which are each certified under the Clinical Laboratory Improvement Amendments of 1988, or CLIA.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financial statements have been prepared in accordance with accounting principles generally accepted in the United States (“GAAP”). Certain information and note disclosures normally included in financial statements prepared in accordance with GAAP have been condensed or omitted pursuant to such rules and regulations. The condensed balance sheet as of June 30, 2017, the condensed statements of operations and comprehensive loss for the three and six months ended June 30, 2017 and 2016, and the condensed statements of cash flows for the six months ended June 30, 2017 and 2016 are unaudited, but include all adjustments, consisting only of normal recurring adjustments, which the Company considers necessary for a fair presentation of its financial position, operating results and cash flows for the periods presented. The condensed balance sheet at December 31, 2016 has been derived from audited financial statements. The results for the three and six months ended June 30, 2017 are not necessarily indicative of the results expected for the full year or any other period.</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accompanying interim period condensed financial statements and related financial information included in this Quarterly Report on Form 10-Q should be read in conjunction with the audited financial statements and notes thereto included in the Company’s Annual Report on Form 10-K for the year ended December 31,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preparation of unaudited interim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the useful lives of property and equipment; the recoverability of long-lived assets; the estimation of the fair value of intangible assets;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also subject to credit risk from its accounts receivable related to its sales. The Company generally does not perform evaluations of customers’ financial condition and generally does not require collateral.</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Through June 30, 2017, all of the Company’s revenue has been derived from the sale of Afirma. To date, Afirma has been delivered primarily to physicians in the United States. The Company’s third-party payers in excess of 10% of revenue and their related revenue as a percentage of total revenue were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260" w:type="dxa"/>
            <w:vAlign w:val="bottom"/>
            <w:gridSpan w:val="5"/>
          </w:tcPr>
          <w:p>
            <w:pPr>
              <w:ind w:left="660"/>
              <w:spacing w:after="0"/>
              <w:rPr>
                <w:sz w:val="20"/>
                <w:szCs w:val="20"/>
                <w:color w:val="auto"/>
              </w:rPr>
            </w:pPr>
            <w:r>
              <w:rPr>
                <w:rFonts w:ascii="Arial" w:cs="Arial" w:eastAsia="Arial" w:hAnsi="Arial"/>
                <w:sz w:val="14"/>
                <w:szCs w:val="14"/>
                <w:b w:val="1"/>
                <w:bCs w:val="1"/>
                <w:color w:val="auto"/>
              </w:rPr>
              <w:t>Three Months Ended June 30,</w:t>
            </w:r>
          </w:p>
        </w:tc>
        <w:tc>
          <w:tcPr>
            <w:tcW w:w="3160" w:type="dxa"/>
            <w:vAlign w:val="bottom"/>
            <w:gridSpan w:val="5"/>
          </w:tcPr>
          <w:p>
            <w:pPr>
              <w:jc w:val="right"/>
              <w:ind w:right="63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20" w:type="dxa"/>
            <w:vAlign w:val="bottom"/>
            <w:gridSpan w:val="11"/>
          </w:tcPr>
          <w:p>
            <w:pPr>
              <w:jc w:val="right"/>
              <w:ind w:right="376"/>
              <w:spacing w:after="0"/>
              <w:rPr>
                <w:sz w:val="20"/>
                <w:szCs w:val="20"/>
                <w:color w:val="auto"/>
              </w:rPr>
            </w:pPr>
            <w:r>
              <w:rPr>
                <w:rFonts w:ascii="Arial" w:cs="Arial" w:eastAsia="Arial" w:hAnsi="Arial"/>
                <w:sz w:val="18"/>
                <w:szCs w:val="18"/>
                <w:color w:val="auto"/>
                <w:w w:val="95"/>
              </w:rPr>
              <w:t>The Company’s significant third-party payers and their related accounts receivable balance as a percentage of total accounts receivable were as</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follows: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5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rPr>
              <w:t>June 30,</w:t>
            </w:r>
          </w:p>
        </w:tc>
        <w:tc>
          <w:tcPr>
            <w:tcW w:w="15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third-party payer represented more than 10% of the Company’s accounts receivable balances as of those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had deposits of $120,000 included in current assets as of June 30, 2017 and December 31, 2016, pledged for corporate credit cards. The Company also had deposits of $603,000 included in long-term assets as of June 30, 2017 and December 31, 2016, restricted from withdrawal and held by a bank in the form of collateral for an irrevocable standby letter of credit held as security for the lease of the Company’s South San Francisco facility signed in April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Company recognizes revenue in accordance with the provision of ASC 954-605, </w:t>
      </w:r>
      <w:r>
        <w:rPr>
          <w:rFonts w:ascii="Arial" w:cs="Arial" w:eastAsia="Arial" w:hAnsi="Arial"/>
          <w:sz w:val="17"/>
          <w:szCs w:val="17"/>
          <w:i w:val="1"/>
          <w:iCs w:val="1"/>
          <w:color w:val="auto"/>
        </w:rPr>
        <w:t>Health Care Entities — Revenue Recognition</w:t>
      </w:r>
      <w:r>
        <w:rPr>
          <w:rFonts w:ascii="Arial" w:cs="Arial" w:eastAsia="Arial" w:hAnsi="Arial"/>
          <w:sz w:val="17"/>
          <w:szCs w:val="17"/>
          <w:color w:val="auto"/>
        </w:rPr>
        <w:t xml:space="preserve"> ("ASC 954")</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Company’s revenue is generated from the provision of diagnostic services. The service is completed upon the delivery of test results to the prescribing physician, at which time the Company bills for the service. The Company recognizes revenue related to billings for tests delivered on an accrual basis when amounts that will ultimately be realized can be estimated. The estimates of amounts that will ultimately be realized require significant judgment by management. Until a contract has been negotiated with a commercial payer or governmental program, the Company's tests may or may not be covered by these entities’ existing reimbursement policies. In addition, patients do not enter into direct agreements with the Company that commit them to pay any portion of the cost of the tests in the event that their insurance declines to reimburse the Company.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may bill the patient directly for these amounts in the form of co-payments and co-insurance in accordance with their insurance carrier and health plans. In the absence of the ability to estimate the amount that will ultimately be realized for the Company’s services, revenue is recognized on the cash basis.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recognized for the three and six months ended June 30, 2017 and 2016 was as follows (in thousands of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760" w:type="dxa"/>
            <w:vAlign w:val="bottom"/>
            <w:tcBorders>
              <w:bottom w:val="single" w:sz="8" w:color="auto"/>
            </w:tcBorders>
          </w:tcPr>
          <w:p>
            <w:pPr>
              <w:spacing w:after="0"/>
              <w:rPr>
                <w:sz w:val="16"/>
                <w:szCs w:val="16"/>
                <w:color w:val="auto"/>
              </w:rPr>
            </w:pPr>
          </w:p>
        </w:tc>
      </w:tr>
      <w:tr>
        <w:trPr>
          <w:trHeight w:val="264"/>
        </w:trPr>
        <w:tc>
          <w:tcPr>
            <w:tcW w:w="36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 on the accrual basis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17,611</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9,349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32,749</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17,575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Revenue recognized on the cash basis</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5,326</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2,089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10,650</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3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14,675</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34,838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28,225</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Prior to July 1, 2016, the Company accrued less than 50% of the billed Afirma genomic classifier test volume per fiscal period. The Company believed it did not have a consistent enough payment history to accrue the remaining Afirma genomic classifier tests delivered to customers and, as noted above, recognized revenue on the cash basis for such tests. The Company has been analyzing the amounts received for tests performed since commercialization, and during the quarter ended September 30, 2016, sufficient information developed to support a reasonable estimate of the amount of revenue to accrue upon test delivery for a number of payers that had been previously recognized on the cash basis. As a result, starting in the quarter ended September 30, 2016, the Company began accruing substantially all of its billed Afirma genomic classifier test volume. In determining the amount to accrue for a particular test, the Company considered factors such as payer coverage, whether there is a reimbursement contract between the payer and the Company, timeliness of payment, payment as a percentage of agreed upon rate (if applicable), amount paid per test and any current developments or changes that could impact reimbursement. As a result, the Company recognized $3.5 million of incremental revenue during the quarter ended September 30, 2016 upon test delivery that previously would not have been recognized until cash was received. Tests performed prior to July 1, 2016 that did not meet the Company’s accrual criteria at the time of delivery will continue to be recognized as revenue on the cash basis. In the quarter ended June 30, 2017, as a result of the related cash collections being higher than previously estimated and cash collection trends, the Company updated its revenue estimates and recognized an additional $1.0 million of revenue for certain tests performed in the six months ended December 31,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to supersede nearly all existing revenue recognition guidance under GAAP. The core principle of ASU 2014-09 is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are required under existing GAAP. The Company will adopt the new revenue standard as of January 1, 2018 using the modified retrospective method. The Company has completed its assessment of the first three steps of this ASU, which include identifying the Company’s customers, identifying the Company's performance obligations, and determining transaction prices. The Company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 currently assessing the remainder of the steps and believes the adoption of this ASU will not have a material impact on either the Company's financial position or results of operations.</w:t>
      </w:r>
    </w:p>
    <w:p>
      <w:pPr>
        <w:spacing w:after="0" w:line="170" w:lineRule="exact"/>
        <w:rPr>
          <w:sz w:val="20"/>
          <w:szCs w:val="20"/>
          <w:color w:val="auto"/>
        </w:rPr>
      </w:pPr>
    </w:p>
    <w:p>
      <w:pPr>
        <w:jc w:val="both"/>
        <w:ind w:firstLine="567"/>
        <w:spacing w:after="0" w:line="258" w:lineRule="auto"/>
        <w:rPr>
          <w:sz w:val="20"/>
          <w:szCs w:val="20"/>
          <w:color w:val="auto"/>
        </w:rPr>
      </w:pPr>
      <w:r>
        <w:rPr>
          <w:rFonts w:ascii="Arial" w:cs="Arial" w:eastAsia="Arial" w:hAnsi="Arial"/>
          <w:sz w:val="18"/>
          <w:szCs w:val="18"/>
          <w:color w:val="auto"/>
        </w:rPr>
        <w:t>In February 2016, the FASB issued ASU No. 2016-2, Leases. This ASU is aimed at making leasing activities more transparent and comparable, and requires substantially all leases be recognized by lessees on their balance sheet as a right-of-use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asset and corresponding lease liability, including leases currently accounted for as operating leases. The ASU will be effective for interim and annual periods beginning after December 15, 2018. Entities are required to use a modified retrospective approach for leases that exist or are entered into after the beginning of the earliest comparative period in the financial statements. Full retrospective application is prohibited and early adoption is permitted. The Company is currently evaluating the potential effect of this standard on its financial statements.</w:t>
      </w:r>
    </w:p>
    <w:p>
      <w:pPr>
        <w:spacing w:after="0" w:line="190"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 xml:space="preserve">In March 2016, the FASB issued ASU 2016-9,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related to the tax effects of share-based awards. The ASU requires that all the tax effects of share-based awards be recorded through the income statement, thereby simplifying the current guidance that requires excess tax benefits and certain excess tax deficiencies to be recorded in equity. This ASU also permits an election for the impact of forfeitures on the recognition of expense for share-based payment awards where forfeitures can be estimated or recognized when they occur. This ASU is effective for interim and annual periods beginning after December 15, 2016. The Company adopted this ASU as of January 1, 2017 and elected to continue using its forfeiture estimation method for share-based payment awards. This ASU was adopted prospectively and the impact of adoption on the Company's financial statements was not material.</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 Restricted Cash.</w:t>
      </w:r>
      <w:r>
        <w:rPr>
          <w:rFonts w:ascii="Arial" w:cs="Arial" w:eastAsia="Arial" w:hAnsi="Arial"/>
          <w:sz w:val="18"/>
          <w:szCs w:val="18"/>
          <w:color w:val="auto"/>
        </w:rPr>
        <w:t xml:space="preserve"> This ASU requires that restricted cash and restricted cash equivalents be included with cash and cash equivalents when reconciling the beginning-of-period and end-of-period total amounts shown on the statement of cash flows. The ASU will be effective for interim and annual periods beginning after December 15, 2017. The Company does not anticipate that the adoption of this ASU will have a significant impact on its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Common Share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4"/>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306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of common stock subject to outstanding options</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6,436,953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5,320,885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6,039,791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4,890,309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41,044</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47,435</w:t>
            </w:r>
          </w:p>
        </w:tc>
        <w:tc>
          <w:tcPr>
            <w:tcW w:w="10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35,229</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36,942</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70,000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54,834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common stock equivalents</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6,547,997</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5,368,320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6,129,854</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4,927,251</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(in thousands of dollars):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43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expenses</w:t>
            </w:r>
          </w:p>
        </w:tc>
        <w:tc>
          <w:tcPr>
            <w:tcW w:w="530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Accrued other</w:t>
            </w:r>
          </w:p>
        </w:tc>
        <w:tc>
          <w:tcPr>
            <w:tcW w:w="4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3,505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530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8,450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9,110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Arial" w:cs="Arial" w:eastAsia="Arial" w:hAnsi="Arial"/>
                <w:sz w:val="18"/>
                <w:szCs w:val="18"/>
                <w:color w:val="auto"/>
              </w:rPr>
              <w:t>7</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2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recognizes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the Company’s debt approximates its fair value because the interest rate approximates market rates that the Company could obtain for debt with similar terms. The estimated fair value of the Company’s debt is estimated using the net present value of the payments, discounted at an interest rate that is consistent with market interest rates, which is a Level II input.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97"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 of the Company’s financial assets, which consist only of money market funds, was $47.1 million and $58.7 million as of June 30, 2017 and December 31, 2016, respectively, and are Level I assets as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leases its headquarters and laboratory facilities in South San Francisco, California under a non-cancelable lease agreement for approximately 59,000 square feet. The lease began in June 2015 and ends in March 2026 and contains extension of lease term and expansion options. In February 2017, the Company relinquished certain expansion rights for a nominal fee. The Company had deposits of $603,000 included in long-term assets as of June 30, 2017 and December 31, 2016, restricted from withdrawal and held by a bank in the form of collateral for an irrevocable standby letter of credit held as security for the lease of the South San Francisco facility.</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also leases laboratory and office space in Austin, Texas under a lease that expires on July 31, 2018. The Company provided a cash security deposit of $75,000, which is included in other assets in the Company’s condensed balance sheets as of June 30, 2017 and December 31, 2016.</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operating leases as of June 30, 2017 are as follows (in thousands of dollars):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2,102</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2,026</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2,082</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2,144</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9,812</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minimum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19,245</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recognizes rent expense on a straight-line basis over the non-cancelable lease period. Rent expense was $455,000 and $457,000 for the three months ended June 30, 2017 and 2016, respectively, and $912,000 and $1.1 million for the six months ended June 30, 2017 and 2016, respectively.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the Company may be involved in legal proceedings arising in the ordinary course of business. The Company believes there is no litigation pending that could have, individually or in the aggregate, a material adverse effect on the Company’s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March 2016, the Company entered into a credit agreement (the “Credit Agreement”) with Visium Healthcare Partners, LP (“Visium”). Under the Credit Agreement, two term loans were available to the Company with an aggregate principal amount of up to $40.0 million. The Company drew down the initial $25.0 million term loan (the “Term Loan”) on March 30, 2016, of which $5.0 million was used to pay the outstanding balance of the Company’s existing long-term debt, which was cancelled at that date. On or prior to June 30, 2017, the Company was permitted to request a second term loan of up to $15.0 million; however, the Company did not draw down the second term loan and it expired. The Term Loan matures on March 31, 2022.</w:t>
      </w:r>
    </w:p>
    <w:p>
      <w:pPr>
        <w:spacing w:after="0" w:line="1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Term Loan bears interest at a fixed rate of 12.0% per annum, payable quarterly at the end of each March, June, September and December. No principal payments will be due during an interest-only period, commencing on the funding date for the Term Loan (the “Borrowing Date”) and continuing through and including March 31, 2020. The Company is obligated to repay the outstanding principal amount under the Term Loan in eight equal installments during the final two years under the Credit Agreement. For any quarterly interest payment through and including the 16th interest payment date after the Borrowing Date, so long as no event of default has occurred and is then continuing, the Company may elect to pay interest in cash on the outstanding principal amount of the Term Loan at a fixed rate of 9.0%, with the remaining 3.0% of the 12.0% interest paid-in-kind by adding such paid-in-kind interest to the outstanding principal amount of the Term Loan. The Company elected to pay interest in-kind for the quarters ended June 30, 2016 and September 30, 2016 and has recorded a total of $385,000 of paid-in-kind interest through June 30, 2017.</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may prepay the outstanding principal amount under the Term Loan subject to a minimum of $5.0 million of principal amount or a whole multiple of $1.0 million in excess thereof plus accrued and unpaid interest and a prepayment premium. The prepayment premium will be assessed on the principal amount repaid and will equal (i) 24.0% less the aggregate amount of all interest payments in cash, if the prepayment is made on or prior to March 31, 2018, (ii) 4.0%, if the prepayment is made after March 31, 2018 and on or prior to March 31, 2019, (iii) 2.0%, if the prepayment is made after March 31, 2019 and on or prior to March 31, 2020, and (iv) 1.0%, if the prepayment is made after March 31, 2020 and on or prior to March 31, 2021. After March 31, 2021 there is no prepayment premium.</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obligations under the Credit Agreement are secured by a security interest in substantially all of its assets. The Credit Agreement contains customary representations, warranties and events of default,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material new line of business or enter into certain transactions with affiliates, in each case subject to certain exceptions. To the extent the Company forms or acquires certain subsidiaries domiciled in the United States, those subsidiaries are required to be guarantors of the Company’s obligations under the Credit Agreement. As of June 30, 2017, the Company was in compliance with the loan covenants.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2017, the net debt obligation for borrowings made under the Credit Agreement was as follows (in thousands of dollars):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Borders>
              <w:bottom w:val="single" w:sz="8" w:color="CCEEFF"/>
            </w:tcBorders>
          </w:tcPr>
          <w:p>
            <w:pPr>
              <w:spacing w:after="0"/>
              <w:rPr>
                <w:sz w:val="16"/>
                <w:szCs w:val="16"/>
                <w:color w:val="auto"/>
              </w:rPr>
            </w:pPr>
          </w:p>
        </w:tc>
        <w:tc>
          <w:tcPr>
            <w:tcW w:w="5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principal</w:t>
            </w:r>
          </w:p>
        </w:tc>
        <w:tc>
          <w:tcPr>
            <w:tcW w:w="5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25,385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Unamortized deferred debt issuance costs</w:t>
            </w:r>
          </w:p>
        </w:tc>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debt obligation</w:t>
            </w:r>
          </w:p>
        </w:tc>
        <w:tc>
          <w:tcPr>
            <w:tcW w:w="5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24,971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jc w:val="right"/>
              <w:ind w:right="4090"/>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6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900" w:type="dxa"/>
            <w:vAlign w:val="bottom"/>
            <w:gridSpan w:val="2"/>
          </w:tcPr>
          <w:p>
            <w:pPr>
              <w:ind w:left="620"/>
              <w:spacing w:after="0"/>
              <w:rPr>
                <w:sz w:val="20"/>
                <w:szCs w:val="20"/>
                <w:color w:val="auto"/>
              </w:rPr>
            </w:pPr>
            <w:r>
              <w:rPr>
                <w:rFonts w:ascii="Arial" w:cs="Arial" w:eastAsia="Arial" w:hAnsi="Arial"/>
                <w:sz w:val="18"/>
                <w:szCs w:val="18"/>
                <w:color w:val="auto"/>
              </w:rPr>
              <w:t>Future principal payments under the Credit Agreement are as follows (in thousands of dollars):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13"/>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9,519</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12,693</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2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r>
      <w:tr>
        <w:trPr>
          <w:trHeight w:val="257"/>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25,385</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June 2013, the Company entered into a loan and security agreement as subsequently amended (“2013 Loan Agreement”) with a financial institution that provided for borrowings of up to $10.0 million in aggregate. Borrowings under the 2013 Loan Agreement totaled $5.0 million, which was outstanding at January 1, 2016 until March 30, 2016 when it was repaid upon the Company entering into the Credit Agreement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was as follows (in thousands of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Nominal interest</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5"/>
              </w:rPr>
              <w:t>Amortization and write-off of debt discount and debt issuance costs</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Prepayment penalty</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End-of-term payment interest</w:t>
            </w:r>
          </w:p>
        </w:tc>
        <w:tc>
          <w:tcPr>
            <w:tcW w:w="10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capital lease</w:t>
            </w: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808</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7. Stockholders’ Equity</w:t>
            </w: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Common Stock</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20" w:type="dxa"/>
            <w:vAlign w:val="bottom"/>
            <w:gridSpan w:val="2"/>
          </w:tcPr>
          <w:p>
            <w:pPr>
              <w:ind w:left="660"/>
              <w:spacing w:after="0"/>
              <w:rPr>
                <w:sz w:val="20"/>
                <w:szCs w:val="20"/>
                <w:color w:val="auto"/>
              </w:rPr>
            </w:pPr>
            <w:r>
              <w:rPr>
                <w:rFonts w:ascii="Arial" w:cs="Arial" w:eastAsia="Arial" w:hAnsi="Arial"/>
                <w:sz w:val="18"/>
                <w:szCs w:val="18"/>
                <w:color w:val="auto"/>
                <w:w w:val="90"/>
              </w:rPr>
              <w:t>The Company had reserved shares of common stock for issuance as follows: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5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4"/>
                <w:szCs w:val="24"/>
                <w:color w:val="auto"/>
              </w:rPr>
            </w:pPr>
          </w:p>
        </w:tc>
        <w:tc>
          <w:tcPr>
            <w:tcW w:w="13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 issued and outstanding</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6,394,917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5,251,832</w:t>
            </w:r>
          </w:p>
        </w:tc>
        <w:tc>
          <w:tcPr>
            <w:tcW w:w="0" w:type="dxa"/>
            <w:vAlign w:val="bottom"/>
          </w:tcPr>
          <w:p>
            <w:pPr>
              <w:spacing w:after="0"/>
              <w:rPr>
                <w:sz w:val="1"/>
                <w:szCs w:val="1"/>
                <w:color w:val="auto"/>
              </w:rPr>
            </w:pP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w w:val="93"/>
              </w:rPr>
              <w:t>Stock options and restricted stock units available for grant under stock option plans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1,048,850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887,724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available for the Employee Stock Purchase Plan</w:t>
            </w: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525,794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609,053</w:t>
            </w: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7,969,561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6,748,609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Genzyme Co-Promotion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2012, the Company and Genzyme Corporation (“Genzyme”) executed a co-promotion agreement for the co-exclusive rights and license to promote and market the Company’s Afirma thyroid diagnostic solution in the United States and in 40 named countries. In exchange, the Company received a $10.0 million upfront co-promotion fee from Genzyme in February 2012 which was deferred and amortized over the life of the agreement until the agreement was terminated effective September 9, 2016. Under the terms of the agreement, Genzyme received a percentage of U.S. cash receipts that the Company has received related to the Afirma solution as co-promotion fees.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February 2015, the Company entered into an ex-U.S. co-promotion agreement with Genzyme for the promotion of the Afirma solution with exclusivity in five countries outside the United States initially and in other countries agreed to from time to time. The agreement commenced on January 1, 2015 and continued until December 31, 2019, with extension of the agreement possible upon agreement of the parties. Pursuant to the agreement, the Company agreed to pay Genzyme 25% of net revenue from the sale of the Afirma solution in Brazil and Singapore over a five-year period commencing January 1, 2015. These payments have been immaterial for all periods presented. Effective July 6, 2017, the agreement was terminated.</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incurred $2.1 million and $4.2 million in co-promotion expense, excluding the amortization of the upfront co-promotion fee, in the three and six months ended June 30, 2016, respectively, which is included in selling and marketing expenses in the condensed statements of operations and comprehensive loss. The Company had no outstanding obligations to Genzyme under the U.S. co-promotion agreement as of June 30, 2017 and December 31, 2016.</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amortized $290,000 and $721,000 of the $10.0 million upfront co-promotion fee in the three and six months ended June 30, 2016, respectively, which is reflected as a reduction to selling and marketing expenses in the condensed statements of operations and comprehensive loss. No such related costs were incurred during the three and six months ended June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Thyroid Cytopathology Partners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2010, the Company entered into an arrangement with Pathology Resource Consultants, P.A. (“PRC”) to set up and manage a specialized pathology practice to provide testing services to the Company. There is no direct monetary compensation from the Company to PRC as a result of this arrangement. The Company’s service agreement is with the specialized pathology practice, Thyroid Cytopathology Partners (“TCP”), and was effective through December 31, 2015, and thereafter automatically renews every year unless either party provides notice of intent not to renew at least 12 months prior to the end of the then-current term. Under the service agreement, the Company pays TCP based on a fixed price per test schedule, which is reviewed periodically for changes in market pricing. Subsequent to December 2012, an amendment to the service agreement allows TCP to sublease a portion of the Company’s facility in Austin, Texas. The Company does not have an ownership interest in or provide any form of financial or other support to TCP.</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condensed statements of operations and comprehensive loss. The Company incurred $1.2 million and $1.3 million for the three months ended June 30, 2017 and 2016, respectively, and $2.4 million and $2.6 million for the six months ended June 30, 2017 and 2016, respectively, in cytopathology testing and evaluation services expenses with TCP. The Company’s outstanding obligations to TCP for cytopathology testing services were $412,000 and $426,000 as of June 30, 2017 and December 31, 2016, respectively, and are included in accounts payable on the Company’s condensed balance sheets.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TCP reimburses the Company for TCP's proportionate share of the Company’s rent and related operating expenses for the leased facility. TCP’s portion of rent and related operating expenses for the shared space at the Austin, Texas facility was $27,000 and $23,000 for the three months ended June 30, 2017 and 2016, respectively, and $52,000 and $46,000 for the six months ended June 30, 2017 and 2016, respectively, and is included in other income, net in the Company’s condensed statements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did not record a provision or benefit for income taxes during the three and six months ended June 30, 2017 and 2016. The Company continues to maintain a full valuation allowance against its net deferred tax assets.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2017, the Company had unrecognized tax benefits of $2.4 million, none of which would currently affect the Company’s effective tax rate if recognized due to the Company’s net deferred tax assets being fully offset by a valuation allowance. The Company does not anticipate that the amount of unrecognized tax benefits relating to tax positions existing at June 30, 2017 will significantly increase or decrease within the next 12 months. There was no interest expense or penalties related to unrecognized tax benefits recorded through June 30, 2017.</w:t>
      </w:r>
    </w:p>
    <w:p>
      <w:pPr>
        <w:spacing w:after="0" w:line="187" w:lineRule="exact"/>
        <w:rPr>
          <w:sz w:val="20"/>
          <w:szCs w:val="20"/>
          <w:color w:val="auto"/>
        </w:rPr>
      </w:pPr>
    </w:p>
    <w:p>
      <w:pPr>
        <w:jc w:val="both"/>
        <w:ind w:firstLine="686"/>
        <w:spacing w:after="0" w:line="259" w:lineRule="auto"/>
        <w:rPr>
          <w:sz w:val="20"/>
          <w:szCs w:val="20"/>
          <w:color w:val="auto"/>
        </w:rPr>
      </w:pPr>
      <w:r>
        <w:rPr>
          <w:rFonts w:ascii="Arial" w:cs="Arial" w:eastAsia="Arial" w:hAnsi="Arial"/>
          <w:sz w:val="18"/>
          <w:szCs w:val="18"/>
          <w:color w:val="auto"/>
        </w:rPr>
        <w:t>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in light of changing facts and circumstances. Settlement of any particular position could require the use of cash.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the condensed financial statements and the related notes included in Item 1 of Part I of this Quarterly Report on Form 10-Q, and with our audited financial statements and the related notes included in our Annual Report on Form 10-K for the year ended December 31, 2016.</w:t>
      </w:r>
    </w:p>
    <w:p>
      <w:pPr>
        <w:spacing w:after="0" w:line="1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our sources of revenue; our expectations with respect to our future research and development, general and administrative and selling and marketing expenses and our anticipated uses of our funds; our expectations regarding capital expenditures; our anticipated cash needs and our estimates regarding our capital requirements;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TCP, and on other strategic relationships, and the success of those relationships; our beliefs regarding our laboratory capacity;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the impact of accounting pronouncements and our critical accounting policies, judgments, estimates, models and assumptions on our financial results; and anticipated trends and challenges in our business and the markets in which we operate.</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as well as risks and uncertainties related to: our limited operating history and history of losses since inception; our ability to increase usage of and reimbursement for our tests; our dependence on a limited number of payers for a significant portion of our revenue; the complexity, time and expense associated with billing and collecting for our test; current and future laws, regulations and judicial decisions applicable to our business, including potential regulation by the FDA or by regulatory bodies outside of the United States; changes in legislation related to the U.S. healthcare system; our dependence on strategic relationships and collaborations; unanticipated delays in research and development efforts; our ability to develop and commercialize new products, including our GSC classifier, and the timing of commercialization; our ability to successfully enter new product or geographic markets; our ability to conduct clinical studies and the outcomes of such clinical studies; the applicability of clinical results to actual outcomes; trends and challenges in our business; our ability to compete against other companies, products and technologies; our ability to protect our intellectual property; and our ability to obtain capital when needed.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Veracyte, Afirma, Percepta, Envisia, the Veracyte logo and the Afirma logo are our trademarks. We also refer to trademarks of other corporations or organizations in this report.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 leading genomic diagnostics company that is fundamentally improving patient care by resolving diagnostic uncertainty with evidence that is trustworthy and actionable. Our products uniquely combine genomic technology, clinical science and machine learning to provide answers that give physicians and patients a clear path forward without risky, costly surgery that is often unnecessary.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vision is to lead a transformation of diagnostics with a new genomic standard of truth. Our goal is to drive shareholder value by improving patient outcomes and reducing the cost of healthcare.</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role of genomic information in medical practice is evolving rapidly and has affected the diagnosis of disease as well as treatment decisions. Over the past decade, molecular diagnostic tests that analyze genomic material from surgical tissue samples have emerged as an important complement to evaluations performed by pathologists. Information at the molecular level enables one to understand more fully the makeup and specific subtype of disease to improve diagnosis. In many cases, the genomic information derived from these samples can help guide treatment decisions as part of the standard of care.</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While genomic and technological advances are fueling the imagination about what is possible in medicine, we remain focused on delivering tests that change clinical decision making and improve patient outcomes.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deploy machine learning methods and RNA expression to improve diagnostic clarity for cancer and other diseases. In our thyroid and lung cancer indications, diagnosis can be ambiguous in approximately 15-70% of patients undergoing diagnostic evaluation. Our tests provide clarity of diagnosis that can in turn guide treatment decisions in approximately half of those cases, eliminating costly, risky surgeries and other unnecessary medical procedures, improving the lives of patients and saving the healthcare system money.</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Since our founding in 2008, we have commercialized three genomic tests that we believe are transforming diagnostics: the Afirma Gene Expression Classifier, or GEC, and its next-generation test, the Afirma Genomic Sequencing Classifier, or GSC, to determine whether thyroid nodules previously classified by cytopathology as indeterminate can be reclassified as benign; the Percepta Bronchial Genomic Classifier to improve lung cancer screening and diagnosis; and the Envisia Genomic Classifier to improve the physician's ability to differentiate idiopathic pulmonary fibrosis, or IPF, from other interstitial lung diseases, or ILD. Collectively, we believe these tests address a $2 billion global market opportunity.</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Patients typically access our tests through their physician during the diagnostic process. All of our testing services are made available through our clinical reference laboratories located in South San Francisco, California and Austin, Texas, which are each certified under the Clinical Laboratory Improvement Amendments of 1988, or CLIA.</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published evidence supporting our tests demonstrates the robustness of our science and clinical studies. Patients and physicians can access our full list of publications on our website. Nearly 30 clinical studies covering our products have been published, including two landmark clinical validation papers published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We continue to build upon our extensive library of clinical evidence. We also expect to continue expanding our offerings in thyroid cancer, lung cancer and interstitial lung diseases such as IPF as well as other cancer indications that we believe will benefit from our technology and approach.</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believe our focus on developing clinically useful tests that change patient care is enabling us to set new standards in genomic test reimbursement. Our flagship product, the Afirma classifier, is now covered for more than 269 million people in the U.S. for use in thyroid cancer diagnosis and our second commercial product, the Percepta classifier, is the first genomic test to gain Medicare coverage for improved lung cancer screening and diagnosis.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2017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three-month period ended June 30, 2017, as compared to the three-month period ended 2016:</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increased 25% to $18.4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declined 1% to $25.0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improved 35% to $7.3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Cash Burn </w:t>
      </w:r>
      <w:r>
        <w:rPr>
          <w:rFonts w:ascii="Arial" w:cs="Arial" w:eastAsia="Arial" w:hAnsi="Arial"/>
          <w:sz w:val="18"/>
          <w:szCs w:val="18"/>
          <w:color w:val="auto"/>
        </w:rPr>
        <w:t>(which is defined as net cash used in operating activities and net capital expenditures) improved 41% to $5.0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$46.5 million at June 30,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2017 and Recent Business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Achievements: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Grew Afirma genomic classifier volume by 11% in the second quarter of 2017, compared to the second quarter of 2016.</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Initiated the transition to the next-generation Afirma Genomic Sequencing Classifier (GSC) that can save an estimated 70% of benign patients from unnecessary thyroid surgery to rule out thyroid cancer.</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Initiated access to the Afirma genomic classifier through Quest/Ameripath division's extensive network of service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Accepted our first commercial orders for the Percepta genomic classifier that aids in the screening and diagnosis of lung cancer.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Progress:</w:t>
      </w:r>
    </w:p>
    <w:p>
      <w:pPr>
        <w:spacing w:after="0" w:line="225"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Received Anthem and additional Blues coverage for our Afirma classifier, which is now one of the few genomic assays to attain coverage by virtually all health plans in the U.S.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Signed five new contracts with Regence Blue Cross and Blue Cross of Kansas, bringing the total contracted lives for our Afirma classifier to approximately 163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Evidence Development:</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Delivered podium presentation at the World Congress on Thyroid Cancer of pivotal clinical validation data for the next-generation Afirma GSC.</w:t>
      </w:r>
    </w:p>
    <w:p>
      <w:pPr>
        <w:spacing w:after="0" w:line="34" w:lineRule="exact"/>
        <w:rPr>
          <w:rFonts w:ascii="Arial" w:cs="Arial" w:eastAsia="Arial" w:hAnsi="Arial"/>
          <w:sz w:val="17"/>
          <w:szCs w:val="17"/>
          <w:color w:val="auto"/>
        </w:rPr>
      </w:pPr>
    </w:p>
    <w:p>
      <w:pPr>
        <w:ind w:left="66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Published a clinical utility study in the </w:t>
      </w:r>
      <w:r>
        <w:rPr>
          <w:rFonts w:ascii="Arial" w:cs="Arial" w:eastAsia="Arial" w:hAnsi="Arial"/>
          <w:sz w:val="16"/>
          <w:szCs w:val="16"/>
          <w:i w:val="1"/>
          <w:iCs w:val="1"/>
          <w:color w:val="auto"/>
        </w:rPr>
        <w:t>Journal of Thoracic Oncology</w:t>
      </w:r>
      <w:r>
        <w:rPr>
          <w:rFonts w:ascii="Arial" w:cs="Arial" w:eastAsia="Arial" w:hAnsi="Arial"/>
          <w:sz w:val="16"/>
          <w:szCs w:val="16"/>
          <w:color w:val="auto"/>
        </w:rPr>
        <w:t xml:space="preserve"> (JTO), demonstrating that adoption of the Percepta classifier in lung cancer screening and diagnosis can meaningfully reduce invasive procedures and associated costs, and is cost-effective across a range of assumptions.</w:t>
      </w:r>
    </w:p>
    <w:p>
      <w:pPr>
        <w:spacing w:after="0" w:line="1" w:lineRule="exact"/>
        <w:rPr>
          <w:rFonts w:ascii="Arial" w:cs="Arial" w:eastAsia="Arial" w:hAnsi="Arial"/>
          <w:sz w:val="16"/>
          <w:szCs w:val="16"/>
          <w:color w:val="auto"/>
        </w:rPr>
      </w:pPr>
    </w:p>
    <w:p>
      <w:pPr>
        <w:ind w:left="660" w:right="20" w:hanging="328"/>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Presented pivotal clinical validation data for the Envisia Genomic Classifier at the American Thoracic Society 2017 International Conference, demonstrating the classifier's unique ability to identify patients likely to have idiopathic pulmonary fibrosis (IPF) from a non-invasive sample.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Initiated the Catalyst Study to evaluate the clinical utility of the Envisia classifier in the diagnosis of IPF.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Molecular Test Volume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performance depends on the number of molecular tests that we perform and report as completed in our CLIA laboratories. Factors impacting the number of tests that we report as completed include, but are not limited to:</w:t>
      </w:r>
    </w:p>
    <w:p>
      <w:pPr>
        <w:spacing w:after="0" w:line="170" w:lineRule="exact"/>
        <w:rPr>
          <w:sz w:val="20"/>
          <w:szCs w:val="20"/>
          <w:color w:val="auto"/>
        </w:rPr>
      </w:pPr>
    </w:p>
    <w:p>
      <w:pPr>
        <w:ind w:left="1300" w:hanging="401"/>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samples that we receive that meet the medical indication for each test performed;</w:t>
      </w:r>
    </w:p>
    <w:p>
      <w:pPr>
        <w:spacing w:after="0" w:line="23" w:lineRule="exact"/>
        <w:rPr>
          <w:rFonts w:ascii="Arial" w:cs="Arial" w:eastAsia="Arial" w:hAnsi="Arial"/>
          <w:sz w:val="18"/>
          <w:szCs w:val="18"/>
          <w:color w:val="auto"/>
        </w:rPr>
      </w:pPr>
    </w:p>
    <w:p>
      <w:pPr>
        <w:ind w:left="1300" w:hanging="401"/>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quantity and quality of the sample received;</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receipt of the necessary documentation, such as physician order and patient consent, required to perform, bill and collect for our tests;</w:t>
      </w:r>
    </w:p>
    <w:p>
      <w:pPr>
        <w:spacing w:after="0" w:line="20" w:lineRule="exact"/>
        <w:rPr>
          <w:rFonts w:ascii="Arial" w:cs="Arial" w:eastAsia="Arial" w:hAnsi="Arial"/>
          <w:sz w:val="17"/>
          <w:szCs w:val="17"/>
          <w:color w:val="auto"/>
        </w:rPr>
      </w:pPr>
    </w:p>
    <w:p>
      <w:pPr>
        <w:ind w:left="1300" w:hanging="401"/>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patient's ability to pay or provide necessary insurance coverage for the tests performed;</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 it takes us to perform our tests and report the results; and</w:t>
      </w:r>
    </w:p>
    <w:p>
      <w:pPr>
        <w:spacing w:after="0" w:line="9" w:lineRule="exact"/>
        <w:rPr>
          <w:rFonts w:ascii="Arial" w:cs="Arial" w:eastAsia="Arial" w:hAnsi="Arial"/>
          <w:sz w:val="18"/>
          <w:szCs w:val="18"/>
          <w:color w:val="auto"/>
        </w:rPr>
      </w:pPr>
    </w:p>
    <w:p>
      <w:pPr>
        <w:ind w:left="1300" w:hanging="401"/>
        <w:spacing w:after="0" w:line="261"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seasonality inherent in our business, such as the impact of work days per period, timing of industry conferences and the timing of when patient deductibles are exceeded, which also impacts the reimbursement we receive from insurers.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generate substantially all our revenue from genomic testing services, including the rendering of a cytopathology diagnosis as part of the Afirma solution. We do not accrue revenue for tests performed and reported that do not meet our accrual criteria. For the Afirma classifier, we do not accrue revenue for approximately 5%-10% of the tests that we perform and report as complete due principally to insufficient RNA from which to render a result and tests performed for which we do not reasonably expect to be paid. For tests that we perform that do not meet our accrual criteria, we recognize revenue upon cash receipt.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our Products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will increase as more payers make a positive coverage decision and as payers enter into contracts with us, which should enhance our accrued revenue and cash collections. To drive increased adoption of Afirma, we increased our sales force over the last several years, along with increasing our marketing efforts. We have hired institutional channel managers to focus on the institutional segment, where accounts generally send us fine needle aspirations, or FNAs, for the Afirma genomic classifier only, and account managers, dedicated to serving existing accounts, thereby freeing up our product specialists to focus on transacting new business. If we are unable to expand the base of prescribing physicians and penetration within these accounts at an acceptable rate, or if we are not able to execute our strategy for increasing reimbursement, we may not be able to effectively increase our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recognize revenue on an accrual basis when we are able to make a reasonable estimate of reimbursement at the time delivery is complete. In the first period in which revenue is accrued for a particular payer or test, there generally is a one-time increase in revenue. Until we have contracts with payers or can reasonably estimate the amount that will ultimately be received, we recognize the related revenue on the cash basis. As we commercialize new products, we will need to be able to make a reasonable estimate of the amount that will ultimately be received from each payer for each new product offering prior to being able to recognize the related revenue on an accrual basis. Because the timing and amount of cash payments received from payers as well as one-time increases in revenue from newly accrued payers are difficult to predict, we expect that our revenue may fluctuate significantly in any given quarter.</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2017, cumulative amounts billed at list price for tests processed which were not recognized as revenue upon delivery of a patient report because our accrual revenue recognition criteria were not met and for which we have not collected cash or written off as uncollectible, totaled approximately $159.8 million.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2016, cumulative amounts billed at list price for tests processed which were not recognized as revenue upon delivery of a patient report because our accrual revenue recognition criteria were not met and for which we have not collected cash or written off as uncollectible, totaled $161.2 million. Of this amount, we recognized revenue of approximately $0.7 million and $1.9 million in the three and six months ended June 30, 2017, respectively, when cash was received.</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revenue from previously performed but unpaid tests. Revenue from these tests, if any, may not be equal to the billed amount due to a number of factors, including differences in reimbursement rates, the amounts of patient co-payments and co-insurance, the existence of secondary payers and claims denials. Finally, when we increase our list price, as we did in July 2015, it will increase the cumulative amounts billed.</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calculate the average Afirma genomic classifier reimbursement from all payers, whether they are on the cash or an accrual basis, for tests that are on average a year old, since it can take a significant period of time to collect from some payers. We use an average of reimbursement for tests provided over two quarters as it reduces the effects of temporary volatility and seasonal effects. Thus the average reimbursement per Afirma genomic classifier represents the total cash collected to date against Afirma genomic classifier tests performed during the relevant period divided by the number of these tests performed during that same period.</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average Afirma genomic classifier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For the quarter ended June 30, 2017, on average we accrued between $2,400 and $2,500 for the Afirma genomic classifier tests that met our revenue recognition standard, which was between 90% - 95% of the reported Afirma classifier test volume.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Over the eight quarters ended June 30, 2017, we generated between $1.7 to $2.7 million in revenue per quarter from providing cytopathology services associated with our Afirma solution.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 Accordingly, any revenue that we recognize as a result of cash collection in respect of previously performed but unpaid tests will favorably impact our liquidity and results of operations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currently rely on sales of Afirma to generate all of our revenue. In May 2014, we commercially launched our Afirma Malignancy Classifiers, which we believe enhances our Afirma Thyroid FNA Analysis as a comprehensive way to manage thyroid nodule patients and serve our current base of prescribing physicians. We are also pursuing development or acquisition of products for additional diseases to increase and diversify our revenue. We launched the Percepta classifier in April 2015. Additionally, we introduced in October 2016 a solution for diagnosing interstitial lung disease, our Envisia Genomic Classifier, that will offer an alternative to surgery by developing a genomic signature to classify samples collected through less invasive bronchoscopy techniques. We expect to continue to invest heavily in research and development in order to expand the capabilities of our solutions and to develop additional products. Our success in developing or acquiring new products will be important in our efforts to grow our business by expanding the potential market for our products and diversifying our sources of revenue.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Genzyme Co-promotion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January 2012 through September 9, 2016, we were party to a Co-Promotion Agreement with Genzyme to market the Afirma solution in the United States. The agreement required that we pay a certain percentage of our cash receipts from the sale of the Afirma solution to Genzyme, which percentage decreased over time. We received a $10.0 million upfront co-promotion fee from Genzyme under the Co-Promotion Agreement, which we deferred and amortized over the life of the agreement until the agreement was terminated effective September 9, 2016. The final payments totaling $4.0 million under the Agreement were made in September 2016.</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ex-U.S. agreement with Genzyme, we agreed to pay Genzyme 25% of net revenue from the sale of the Afirma solution in Brazil and Singapore over a five-year period commencing January 1, 2015. Effective July 6, 2017, the agreement was terminated.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Through June 30, 2017, all of our revenue has been derived from the sale of Afirma. To date, Afirma has been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in excess of 10% of revenue and their related revenue as a percentage of total revenue were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260" w:type="dxa"/>
            <w:vAlign w:val="bottom"/>
            <w:gridSpan w:val="4"/>
          </w:tcPr>
          <w:p>
            <w:pPr>
              <w:ind w:left="660"/>
              <w:spacing w:after="0"/>
              <w:rPr>
                <w:sz w:val="20"/>
                <w:szCs w:val="20"/>
                <w:color w:val="auto"/>
              </w:rPr>
            </w:pPr>
            <w:r>
              <w:rPr>
                <w:rFonts w:ascii="Arial" w:cs="Arial" w:eastAsia="Arial" w:hAnsi="Arial"/>
                <w:sz w:val="14"/>
                <w:szCs w:val="14"/>
                <w:b w:val="1"/>
                <w:bCs w:val="1"/>
                <w:color w:val="auto"/>
              </w:rPr>
              <w:t>Three Months Ended June 30,</w:t>
            </w:r>
          </w:p>
        </w:tc>
        <w:tc>
          <w:tcPr>
            <w:tcW w:w="3160" w:type="dxa"/>
            <w:vAlign w:val="bottom"/>
            <w:gridSpan w:val="3"/>
          </w:tcPr>
          <w:p>
            <w:pPr>
              <w:jc w:val="right"/>
              <w:ind w:right="63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0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000" w:type="dxa"/>
            <w:vAlign w:val="bottom"/>
          </w:tcPr>
          <w:p>
            <w:pPr>
              <w:spacing w:after="0"/>
              <w:rPr>
                <w:sz w:val="24"/>
                <w:szCs w:val="24"/>
                <w:color w:val="auto"/>
              </w:rPr>
            </w:pPr>
          </w:p>
        </w:tc>
        <w:tc>
          <w:tcPr>
            <w:tcW w:w="1520" w:type="dxa"/>
            <w:vAlign w:val="bottom"/>
          </w:tcPr>
          <w:p>
            <w:pPr>
              <w:ind w:left="6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tests performed, we recognize the related revenue upon delivery of a patient report to the prescribing physician based on the amount that we expect to ultimately receive. We determine the amount we expect to ultimately receive based on a per payer, per contract or agreement basis. Upon ultimate collection, the amount received where reimbursement was estimated is compared to previous estimates and the amount accrued is adjusted accordingly. In other situations, where we cannot reasonably estimate the amount that will be ultimately received, we recognize revenue on the cash basis.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we recognize revenue on an accrual basis and later determine the judgments underlying estimated reimbursement change, our financial results could be negatively impacted in future quarters.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components of our cost of revenue are materials and service costs, including cytopathology testing services,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and will increase disproportionately our aggregate cost of revenue until we achieve efficiencies in processing these new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research and development expenses in 2016 for the development and launch of Envisia and for the continued development and support of the Afirma and Percepta tests. For the remainder of 2017, we expect to incur research and development expenses on ongoing evidence development for our Afirma, Percepta and Envisia classifiers.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Selling and marketing expenses consist of personnel costs, including stock-based compensation expense, direct marketing expenses, consulting costs, and allocated overhead including rent, information technology, equipment depreciation and utilities. In addition, co-promotion fees paid to Genzyme, net of amortization of the upfront fee received, are included in selling and marketing expenses through the September 9, 2016 termination date of our U.S. co-promotion agreement. We have expanded our internal sales force and increased our marketing spending as we transitioned out of the Genzyme relationship, and expect that these costs will be offset by the elimination of the co-promotion fee. We have also incurred increased selling and marketing expense as a result of investments in our lung product portfolio and believe total selling and marketing expenses will continue to increase as we launch and promote our new tests.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General and administrative expenses include those from executive, finance and accounting, human resources, legal, billing and client services, and quality and regulatory functions. These expenses include personnel costs, including stock-based compensation expense, audit and legal expenses, consulting costs, costs associated with being a public company, and allocated overhead including rent, information technology, equipment depreciation and utilities. We expect these expenses to continue to increase as we build our general and administration infrastructure and to stabilize thereafter.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Intangible asset amortization began in April 2015 when we launched the Percepta test. The finite-lived intangible asset with a cost of $16.0 million is being amortized over 15 years, using the straight-line method.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attributable to our borrowings under our credit agreement and the loan and security agreement that it replaced.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income (expense), net consists primarily of sublease rental income and interest income received from payers and from our cash equivalents.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and Six Months Ended June 30, 2017 and 2016 (In Thousands of Dollars, Except Percentages and GECs reported)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4"/>
                <w:szCs w:val="14"/>
                <w:b w:val="1"/>
                <w:bCs w:val="1"/>
                <w:color w:val="auto"/>
                <w:w w:val="91"/>
              </w:rPr>
              <w:t>Six Months Ended June 30,</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3,731</w:t>
            </w:r>
          </w:p>
        </w:tc>
        <w:tc>
          <w:tcPr>
            <w:tcW w:w="10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6,613</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23%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w:t>
            </w:r>
          </w:p>
        </w:tc>
        <w:tc>
          <w:tcPr>
            <w:tcW w:w="10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w:t>
            </w:r>
          </w:p>
        </w:tc>
        <w:tc>
          <w:tcPr>
            <w:tcW w:w="1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5%</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3,603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4,267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(664)</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7,633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7,728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6,192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6,071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12,211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12,299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33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25,015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25,169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48,470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w:t>
            </w: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(10,494)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3,885</w:t>
            </w:r>
          </w:p>
        </w:tc>
        <w:tc>
          <w:tcPr>
            <w:tcW w:w="10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(14,126)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6,119</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(30)%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(456)</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40%</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177%</w:t>
            </w: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(11,243)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3,945</w:t>
            </w:r>
          </w:p>
        </w:tc>
        <w:tc>
          <w:tcPr>
            <w:tcW w:w="100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1"/>
              </w:rPr>
              <w:t>(35)%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(15,515)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(21,318)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5,803</w:t>
            </w:r>
          </w:p>
        </w:tc>
        <w:tc>
          <w:tcPr>
            <w:tcW w:w="102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5"/>
              </w:rPr>
              <w:t>(27)%</w:t>
            </w:r>
          </w:p>
        </w:tc>
      </w:tr>
      <w:tr>
        <w:trPr>
          <w:trHeight w:val="210"/>
        </w:trPr>
        <w:tc>
          <w:tcPr>
            <w:tcW w:w="33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Other Operating Data:</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GECs reported</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5,832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668</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12,334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11,184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1,150</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incurred a net loss of $7.3 million and $15.5 million for the three and six months ended June 30, 2017 compared to a net loss of $11.2 million and $21.3 million in the same periods in 2016. As of June 30, 2017, we had an accumulated deficit of $195.6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 increased $3.7 million, or 25%, for the three months ended June 30, 2017 compared to the same period in 2016. The increases were primarily due to additional payers meeting our revenue recognition criteria for accrual and increased adoption of Afirma and the resultant increase in tests delivered. Revenue recognized when cash is received has decreased because payers who were previously recognized on the cash basis have met our revenue recognition criteria and are recognized on an accrual basis.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 increased $6.6 million, or 23%, for the six months ended June 30, 2017 compared to the same period in 2016. The increases were primarily due to additional payers meeting our revenue recognition criteria for accrual and increased adoption of Afirma and the resultant increase in tests delivered. Revenue recognized when cash is received has decreased because payers who were previously recognized on the cash basis have met our revenue recognition criteria and are recognized on an accrual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recognized on the accrual basis and cash basis for the three and six months ended June 30, 2017 and 2016 was as follows (in thousands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8"/>
              </w:rPr>
              <w:t>Three Months 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980" w:type="dxa"/>
            <w:vAlign w:val="bottom"/>
            <w:tcBorders>
              <w:bottom w:val="single" w:sz="8" w:color="auto"/>
            </w:tcBorders>
          </w:tcPr>
          <w:p>
            <w:pPr>
              <w:spacing w:after="0"/>
              <w:rPr>
                <w:sz w:val="16"/>
                <w:szCs w:val="16"/>
                <w:color w:val="auto"/>
              </w:rPr>
            </w:pPr>
          </w:p>
        </w:tc>
      </w:tr>
      <w:tr>
        <w:trPr>
          <w:trHeight w:val="264"/>
        </w:trPr>
        <w:tc>
          <w:tcPr>
            <w:tcW w:w="3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Revenue recognized on the accrual basis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17,611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9,349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32,749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17,575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w w:val="99"/>
              </w:rPr>
              <w:t>Revenue recognized on the cash basis</w:t>
            </w: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5,326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2,089</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10,650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3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18,406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14,675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34,838</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28,225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Prior to July 1, 2016, we accrued less than 50% of the billed Afirma genomic classifier test volume per fiscal period. We believed we did not have a consistent enough payment history to accrue the remaining Afirma genomic classifier tests delivered to customers and, as noted above, recognized revenue on the cash basis for such tests. We have been analyzing the amounts received for tests performed since commercialization, and during the quarter ended September 30, 2016, sufficient information developed to support a reasonable estimate of the amount of revenue to accrue upon test delivery for a number of payers that had been previously recognized on the cash basis. As a result, starting in the quarter ended September 30, 2016, we began accruing substantially all of our billed Afirma genomic classifier test volume. In determining the amount to accrue for a particular test, we considered factors such as payer coverage, whether there is a reimbursement contract between the payer and us, timeliness of payment, payment as a percentage of agreed upon rate (if applicable), amount paid per test and any current developments or changes that could impact reimbursement. As a result, we recognized $3.5 million of incremental revenue during the quarter ended September 30, 2016 upon test delivery that previously would not have been recognized until cash was received. Tests performed prior to July 1, 2016 that did not meet our accrual criteria at the time of delivery will continue to be recognized as revenue on the cash basis. In the quarter ended June 30, 2017, as a result of the related cash collections being higher than previously estimated and cash collection trends, we updated our revenue estimates and recognized an additional $1.0 million of revenue for certain tests performed in the six months ended December 31,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2017 and 2016 is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4"/>
                <w:szCs w:val="14"/>
                <w:b w:val="1"/>
                <w:bCs w:val="1"/>
                <w:color w:val="auto"/>
                <w:w w:val="91"/>
              </w:rPr>
              <w:t>Six Months Ended June 30,</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b w:val="1"/>
                <w:bCs w:val="1"/>
                <w:color w:val="auto"/>
                <w:w w:val="97"/>
              </w:rPr>
              <w:t>Change</w:t>
            </w:r>
          </w:p>
        </w:tc>
        <w:tc>
          <w:tcPr>
            <w:tcW w:w="100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3"/>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rPr>
              <w:t>%</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2"/>
              </w:rPr>
              <w:t>Reagents, chips, consumables and related</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costs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2,801</w:t>
            </w:r>
          </w:p>
        </w:tc>
        <w:tc>
          <w:tcPr>
            <w:tcW w:w="1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2,314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487</w:t>
            </w:r>
          </w:p>
        </w:tc>
        <w:tc>
          <w:tcPr>
            <w:tcW w:w="1000" w:type="dxa"/>
            <w:vAlign w:val="bottom"/>
            <w:gridSpan w:val="2"/>
          </w:tcPr>
          <w:p>
            <w:pPr>
              <w:jc w:val="center"/>
              <w:ind w:left="33"/>
              <w:spacing w:after="0"/>
              <w:rPr>
                <w:sz w:val="20"/>
                <w:szCs w:val="20"/>
                <w:color w:val="auto"/>
              </w:rPr>
            </w:pPr>
            <w:r>
              <w:rPr>
                <w:rFonts w:ascii="Arial" w:cs="Arial" w:eastAsia="Arial" w:hAnsi="Arial"/>
                <w:sz w:val="18"/>
                <w:szCs w:val="18"/>
                <w:color w:val="auto"/>
                <w:w w:val="88"/>
              </w:rPr>
              <w:t>21%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4,606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603</w:t>
            </w:r>
          </w:p>
        </w:tc>
        <w:tc>
          <w:tcPr>
            <w:tcW w:w="1020" w:type="dxa"/>
            <w:vAlign w:val="bottom"/>
            <w:gridSpan w:val="2"/>
          </w:tcPr>
          <w:p>
            <w:pPr>
              <w:jc w:val="center"/>
              <w:ind w:left="33"/>
              <w:spacing w:after="0"/>
              <w:rPr>
                <w:sz w:val="20"/>
                <w:szCs w:val="20"/>
                <w:color w:val="auto"/>
              </w:rPr>
            </w:pPr>
            <w:r>
              <w:rPr>
                <w:rFonts w:ascii="Arial" w:cs="Arial" w:eastAsia="Arial" w:hAnsi="Arial"/>
                <w:sz w:val="18"/>
                <w:szCs w:val="18"/>
                <w:color w:val="auto"/>
                <w:w w:val="94"/>
              </w:rPr>
              <w:t>13%</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Cytopathology fees and related costs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4"/>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2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4"/>
              </w:rPr>
              <w:t>(3)%</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Sample collection</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000" w:type="dxa"/>
            <w:vAlign w:val="bottom"/>
            <w:gridSpan w:val="2"/>
          </w:tcPr>
          <w:p>
            <w:pPr>
              <w:jc w:val="center"/>
              <w:ind w:left="33"/>
              <w:spacing w:after="0"/>
              <w:rPr>
                <w:sz w:val="20"/>
                <w:szCs w:val="20"/>
                <w:color w:val="auto"/>
              </w:rPr>
            </w:pPr>
            <w:r>
              <w:rPr>
                <w:rFonts w:ascii="Arial" w:cs="Arial" w:eastAsia="Arial" w:hAnsi="Arial"/>
                <w:sz w:val="18"/>
                <w:szCs w:val="18"/>
                <w:color w:val="auto"/>
                <w:w w:val="94"/>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1020" w:type="dxa"/>
            <w:vAlign w:val="bottom"/>
            <w:gridSpan w:val="2"/>
          </w:tcPr>
          <w:p>
            <w:pPr>
              <w:jc w:val="center"/>
              <w:ind w:left="13"/>
              <w:spacing w:after="0"/>
              <w:rPr>
                <w:sz w:val="20"/>
                <w:szCs w:val="20"/>
                <w:color w:val="auto"/>
              </w:rPr>
            </w:pPr>
            <w:r>
              <w:rPr>
                <w:rFonts w:ascii="Arial" w:cs="Arial" w:eastAsia="Arial" w:hAnsi="Arial"/>
                <w:sz w:val="18"/>
                <w:szCs w:val="18"/>
                <w:color w:val="auto"/>
                <w:w w:val="94"/>
              </w:rPr>
              <w:t>(7)%</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labor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w:t>
            </w:r>
          </w:p>
        </w:tc>
        <w:tc>
          <w:tcPr>
            <w:tcW w:w="10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88"/>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102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2"/>
              </w:rPr>
              <w:t>3%</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115</w:t>
            </w:r>
          </w:p>
        </w:tc>
        <w:tc>
          <w:tcPr>
            <w:tcW w:w="1000" w:type="dxa"/>
            <w:vAlign w:val="bottom"/>
            <w:gridSpan w:val="2"/>
          </w:tcPr>
          <w:p>
            <w:pPr>
              <w:jc w:val="center"/>
              <w:ind w:left="33"/>
              <w:spacing w:after="0"/>
              <w:rPr>
                <w:sz w:val="20"/>
                <w:szCs w:val="20"/>
                <w:color w:val="auto"/>
              </w:rPr>
            </w:pPr>
            <w:r>
              <w:rPr>
                <w:rFonts w:ascii="Arial" w:cs="Arial" w:eastAsia="Arial" w:hAnsi="Arial"/>
                <w:sz w:val="18"/>
                <w:szCs w:val="18"/>
                <w:color w:val="auto"/>
                <w:w w:val="88"/>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221</w:t>
            </w:r>
          </w:p>
        </w:tc>
        <w:tc>
          <w:tcPr>
            <w:tcW w:w="1020" w:type="dxa"/>
            <w:vAlign w:val="bottom"/>
            <w:gridSpan w:val="2"/>
          </w:tcPr>
          <w:p>
            <w:pPr>
              <w:jc w:val="center"/>
              <w:ind w:left="33"/>
              <w:spacing w:after="0"/>
              <w:rPr>
                <w:sz w:val="20"/>
                <w:szCs w:val="20"/>
                <w:color w:val="auto"/>
              </w:rPr>
            </w:pPr>
            <w:r>
              <w:rPr>
                <w:rFonts w:ascii="Arial" w:cs="Arial" w:eastAsia="Arial" w:hAnsi="Arial"/>
                <w:sz w:val="18"/>
                <w:szCs w:val="18"/>
                <w:color w:val="auto"/>
                <w:w w:val="94"/>
              </w:rPr>
              <w:t>14%</w:t>
            </w: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659</w:t>
            </w:r>
          </w:p>
        </w:tc>
        <w:tc>
          <w:tcPr>
            <w:tcW w:w="10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88"/>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12,580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677</w:t>
            </w:r>
          </w:p>
        </w:tc>
        <w:tc>
          <w:tcPr>
            <w:tcW w:w="102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2"/>
              </w:rPr>
              <w:t>5%</w:t>
            </w: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Cost of revenue increased $659,000, or 10%, for the three months ended June 30, 2017 compared to the same period in 2016. Given our corporate focus on Afirma genomic classifier growth, Afirma classifier tests increased by 11%, offsetting a 5% decrease in cytopathology tests. The increase in reagents, chips, consumables and related costs is associated primarily with increased Afirma classifier test volume and the related commission expense to a supplier. The decrease in cytopathology fees is related to the volume decrease in FNA samples processed. The decrease in sample collection costs is primarily related to a decrease in overall volume of samples. The increase in direct labor is associated with the mix shift to relatively more Afirma classifier versus cytopathology tests, as more labor hours are incurred on Afirma classifier tests compared to cytopathology tests and at a higher average employee cost, and an average laboratory headcount increase of 14%, partially offset by a reassignment of certain lab personnel as indirect labor, which is included in other costs. Other costs are primarily indirect costs, such as facilities allocation, depreciation and equipment maintenance, which increased as a result of the reassignment of certain lab personnel as indirect labor, and increased equipment related expenses.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Cost of revenue increased $677,000, or 5%, for the six months ended June 30, 2017 compared to the same period in 2016. Given our corporate focus on Afirma genomic classifier growth, Afirma classifier tests increased by 10%, offsetting a 6% decrease in cytopathology tests. The increase in reagents, chips, consumables and related costs is associated primarily with increased Afirma classifier test volume and the related commission expense to a supplier. The decrease in cytopathology fees is related to the volume decrease in FNA samples processed. The decrease in sample collection costs is primarily related to a decrease in overall volume of samples. The increase in direct labor is associated with the mix shift to relatively more Afirma classifier versus cytopathology tests, as more labor hours are incurred on Afirma classifier tests compared to cytopathology tests and at a higher average employee cost, and an average lab headcount increase of 13%, partially offset by a reassignment of certain lab personnel as indirect labor, which is included in other costs. Other costs are primarily indirect costs, such as facilities allocation, depreciation and equipment maintenance, which increased as a result of the reassignment of certain lab personnel as indirect labor, and increased equipment related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2017 and 2016 is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4"/>
                <w:szCs w:val="14"/>
                <w:b w:val="1"/>
                <w:bCs w:val="1"/>
                <w:color w:val="auto"/>
                <w:w w:val="91"/>
              </w:rPr>
              <w:t>Six Months Ended June 30,</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b w:val="1"/>
                <w:bCs w:val="1"/>
                <w:color w:val="auto"/>
                <w:w w:val="97"/>
              </w:rPr>
              <w:t>Change</w:t>
            </w:r>
          </w:p>
        </w:tc>
        <w:tc>
          <w:tcPr>
            <w:tcW w:w="100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3"/>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rPr>
              <w:t>%</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Personnel-related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129</w:t>
            </w:r>
          </w:p>
        </w:tc>
        <w:tc>
          <w:tcPr>
            <w:tcW w:w="1000" w:type="dxa"/>
            <w:vAlign w:val="bottom"/>
            <w:gridSpan w:val="2"/>
          </w:tcPr>
          <w:p>
            <w:pPr>
              <w:jc w:val="center"/>
              <w:ind w:left="34"/>
              <w:spacing w:after="0"/>
              <w:rPr>
                <w:sz w:val="20"/>
                <w:szCs w:val="20"/>
                <w:color w:val="auto"/>
              </w:rPr>
            </w:pPr>
            <w:r>
              <w:rPr>
                <w:rFonts w:ascii="Arial" w:cs="Arial" w:eastAsia="Arial" w:hAnsi="Arial"/>
                <w:sz w:val="18"/>
                <w:szCs w:val="18"/>
                <w:color w:val="auto"/>
                <w:w w:val="92"/>
              </w:rPr>
              <w:t>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427</w:t>
            </w:r>
          </w:p>
        </w:tc>
        <w:tc>
          <w:tcPr>
            <w:tcW w:w="1020" w:type="dxa"/>
            <w:vAlign w:val="bottom"/>
            <w:gridSpan w:val="2"/>
          </w:tcPr>
          <w:p>
            <w:pPr>
              <w:jc w:val="center"/>
              <w:ind w:left="33"/>
              <w:spacing w:after="0"/>
              <w:rPr>
                <w:sz w:val="20"/>
                <w:szCs w:val="20"/>
                <w:color w:val="auto"/>
              </w:rPr>
            </w:pPr>
            <w:r>
              <w:rPr>
                <w:rFonts w:ascii="Arial" w:cs="Arial" w:eastAsia="Arial" w:hAnsi="Arial"/>
                <w:sz w:val="18"/>
                <w:szCs w:val="18"/>
                <w:color w:val="auto"/>
                <w:w w:val="94"/>
              </w:rPr>
              <w:t>13%</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00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88"/>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0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4"/>
              </w:rPr>
              <w:t>14%</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2"/>
              </w:rPr>
              <w:t>Direct research and development expense</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(830)</w:t>
            </w:r>
          </w:p>
        </w:tc>
        <w:tc>
          <w:tcPr>
            <w:tcW w:w="1000" w:type="dxa"/>
            <w:vAlign w:val="bottom"/>
            <w:gridSpan w:val="2"/>
          </w:tcPr>
          <w:p>
            <w:pPr>
              <w:jc w:val="center"/>
              <w:ind w:left="34"/>
              <w:spacing w:after="0"/>
              <w:rPr>
                <w:sz w:val="20"/>
                <w:szCs w:val="20"/>
                <w:color w:val="auto"/>
              </w:rPr>
            </w:pPr>
            <w:r>
              <w:rPr>
                <w:rFonts w:ascii="Arial" w:cs="Arial" w:eastAsia="Arial" w:hAnsi="Arial"/>
                <w:sz w:val="18"/>
                <w:szCs w:val="18"/>
                <w:color w:val="auto"/>
                <w:w w:val="91"/>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(647)</w:t>
            </w:r>
          </w:p>
        </w:tc>
        <w:tc>
          <w:tcPr>
            <w:tcW w:w="1020" w:type="dxa"/>
            <w:vAlign w:val="bottom"/>
            <w:gridSpan w:val="2"/>
          </w:tcPr>
          <w:p>
            <w:pPr>
              <w:jc w:val="center"/>
              <w:ind w:left="33"/>
              <w:spacing w:after="0"/>
              <w:rPr>
                <w:sz w:val="20"/>
                <w:szCs w:val="20"/>
                <w:color w:val="auto"/>
              </w:rPr>
            </w:pPr>
            <w:r>
              <w:rPr>
                <w:rFonts w:ascii="Arial" w:cs="Arial" w:eastAsia="Arial" w:hAnsi="Arial"/>
                <w:sz w:val="18"/>
                <w:szCs w:val="18"/>
                <w:color w:val="auto"/>
                <w:w w:val="95"/>
              </w:rPr>
              <w:t>(29)%</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02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2"/>
              </w:rPr>
              <w:t>3%</w:t>
            </w:r>
          </w:p>
        </w:tc>
      </w:tr>
      <w:tr>
        <w:trPr>
          <w:trHeight w:val="257"/>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3,603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4,267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0" w:type="dxa"/>
            <w:vAlign w:val="bottom"/>
            <w:gridSpan w:val="2"/>
          </w:tcPr>
          <w:p>
            <w:pPr>
              <w:jc w:val="center"/>
              <w:ind w:left="34"/>
              <w:spacing w:after="0"/>
              <w:rPr>
                <w:sz w:val="20"/>
                <w:szCs w:val="20"/>
                <w:color w:val="auto"/>
              </w:rPr>
            </w:pPr>
            <w:r>
              <w:rPr>
                <w:rFonts w:ascii="Arial" w:cs="Arial" w:eastAsia="Arial" w:hAnsi="Arial"/>
                <w:sz w:val="18"/>
                <w:szCs w:val="18"/>
                <w:color w:val="auto"/>
                <w:w w:val="91"/>
              </w:rPr>
              <w:t>(16)%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7,633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7,728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20" w:type="dxa"/>
            <w:vAlign w:val="bottom"/>
            <w:gridSpan w:val="2"/>
          </w:tcPr>
          <w:p>
            <w:pPr>
              <w:jc w:val="center"/>
              <w:ind w:left="13"/>
              <w:spacing w:after="0"/>
              <w:rPr>
                <w:sz w:val="20"/>
                <w:szCs w:val="20"/>
                <w:color w:val="auto"/>
              </w:rPr>
            </w:pPr>
            <w:r>
              <w:rPr>
                <w:rFonts w:ascii="Arial" w:cs="Arial" w:eastAsia="Arial" w:hAnsi="Arial"/>
                <w:sz w:val="18"/>
                <w:szCs w:val="18"/>
                <w:color w:val="auto"/>
                <w:w w:val="94"/>
              </w:rPr>
              <w:t>(1)%</w:t>
            </w: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Research and development expense decreased $664,000 or 16%, for the three months ended June 30, 2017 compared to the same period in 2016. Personnel-related expense increased, primarily due to a 10% increase in average headcount, and stock-based compensation expense increased, reflecting option grants to new and existing employees. These increases were offset by a decrease in direct research and development expense, which was primarily due to a lesser amount of materials purchased for research and development experiments following the completion of several major projects.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expense decreased $95,000 or 1%, for the six months ended June 30, 2017 compared to the same period in 2016. Personnel-related expense increased, primarily due to a 16% increase in average headcount, and stock-based compensation expense increased, reflecting option grants to new and existing employees. Direct research and development expense decreased primarily due to a lesser amount of materials purchased for research and development experiments following the completion of several major projects. Other expense increased primarily as a result of increased miscellaneous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2017 and 2016 is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4"/>
                <w:szCs w:val="14"/>
                <w:b w:val="1"/>
                <w:bCs w:val="1"/>
                <w:color w:val="auto"/>
                <w:w w:val="91"/>
              </w:rPr>
              <w:t>Six Months Ended June 30,</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b w:val="1"/>
                <w:bCs w:val="1"/>
                <w:color w:val="auto"/>
              </w:rPr>
              <w:t>Change</w:t>
            </w:r>
          </w:p>
        </w:tc>
        <w:tc>
          <w:tcPr>
            <w:tcW w:w="100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3"/>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rPr>
              <w:t>%</w:t>
            </w:r>
          </w:p>
        </w:tc>
      </w:tr>
      <w:tr>
        <w:trPr>
          <w:trHeight w:val="236"/>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 expense: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Genzyme co-promotion expense,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(1,886)</w:t>
            </w:r>
          </w:p>
        </w:tc>
        <w:tc>
          <w:tcPr>
            <w:tcW w:w="1000" w:type="dxa"/>
            <w:vAlign w:val="bottom"/>
            <w:gridSpan w:val="2"/>
          </w:tcPr>
          <w:p>
            <w:pPr>
              <w:jc w:val="center"/>
              <w:ind w:left="13"/>
              <w:spacing w:after="0"/>
              <w:rPr>
                <w:sz w:val="20"/>
                <w:szCs w:val="20"/>
                <w:color w:val="auto"/>
              </w:rPr>
            </w:pPr>
            <w:r>
              <w:rPr>
                <w:rFonts w:ascii="Arial" w:cs="Arial" w:eastAsia="Arial" w:hAnsi="Arial"/>
                <w:sz w:val="18"/>
                <w:szCs w:val="18"/>
                <w:color w:val="auto"/>
                <w:w w:val="92"/>
              </w:rPr>
              <w:t>(100)%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3,512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(3,509)</w:t>
            </w:r>
          </w:p>
        </w:tc>
        <w:tc>
          <w:tcPr>
            <w:tcW w:w="1020" w:type="dxa"/>
            <w:vAlign w:val="bottom"/>
            <w:gridSpan w:val="2"/>
          </w:tcPr>
          <w:p>
            <w:pPr>
              <w:jc w:val="center"/>
              <w:ind w:left="33"/>
              <w:spacing w:after="0"/>
              <w:rPr>
                <w:sz w:val="20"/>
                <w:szCs w:val="20"/>
                <w:color w:val="auto"/>
              </w:rPr>
            </w:pPr>
            <w:r>
              <w:rPr>
                <w:rFonts w:ascii="Arial" w:cs="Arial" w:eastAsia="Arial" w:hAnsi="Arial"/>
                <w:sz w:val="18"/>
                <w:szCs w:val="18"/>
                <w:color w:val="auto"/>
                <w:w w:val="92"/>
              </w:rPr>
              <w:t>(100)%</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Personnel-related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579</w:t>
            </w:r>
          </w:p>
        </w:tc>
        <w:tc>
          <w:tcPr>
            <w:tcW w:w="10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88"/>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1,499</w:t>
            </w:r>
          </w:p>
        </w:tc>
        <w:tc>
          <w:tcPr>
            <w:tcW w:w="10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4"/>
              </w:rPr>
              <w:t>19%</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000" w:type="dxa"/>
            <w:vAlign w:val="bottom"/>
            <w:gridSpan w:val="2"/>
          </w:tcPr>
          <w:p>
            <w:pPr>
              <w:jc w:val="center"/>
              <w:ind w:left="33"/>
              <w:spacing w:after="0"/>
              <w:rPr>
                <w:sz w:val="20"/>
                <w:szCs w:val="20"/>
                <w:color w:val="auto"/>
              </w:rPr>
            </w:pPr>
            <w:r>
              <w:rPr>
                <w:rFonts w:ascii="Arial" w:cs="Arial" w:eastAsia="Arial" w:hAnsi="Arial"/>
                <w:sz w:val="18"/>
                <w:szCs w:val="18"/>
                <w:color w:val="auto"/>
                <w:w w:val="88"/>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1020" w:type="dxa"/>
            <w:vAlign w:val="bottom"/>
            <w:gridSpan w:val="2"/>
          </w:tcPr>
          <w:p>
            <w:pPr>
              <w:jc w:val="center"/>
              <w:ind w:left="13"/>
              <w:spacing w:after="0"/>
              <w:rPr>
                <w:sz w:val="20"/>
                <w:szCs w:val="20"/>
                <w:color w:val="auto"/>
              </w:rPr>
            </w:pPr>
            <w:r>
              <w:rPr>
                <w:rFonts w:ascii="Arial" w:cs="Arial" w:eastAsia="Arial" w:hAnsi="Arial"/>
                <w:sz w:val="18"/>
                <w:szCs w:val="18"/>
                <w:color w:val="auto"/>
                <w:w w:val="92"/>
              </w:rPr>
              <w:t>9%</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w:t>
            </w:r>
          </w:p>
        </w:tc>
        <w:tc>
          <w:tcPr>
            <w:tcW w:w="10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88"/>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1,512</w:t>
            </w:r>
          </w:p>
        </w:tc>
        <w:tc>
          <w:tcPr>
            <w:tcW w:w="10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4"/>
              </w:rPr>
              <w:t>99%</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302</w:t>
            </w:r>
          </w:p>
        </w:tc>
        <w:tc>
          <w:tcPr>
            <w:tcW w:w="1000" w:type="dxa"/>
            <w:vAlign w:val="bottom"/>
            <w:gridSpan w:val="2"/>
          </w:tcPr>
          <w:p>
            <w:pPr>
              <w:jc w:val="center"/>
              <w:ind w:left="33"/>
              <w:spacing w:after="0"/>
              <w:rPr>
                <w:sz w:val="20"/>
                <w:szCs w:val="20"/>
                <w:color w:val="auto"/>
              </w:rPr>
            </w:pPr>
            <w:r>
              <w:rPr>
                <w:rFonts w:ascii="Arial" w:cs="Arial" w:eastAsia="Arial" w:hAnsi="Arial"/>
                <w:sz w:val="18"/>
                <w:szCs w:val="18"/>
                <w:color w:val="auto"/>
                <w:w w:val="88"/>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426</w:t>
            </w:r>
          </w:p>
        </w:tc>
        <w:tc>
          <w:tcPr>
            <w:tcW w:w="1020" w:type="dxa"/>
            <w:vAlign w:val="bottom"/>
            <w:gridSpan w:val="2"/>
          </w:tcPr>
          <w:p>
            <w:pPr>
              <w:jc w:val="center"/>
              <w:ind w:left="33"/>
              <w:spacing w:after="0"/>
              <w:rPr>
                <w:sz w:val="20"/>
                <w:szCs w:val="20"/>
                <w:color w:val="auto"/>
              </w:rPr>
            </w:pPr>
            <w:r>
              <w:rPr>
                <w:rFonts w:ascii="Arial" w:cs="Arial" w:eastAsia="Arial" w:hAnsi="Arial"/>
                <w:sz w:val="18"/>
                <w:szCs w:val="18"/>
                <w:color w:val="auto"/>
                <w:w w:val="94"/>
              </w:rPr>
              <w:t>28%</w:t>
            </w: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7,994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8,263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4"/>
              </w:rPr>
              <w:t>(3)%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15,330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15,329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72"/>
              <w:spacing w:after="0"/>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Selling and marketing expense decreased $269,000, or 3%, for the three months ended June 30, 2017 compared to the same period in 2016. The decrease in Genzyme co-promotion expense, net, reflects the termination of the Genzyme co-promotion agreement effective September 9, 2016. The increase in personnel-related expense was primarily due to an 18% increase in average headcount mainly from increases of our sales and marketing personnel due to the termination of the Genzyme co-promotion agreement, as well as increased commissions. The increase in stock-based compensation expense reflects option grants to new and existing employees. The increase in direct marketing expense was due to corporate rebranding expenses, and the increase in other expense was mainly due to higher consulting spend on marketing initiatives.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Selling and marketing expense was flat for the six months ended June 30, 2017 compared to the same period in 2016. The decrease in Genzyme co-promotion expense, net, reflects the termination of the Genzyme co-promotion agreement effective September 9, 2016. The increase in personnel-related expense was primarily due to a 22% increase in average headcount mainly from increases of our sales and marketing personnel due to the termination of the Genzyme co-promotion agreement, as well as increased commissions. The increase in stock-based compensation expense reflects option grants to new and existing employees. The increase in direct marketing expense was due to corporate rebranding expenses, and the increase in other expense was mainly due to higher consulting spend on marketing initiatives.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2017 and 2016 is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4"/>
                <w:szCs w:val="14"/>
                <w:b w:val="1"/>
                <w:bCs w:val="1"/>
                <w:color w:val="auto"/>
                <w:w w:val="91"/>
              </w:rPr>
              <w:t>Six Months Ended June 30,</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b w:val="1"/>
                <w:bCs w:val="1"/>
                <w:color w:val="auto"/>
                <w:w w:val="97"/>
              </w:rPr>
              <w:t>Change</w:t>
            </w:r>
          </w:p>
        </w:tc>
        <w:tc>
          <w:tcPr>
            <w:tcW w:w="100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3"/>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rPr>
              <w:t>%</w:t>
            </w:r>
          </w:p>
        </w:tc>
      </w:tr>
      <w:tr>
        <w:trPr>
          <w:trHeight w:val="236"/>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Personnel-related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3,366</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3,411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1000" w:type="dxa"/>
            <w:vAlign w:val="bottom"/>
            <w:gridSpan w:val="2"/>
          </w:tcPr>
          <w:p>
            <w:pPr>
              <w:jc w:val="center"/>
              <w:ind w:left="33"/>
              <w:spacing w:after="0"/>
              <w:rPr>
                <w:sz w:val="20"/>
                <w:szCs w:val="20"/>
                <w:color w:val="auto"/>
              </w:rPr>
            </w:pPr>
            <w:r>
              <w:rPr>
                <w:rFonts w:ascii="Arial" w:cs="Arial" w:eastAsia="Arial" w:hAnsi="Arial"/>
                <w:sz w:val="18"/>
                <w:szCs w:val="18"/>
                <w:color w:val="auto"/>
                <w:w w:val="94"/>
              </w:rPr>
              <w:t>(1)%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6,689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6,437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252</w:t>
            </w:r>
          </w:p>
        </w:tc>
        <w:tc>
          <w:tcPr>
            <w:tcW w:w="1020" w:type="dxa"/>
            <w:vAlign w:val="bottom"/>
            <w:gridSpan w:val="2"/>
          </w:tcPr>
          <w:p>
            <w:pPr>
              <w:jc w:val="center"/>
              <w:ind w:left="13"/>
              <w:spacing w:after="0"/>
              <w:rPr>
                <w:sz w:val="20"/>
                <w:szCs w:val="20"/>
                <w:color w:val="auto"/>
              </w:rPr>
            </w:pPr>
            <w:r>
              <w:rPr>
                <w:rFonts w:ascii="Arial" w:cs="Arial" w:eastAsia="Arial" w:hAnsi="Arial"/>
                <w:sz w:val="18"/>
                <w:szCs w:val="18"/>
                <w:color w:val="auto"/>
                <w:w w:val="92"/>
              </w:rPr>
              <w:t>4%</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1"/>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2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4"/>
              </w:rPr>
              <w:t>(7)%</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Professional fees expense</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185</w:t>
            </w:r>
          </w:p>
        </w:tc>
        <w:tc>
          <w:tcPr>
            <w:tcW w:w="1000" w:type="dxa"/>
            <w:vAlign w:val="bottom"/>
            <w:gridSpan w:val="2"/>
          </w:tcPr>
          <w:p>
            <w:pPr>
              <w:jc w:val="center"/>
              <w:ind w:left="33"/>
              <w:spacing w:after="0"/>
              <w:rPr>
                <w:sz w:val="20"/>
                <w:szCs w:val="20"/>
                <w:color w:val="auto"/>
              </w:rPr>
            </w:pPr>
            <w:r>
              <w:rPr>
                <w:rFonts w:ascii="Arial" w:cs="Arial" w:eastAsia="Arial" w:hAnsi="Arial"/>
                <w:sz w:val="18"/>
                <w:szCs w:val="18"/>
                <w:color w:val="auto"/>
                <w:w w:val="88"/>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1020" w:type="dxa"/>
            <w:vAlign w:val="bottom"/>
            <w:gridSpan w:val="2"/>
          </w:tcPr>
          <w:p>
            <w:pPr>
              <w:jc w:val="center"/>
              <w:ind w:left="13"/>
              <w:spacing w:after="0"/>
              <w:rPr>
                <w:sz w:val="20"/>
                <w:szCs w:val="20"/>
                <w:color w:val="auto"/>
              </w:rPr>
            </w:pPr>
            <w:r>
              <w:rPr>
                <w:rFonts w:ascii="Arial" w:cs="Arial" w:eastAsia="Arial" w:hAnsi="Arial"/>
                <w:sz w:val="18"/>
                <w:szCs w:val="18"/>
                <w:color w:val="auto"/>
                <w:w w:val="92"/>
              </w:rPr>
              <w:t>4%</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 and other facilities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2"/>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5"/>
              </w:rPr>
              <w:t>(25)%</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center"/>
              <w:ind w:left="33"/>
              <w:spacing w:after="0"/>
              <w:rPr>
                <w:sz w:val="20"/>
                <w:szCs w:val="20"/>
                <w:color w:val="auto"/>
              </w:rPr>
            </w:pPr>
            <w:r>
              <w:rPr>
                <w:rFonts w:ascii="Arial" w:cs="Arial" w:eastAsia="Arial" w:hAnsi="Arial"/>
                <w:sz w:val="18"/>
                <w:szCs w:val="18"/>
                <w:color w:val="auto"/>
                <w:w w:val="88"/>
              </w:rPr>
              <w:t>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102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11%</w:t>
            </w: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6,192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10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2"/>
              </w:rPr>
              <w:t>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12,299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2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4"/>
              </w:rPr>
              <w:t>(1)%</w:t>
            </w: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General and administrative expense increased $121,000, or 2%, for the three months ended June 30, 2017 compared to the same period in 2016. The decrease in personnel-related expense was primarily due to higher employee separation costs in the three months ended June 30, 2016, partially offset by an 8% increase in average headcount for the three months ended June 30, 2017 as compared to the same period in 2016. The decrease in stock-based compensation expense was primarily due to higher costs in the three months ended June 30, 2016 from an employee separation-related option modification. The increase in professional fees expense was mainly due to higher legal expenses, and the increase in rent and other facilities expense was due to higher utilities costs. The increase in other expenses was mainly from the maintenance of our information technology infrastructure.</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General and administrative expense decreased $88,000, or 1%, for the six months ended June 30, 2017 compared to the same period in 2016. The increase in personnel-related expense was primarily due to an 8% increase in average headcount for the six months ended June 30, 2017 as compared to the same period in 2016. The decrease in stock-based compensation expense was primarily due to higher costs in the six months ended June 30, 2016 from an employee separation-related option modification. The increase in professional fees expense was mainly due to higher legal expenses offset by lower finance and accounting related expenses. The decrease in rent and other facilities expense was largely due to incurring facilities expenses for the three months ended March 31, 2016 for our current South San Francisco facility, as well as our previous space, for which the lease ended in March 2016. The increase in other expenses was mainly due to higher depreciation expense in the six months ended June 30, 2017 from assets that were placed in service during the six months ended June 30, 2016.</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increased $23,000 for the three months ended June 30, 2017 compared to the same period in 2016 due to our debt principal increasing from our election to pay interest in-kind for the quarters ended June 30, 2016 and September 30,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increased $456,000 for the six months ended June 30, 2017 compared to the same period in 2016 due to higher interest on the term loan of $25.0 million under a credit agreement entered into in March 2016, compared to the interest, end-of-term payment, prepayment penalty and write-off of debt issuance costs on the prior loan and security agreement that was paid off in March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net, increased $83,000 for the three months ended June 30, 2017 compared to the same period in 2016 primarily due to higher interest income from our money market investments.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income, net, increased $140,000 for the six months ended June 30, 2017 compared to the same period in 2016 primarily due to higher interest income from our money market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incurred net losses since our inception. For the six months ended June 30, 2017, we had a net loss of $15.5 million, and we expect to incur additional losses in the remainder of 2017 and at least through 2018. As of June 30, 2017, we had an accumulated deficit of $195.6 million. We may never achieve revenue sufficient to offset our expenses.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our existing cash and cash equivalents of $46.5 million as of June 30, 2017 and our revenue during the next 12 months will be sufficient to meet our anticipated cash requirements for at least the next 12 months.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inception through June 30, 2017, we have received $250.7 million in net proceeds from various sources to finance our operations, including net proceeds of $78.6 million from sales of our preferred stock, net proceeds of $59.2 million from our IPO, net proceeds of $37.3 million from our sale of common stock in a private placement, net proceeds of $32.1 million from our sale of common stock in a public offering, $10.0 million from the Genzyme co-promotion agreement, net borrowings of $4.9 million under our loan and security agreement which was repaid in full in March 2016, net borrowings of $24.5 million under our credit agreement described below, $3.7 million from the exercise of stock options and purchases of stock under our employee stock purchase plan and conversion of accrued interest to long-term debt of $0.4 million.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2016, we entered into a credit agreement, or Credit Agreement, with Visium Healthcare Partners, LP, or Visium. Under the Credit Agreement, two term loans were available to us with an aggregate principal amount of up to $40.0 million. We drew down the initial $25.0 million term loan, or Term Loan, on March 30, 2016. On or prior to June 30, 2017, we were permitted to request a second term loan of up to $15.0 million; however, we did not draw down the second term loan and it expired. The Term Loan matures on March 31,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Loan bears interest at a fixed rate of 12.0% per annum, payable quarterly at the end of each March, June,</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September and December. No principal payments will be due during an interest-only period, commencing on the funding date for the Term Loan, or Borrowing Date, and continuing through and including March 31, 2020. We are obligated to repay the outstanding principal amount under the Term Loan in eight equal installments during the final two years under the Credit Agreement. For any quarterly interest payment through and including the 16th interest payment date after the Borrowing Date, so long as no event of default has occurred and is then continuing, we may elect to pay interest in cash on the outstanding principal amount of the Term Loan at a fixed rate of 9.0%, with the remaining 3.0% of the 12.0% interest paid-in-kind by adding such paid-in-kind interest to the outstanding principal amount of the Term Loan. We elected to pay interest in-kind for the quarters ended June 30, 2016 and September 30, 2016 and have recorded $385,000 of paid-in-kind interest through June 30, 2017.</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may prepay the outstanding principal amount under the Term Loan subject to a minimum of $5.0 million of principal amount or a whole multiple of $1.0 million in excess thereof plus accrued and unpaid interest and a prepayment premium. The prepayment premium will be assessed on the principal amount repaid and will equal (i) 24.0% less the aggregate amount of all interest payments in cash, if the prepayment is made on or prior to March 31, 2018,</w:t>
      </w:r>
    </w:p>
    <w:p>
      <w:pPr>
        <w:jc w:val="both"/>
        <w:ind w:firstLine="8"/>
        <w:spacing w:after="0" w:line="255" w:lineRule="auto"/>
        <w:tabs>
          <w:tab w:leader="none" w:pos="269" w:val="left"/>
        </w:tabs>
        <w:numPr>
          <w:ilvl w:val="0"/>
          <w:numId w:val="8"/>
        </w:numPr>
        <w:rPr>
          <w:rFonts w:ascii="Arial" w:cs="Arial" w:eastAsia="Arial" w:hAnsi="Arial"/>
          <w:sz w:val="18"/>
          <w:szCs w:val="18"/>
          <w:color w:val="auto"/>
        </w:rPr>
      </w:pPr>
      <w:r>
        <w:rPr>
          <w:rFonts w:ascii="Arial" w:cs="Arial" w:eastAsia="Arial" w:hAnsi="Arial"/>
          <w:sz w:val="18"/>
          <w:szCs w:val="18"/>
          <w:color w:val="auto"/>
        </w:rPr>
        <w:t>4.0%, if the prepayment is made after March 31, 2018 and on or prior to March 31, 2019, (iii) 2.0%, if the prepayment is made after March 31, 2019 and on or prior to March 31, 2020, and (iv) 1.0%, if the prepayment is made after March 31, 2020 and on or prior to March 31, 2021. After March 31, 2021 there is no prepayment premium.</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obligations under the Credit Agreement are secured by a security interest in substantially all of our assets. The Credit Agreement contains customary representations, warranties and events of default,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its equity interests, engage in any material new line of business or enter into certain transactions with affiliates, in each case subject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certain exceptions. The Credit Agreement also includes financial covenants requiring minimum cash and cash equivalents balances and minimum revenues. To the extent we form or acquire certain subsidiaries domiciled in the United States, those subsidiaries are required to be guarantors of our obligations under the Credit Agreement. As of June 30, 2017, we were in compliance with the loan covenants.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June 2013, we entered into a loan and security agreement as subsequently amended, or the 2013 Loan Agreement, with a financial institution that provided for borrowings of up to $10.0 million in aggregate. Borrowings under the 2013 Loan Agreement totaled $5.0 million, which was outstanding at January 1, 2015 and into 2016 until such amount was repaid upon us entering into the Credit Agreement discussed above.</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expect that our near- and longer-term liquidity requirements will continue to consist of selling and marketing expenses, research and development expenses, working capital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credit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six months ended June 30, 2017 and 2016 (in thousands of dollars):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19,810</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Cash used in operating activities for the six months ended June 30, 2017 was $13.0 million. The net loss of $15.5 million was offset primarily by $3.2 million of stock-based compensation expense and $1.8 million of depreciation and amortization, which includes $0.3 million of intangible asset amortization. Cash used as a result of changes in operating assets and liabilities of $2.6 million was primarily due to an increase in accounts receivable of $2.3 million, and a net decrease in accounts payable, accrued liabilities and deferred rent of $0.5 million, primarily from the payment of annual bonuses.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used in operating activities for the six months ended June 30, 2016 was $16.3 million. The net loss of $21.3 million includes non-cash charges of $0.7 million in amortization of the deferred fee received from Genzyme, offset primarily by $3.2 million of stock-based compensation expense, $1.7 million of depreciation and amortization, which includes $0.5 million of intangible asset amortization, $0.3 million in interest and prepayment penalty relating to the repayment of our borrowings under our previous loan and security agreement, and $0.2 million from the conversion of accrued interest to long-term debt. Cash generated as a result of changes in operating assets and liabilities of $0.3 million was primarily due to a decrease in supplies inventory of $0.3 million.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investing activities for the six months ended June 30, 2017 was $0.7 million for the acquisition of property and equipment, partially offset by $0.4 million of proceeds from the sale of property and equipment.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investing activities for the six months ended June 30, 2016 was $3.6 million for the acquisition of property and equipment, primarily for the build out of office space and laboratory for our South San Francisco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Cash provided by financing activities for the six months ended June 30, 2017 was $0.5 million, consisting of $0.5 million in proceeds from the purchase of stock under our ESPP and exercise of options to purchase our common stock and $0.2 million in cost reimbursements received related to our issuance of common stock in a public offering in the fourth quarter of 2016, offset by capital lease payments of $0.1 million during the period.</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provided by financing activities for the six months ended June 30, 2016 was $19.8 million. The financing activities for the six months ended June 30, 2016 consisted of $24.5 million of net proceeds from the draw down of the Term Loan and $0.6 million from the exercise of options to purchase our common stock, partially offset by the payment of $5.0 million for the remaining principal balance and a $0.3 million of end-of-term payment and prepayment penalty related to our previous loan and security agreement that we repaid on March 30,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during the interim period in the contractual obligations presented in our Form 10-K for the year ended December 31, 2016 filed with the Securities and Exchange Commission on March 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to supersede nearly all existing revenue recognition guidance under GAAP. The core principle of ASU 2014-09 is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are required under existing GAAP. We will adopt the new revenue standard as of January 1, 2018 using the modified retrospective method. We have completed our assessment of the first three steps of this ASU, which include identifying our customers, identifying our performance obligations, and determining transaction prices. We are currently assessing the remainder of the steps and believe the adoption of this ASU will not have a material impact on either our financial position or results of operations.</w:t>
      </w:r>
    </w:p>
    <w:p>
      <w:pPr>
        <w:spacing w:after="0" w:line="17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In February 2016, the FASB issued ASU No. 2016-2, </w:t>
      </w:r>
      <w:r>
        <w:rPr>
          <w:rFonts w:ascii="Arial" w:cs="Arial" w:eastAsia="Arial" w:hAnsi="Arial"/>
          <w:sz w:val="18"/>
          <w:szCs w:val="18"/>
          <w:i w:val="1"/>
          <w:iCs w:val="1"/>
          <w:color w:val="auto"/>
        </w:rPr>
        <w:t>Leases</w:t>
      </w:r>
      <w:r>
        <w:rPr>
          <w:rFonts w:ascii="Arial" w:cs="Arial" w:eastAsia="Arial" w:hAnsi="Arial"/>
          <w:sz w:val="18"/>
          <w:szCs w:val="18"/>
          <w:color w:val="auto"/>
        </w:rPr>
        <w:t>. This ASU is aimed at making leasing activities more transparent and comparable, and requires substantially all leases be recognized by lessees on their balance sheet as a right-of-use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asset and corresponding lease liability, including leases currently accounted for as operating leases. The ASU will be effective for interim and annual periods beginning after December 15, 2018. Entities are required to use a modified retrospective approach for leases that exist or are entered into after the beginning of the earliest comparative period in the financial statements. Full retrospective application is prohibited and early adoption is permitted. We are currently evaluating the potential effect of this standard on our financial statements.</w:t>
      </w:r>
    </w:p>
    <w:p>
      <w:pPr>
        <w:spacing w:after="0" w:line="190"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16"/>
          <w:szCs w:val="16"/>
          <w:color w:val="auto"/>
        </w:rPr>
        <w:t xml:space="preserve">In March 2016, the FASB issued ASU 2016-9,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related to the tax effects of share-based awards. The ASU requires that all the tax effects of share-based awards be recorded through the income statement, thereby simplifying the current guidance that requires excess tax benefits and certain excess tax deficiencies to be recorded in equity. This ASU also permits an election for the impact of forfeitures on the recognition of expense for share-based payment awards where forfeitures can be estimated or recognized when they occur. This ASU is effective for interim and annual periods beginning after December 15, 2016. We adopted this ASU as of January 1, 2017 and elected to continue using our forfeiture estimation method for share-based payment awards. This ASU was adopted prospectively and the impact of adoption on our financial statements was not material.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 Restricted Cash.</w:t>
      </w:r>
      <w:r>
        <w:rPr>
          <w:rFonts w:ascii="Arial" w:cs="Arial" w:eastAsia="Arial" w:hAnsi="Arial"/>
          <w:sz w:val="18"/>
          <w:szCs w:val="18"/>
          <w:color w:val="auto"/>
        </w:rPr>
        <w:t xml:space="preserve"> This ASU requires that restricted cash and restricted cash equivalents be included with cash and cash equivalents when reconciling the beginning-of-period and end-of-period total amounts shown on the statement of cash flows. The ASU will be effective for interim and annual periods beginning after December 15, 2017. We do not anticipate that the adoption of this ASU will have a significant impact on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We had cash and cash equivalents of $46.5 million as of June 30, 2017 which include bank deposits and money market funds. Such interest-bearing instruments carry a degree of risk; however, a hypothetical 10% change in interest rates during any of the periods presented would not have had a material impact on our unaudited interim condensed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 June 30, 2017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with a history of losses, and we expect to incur net losses for the foreseeable future and may never achieve or sustain profitability.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incurred net losses since our inception. For the six months ended June 30, 2017, we had a net loss of $15.5 million and we expect to incur additional losses for the remainder of 2017 and at least through 2018. As of June 30, 2017, we had an accumulated deficit of $195.6 million. We may never achieve revenue sufficient to offset our expenses. Over the next couple of years, we expect to continue to devote substantially all of our resources to increase adoption of, and reimbursement for our Afirma tests, Percepta, our lung cancer test which we launched in April 2015, Envisia, our test for idiopathic pulmonary fibrosis, or IPF, which we launched in October 2016, and the development of additional tests. We may never achieve or sustain profitability, and our failure to achieve and sustain profitability in the future could cause the market price of our common stock to decline.</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financial results currently depend solely on sales of our Afirma tests, and we will need to generate sufficient revenue from this and other diagnostic solutions to grow our business.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All of our revenue to date has been derived from the sale of our Afirma tests, which are used in the diagnosis of thyroid cancer. Over the next few years, we expect to continue to derive a substantial portion of our revenue from sales of our Afirma tests. In the second half of 2017, we anticipate that we will begin recognizing revenue from the sale of our Percepta test, used in the diagnosis of lung cancer. We also launched our Envisia test to help improve the diagnosis of interstitial lung disease, specifically IPF, in October 2016. Once genomic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positive coverage decisions and therefore, we may never realize revenue 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Afirma, or successfully obtain coverage and reimbursement for our Percepta and Envisia tests or develop and commercialize other solutions, our revenue and our ability to achieve and sustain profitability would be impaired, and the market price of our common stock could decline.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successfully transition to our next-generation Afirma GSC, our business, operating results and competitive position could be harmed.</w:t>
      </w:r>
    </w:p>
    <w:p>
      <w:pPr>
        <w:spacing w:after="0" w:line="2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in the process of transitioning our customers to our next-generation Afirma Genomic Sequencing Classifier, or GSC, that uses a new technology platform for the Afirma genomic classifier testing. There are risks associated with this transition that include, but are not limited to, operational implementation, reimbursement, and customer adoption risks. If we are unable to effectively transition to the new platform, our business, financial condition and results of operations could be adversely effected and our reputation and competitive position could be harmed.</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 for tests performed on patients covered by Medicare and UnitedHealthcare was 26% and 14%, respectively, of our revenue for the six months ended June 30, 2017, compared with 30% and 12%, respectively, for the six months ended June 30, 2016. The percentage of our revenue derived from significant payers is expected to fluctuate from period to period as our revenue increases,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with jurisdiction at that time, issued coverage and payment determinations for the Afirma Gene Expression Classifier, or GEC. On a five-year rotational basis, Medicare requests bids for its regional MAC services. Any future changes in the MAC processing or coding for Medicare claims for the Afirma GEC or Afirma GSC could result in a change in the coverage or reimbursement rates for such products, or the loss of coverage.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1, 2015, a separate CPT code, or Current Procedural Terminology code, for the Afirma GEC was issued. In November 2016, The Centers for Medicare &amp; Medicaid Services, or CMS, revised its final 2017 gapfill rate for the Afirma GEC and determined that the rate of $3,200 per test would be maintained in 2017. A decrease in the current Medicare payment rate for our tests will decrease our revenue from Medicare and may also decrease the payment rates for some of our commercial payers if they tie their allowable rates to the Medicare rate, which could have an adverse effect on our business, financial condition and results of operations.</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Any such actions could have a negative effect on our revenue.</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18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do not have a contracted rate of reimbursement with many payers for the Afirma or Percepta tests, and we do not have any contracted reimbursement with respect to the Envisia test.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expect to continue to focus substantial resources on increasing adoption, coverage and reimbursement for the Afirma classifiers, the Percepta classifier, launched in April 2015, and the Envisia classifier, launched in October 2016, as well as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commercial payers may tie their allowable rates to Medicare rates, and should Medicare reduce their rates as they did with the Afirma test in September 2016, we may be negatively impacted.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our tests.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Our lung products are not yet integrated into practice guidelines and physicians may be reluctant to order tests that are not recommended in these guidelines. Because our diagnostic services are performed by our certified laboratory under the Clinical Laboratory Improvement Amendments of 1988, or CLIA, rather than by the local laboratory or pathology practice, pathologists may be reluctant to support our testing services as well. Guidelines that include our classifiers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For tests performed where we have an agreed upon reimbursement rate or we are able to reasonably estimate the amount that will ultimately be realized at the time delivery of a patient report is complete, such as in the case of Medicare and certain other payers, we recognize the related revenue upon delivery of the patient report to the prescribing physician based on the amount we expect to ultimately realize. We determine the amount we expect to ultimately realize based on a per payer, per contract or agreement basis. In the first period in which revenue is accrued for a particular payer, a one-time increase in revenue generally occurs. Upon ultimate collection, the amount received from Medicare and other payers where reimbursement was estimated is compared to previous estimates and the amount accrued is adjusted accordingly. In situations where we cannot reasonably estimate the amount that will ultimately be collected, we recognize revenue on the cash basis. We cannot be certain as to when we will receive payment for our diagnostic tests, and we must appeal negative payment decisions, which delays collections. Should we recognize revenue from payers on an accrual basis and later determine the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8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rely on sole suppliers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Thyroid Cytopathology Partners, P.A., or TCP, to provide cytopathology professional diagnoses on thyroid fine needle aspiration, or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was effective through December 31, 2015 and automatically renews every year thereafter unless either party provides notice of intent not to renew at least 12 months prior to the end of the then-current term.</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support demand for our commercial tests, our business could suffer.</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Patient Protection and Affordable Care Act, as amended by the Health Care and Education Affordability Reconciliation Act, collectively the ACA, enacted in March 2010, made changes that significantly affected the pharmaceutical and medical device industries and clinical laboratories. Effective January 1, 2013, the ACA included a 2.3% excise tax on the sale of certain medical devices sold outside of the retail setting. Although a moratorium has been imposed on this excise tax for 2016 and 2017, the excise tax is scheduled to be restored in 2018.</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the ACA establishes an Independent Payment Advisory Board, or IPAB, to reduce the per capita rate of growth in Medicare spending. The IPAB has broad discretion to propose policies to reduce expenditures, which may have a negative effect on payment rates for services. The IPAB proposals could have affected payments for clinical laboratory services beginning in 2016 and may affect those for hospital services beginning in 2020. We are monitoring the effect of the ACA to determine the trends and changes that may be necessitated by the legislation, any of which may potentially affect our business.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beginning of 2017, the U.S. Congress and the Administration took actions to repeal the ACA and indicated an intent to replace it with another act and efforts to repeal or amend the ACA are ongoing. We cannot predict if, or when, the ACA will be repealed or amended, and cannot quantify the effect of new legislation on our business.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CMS announced plans to bundle payments for clinical laboratory diagnostic tests together with other services performed during hospital outpatient visits under the Hospital Outpatient Prospective Payment System. For calendar year 2016, CMS maintained an exemption for molecular pathology tests from this bundling provision. It is possible that this exemption could be removed by CMS in future rule making, which might result in lower reimbursement for tests performed in this setting.</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Protecting Access to Medicare Act of 2014, or PAMA, includes a substantial new payment system for clinical laboratory tests under the CLFS. Under PAMA, laboratories that receive the majority of their Medicare revenues from payments made under the CLFS would report initially and then on a subsequent three year basis thereafter (or annually for advanced diagnostic laboratory tests, or ADLTs), private payer payment rates and volumes for their tests. The final PAMA ruling was issued June 17, 2016 indicating that data for reporting for the new PAMA process will begin in 2017 and the new market based rates will take effect January 1, 2018. We submitted the Afirma genomic classifier data required under PAMA before the March 31, 2017 deadline. We believe that the final PAMA regulations are generally favorable to us. The private payer rate will be calculated based on claims whose adjudication is final and will include patient deductible and co-insurance amounts. Additionally, we believe our Afirma genomic classifier as well as our Percepta test, once covered, would be considered ADLTs and that we can determine when to seek ADLT status. We cannot assure you that reimbursement rates under the final regulations for tests like ours will not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of Medicare billing rules, we may not receive reimbursement for all tests provided to Medicare patients.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current Medicare billing rules, payment for our tests performed on Medicare beneficiaries who were hospital inpatients at the time the tissue samples were obtained and whose tests were ordered less than 14 days from discharge must be bundled into the payment that the hospital receives for the inpatient services provided. Medicare billing rules also require hospitals to bill for our tests when ordered for hospital outpatients less than 14 days following the date of the hospital procedure where the tissue samples were obtained. Accordingly, we are required to bill individual hospitals for tests performed on Medicare beneficiaries during these time frames. We cannot ensure that hospitals will pay us for tests performed that fall under these rules. We cannot assure you that Medicare will not change this limitation in the future.</w:t>
      </w:r>
    </w:p>
    <w:p>
      <w:pPr>
        <w:spacing w:after="0" w:line="19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Clinical laboratory tests have long been subject to comprehensive regulations under CLIA, as well as by applicable state laws. Most laboratory developed tests, or LDTs, are not currently subject to regulation by the U.S. Food and Drug Administration, or FDA, although reagents, instruments, software or components provided by third parties and used to perform LDTs may be subject to regulation. While the FDA maintains its authority to regulate LDTs, it has chosen to exercise its enforcement discretion not to regulate LDTs as medical devices. We believe that the Afirma, Percepta and Envisia classifiers are LDTs. In October 2014, the FDA issued draft guidance, entitled "Framework for Regulatory Oversight of LDTs," proposing the phased-in enforcement of premarket review requirements for most LDTs. The framework is similar to previously issued guidance. There is no timeframe in which the FDA must issue final guidance documents. If the guidance were enacted, our tests could be required to comply with FDA regulations applicable to medical devices.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2017, the FDA issued a “Discussion Paper on Laboratory Developed Tests” following input it received from multiple stakeholders who had commented on its 2014 draft guidance. While the FDA specifically states in its Discussion Paper that it does not represent a final version of the LDT draft guidance documents that were published in 2014, it is designed to provide a possible approach to spark further dialogue. The suggested LDT framework could grandfather many types of LDTs without requiring new premarket review or quality management requirements. It also suggests a four-year phased implementation of market authorization requirements for some types of tests.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March 2017, a draft bill titled "The Diagnostics Accuracy and Innovation Act" was released for discussion. The bill proposes a risk-based approach to regulate LDTs and creates a new in vitro clinical test category, which includes LDTs, and a regulatory structure under the FDA. As proposed, the bill grandfathers existing tests and gives companies five years to augment test development pipelines to ensure new tests have the data necessary for FDA approval. We cannot predict if this draft bill will become legislation and cannot quantify the effect of this draft bill on our business.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the FDA were to require us to seek clearance or approval for our existing tests or any of our future products for clinical use, we may not be able to obtain such approvals on a timely basis, or at all. While we believe our current tests would likely qualify for the “grandfathered” tests treatment, there can be no assurance of what the FDA might ultimately require if it issued final guidance. If premarket reviews were required, our business could be negatively impacted if we were required to stop selling our products pending their clearance or approval. In addition, the launch of any new products that we develop could be delayed by the implementation of future FDA guidance. The cost of complying with premarket review requirements, including obtaining 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Some of the materials we use for our tests and that we may use for future tests are labeled for research use only. In November 2013, the FDA finalized guidance regarding the sale and use of products labeled for research or investigational-use only.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misbranded and adulterated within the meaning of the Federal Food, Drug and Cosmetic Act. Some of the reagents, instruments, software or components obtained by us from suppliers for use in our products are currently labeled as research or investigational-use only products. If the FDA were to undertake enforcement actions, some of our suppliers might cease selling research or investigational-use only products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principal competition for our tests comes from traditional methods used by physicians to diagnose and manage patient care decisions. For example, with our Afirma test,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test to change clinical practice.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Rosetta Genomics Ltd., and others who are developing new products or technologies that may compete with our tests. In the future, we may also face competition from companies developing new products or technologies.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the Percepta and Envisia tests, we believe our primary competition will similarly come from traditional methods used by physicians to diagnose the related diseases. For the Percepta test, we expect competition from companies focused on lung cancer such as Integrated Diagnostics, Inc. We also anticipate facing potential competition from companies offering or developing approaches for assessing malignancy risk in patients with lung nodules using alternative samples, such as blood, urine or sputum. However, such “liquid biopsies” are often used earlier in the diagnostic paradigm — for instance, to screen for cancer — or to gauge risk of recurrence or response to treatment.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As a public company located in the San Francisco Bay Area, we also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Additionally, our success depends on our ability to attract and retain qualified sales people. We recently significantly expanded our sales force as we transitioned out of our Genzyme Corporation co-promotion agreement in the United States. There can be no assurance that we will be successful in maintaining and growing our business. Additionally, as we increase our sales channels for new tests we commercialize, including the Percepta and Envisia tests, we may have difficulties recruiting and training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our diagnostic tests is complex, and we must dedicate substantial time and resources to the billing process to be paid.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26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 of government audits related to billing Medicare;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 and/or advanced notification;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Standard industry billing codes, known as CPT codes, that we use to bill for cytopathology do not generally exist for our proprietary molecular diagnostic tests. Therefore, until such time that we are awarded and are able to use a designated CPT code specific to our tests, we use “miscellaneous” codes for claim submissions.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such as the one for the Afirma GEC that became effective January 1, 2016,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a third-party provider to transmit claims to payers, and any delay in transmitting claims could have an adverse effect on our revenue.</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future success will depend in part on our ability to successfully transition from our relationship with Genzyme to co-promote Afirma in the United States.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sell Afirma in the United States through our internal sales team and, until recently, also through a co-promotion agreement with Genzyme Corporation, which we terminated effective September 9, 2016. In connection with the transition, we have hired additional sales personnel to sell our Afirma tests. If we are unsuccessful in transitioning the sales and marketing of the Afirma test from Genzyme solely to our internal sales and marketing personnel, we may experience declining test volumes and associated declines in revenue. We may not be able to market or sell the Afirma test effectively enough to maintain or increase demand for the test, or without significant additional sales and marketing efforts and expense. Our failure to do so successfully without the benefit of Genzyme’s efforts could have an adverse effect on our business, financial condition and results of operations.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We launched the Percepta test in April 2015 and the Envisia test in October 2016. We still must complete studies that meet the clinical evidence required to obtain reimbursement, which studies are currently underway.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acquired Allegro Diagnostics Corp. in September 2014,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an acquisition or investment.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current credit agreement contains covenants that could limit our ability to sell debt securities or obtain additional debt financing arrangements, which could affect our ability to finance acquisitions or investments other than through the issuance of stock.</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federal and state licensing requirements, we could lose the ability to perform our tests or experience disruptions to our business.</w:t>
      </w:r>
    </w:p>
    <w:p>
      <w:pPr>
        <w:spacing w:after="0" w:line="2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quality standards, personnel qualifications and responsibilities, facility administration, general laboratory systems, quality assessment, quality control, pre-analytic, analytic, and post-analytic systems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also required to maintain state licenses to conduct testing in our laboratories. California, New York,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and Percepta tests. We will be required to obtain approval for other tests we may offer in the future. If we were to lose our CLIA certificate or California license for our South San Francisco laboratory, whether as a result of revocation, suspension or limitation, we would no longer be able to perform our molecular tests,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Implementation of provisions of the ACA has also resulted in increases in premiums and reductions in coverage for some patients. These events may result in patients delaying or forgoing medical checkups or treatment due to their inability to pay for our tests, which could have an adverse effect on our revenue.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70" w:lineRule="exact"/>
        <w:rPr>
          <w:sz w:val="20"/>
          <w:szCs w:val="20"/>
          <w:color w:val="auto"/>
        </w:rPr>
      </w:pPr>
    </w:p>
    <w:p>
      <w:pPr>
        <w:jc w:val="both"/>
        <w:ind w:left="980" w:hanging="324"/>
        <w:spacing w:after="0" w:line="276"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72"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81"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65"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81"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70"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81"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 and</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unclaimed property (escheat) laws and regulations, which may require us to turn over to governmental authorities the property of others held by us that has been unclaimed for a specified period of time.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could take a contrary position. 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81"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solutions in various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inventory management, sample logistics, billing and promotional activities;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Percepta and Envisia tests,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5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perform all of the Afirma, Percepta and Envisia genomic classifier testing at our laboratory in South San Francisco, California. Our laboratory in Austin, Texas accepts and stores substantially all FNA samples pending transfer to our California laboratory for genomic test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3"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credit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58"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in October 2015, the European Court of Justice invalidated a safe-harbor agreement between the United States and European Union member-states, which addressed how U.S. companies handle personal information of European customers. On May 4, 2016, the European Commission published a new Regulation and a new Directive regarding personal data privacy. The Regulation went into force on May 24, 2016 and shall apply beginning May 25, 2018. The Directive went into force on May 5, 2016 and EU member states must transpose it into their national law by May 6, 2018. As a result, we may need to modify the way we treat such information. Complying with these various laws could cause us to incur substantial costs or require us to change our business practices, systems and compliance procedures in a manner adverse to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thirteen issued patents that expire between 2029 and 2032 related to methods used in the Afirma diagnostic platform, in addition to fifteen pending U.S. utility patent applications, two pending Patent Cooperation Treaty, or PCT, patent applications and two U.S. provisional patent applications. Some of these U.S. utility patent applications have pending foreign counterparts. We also exclusively licensed intellectual property, including rights to four issued patents that will expire between 2030 and 2032, and three pending U.S. utility patent applications in the thyroid space that would expire between 2030 and 2033 once issued, related to methods that are used in the Afirma diagnostic test, some of which have foreign counterparts. In the lung diagnostic space, we exclusively license intellectual property rights to seven pending patent applications and one issued patent in the United States and abroad. Patents issuing from the licensed portfolio will expire between 2024 and 2028. In addition, we own a pending U.S. application and foreign counterpart applications pending in Australia, Canada, China, Europe, Japan, and South Korea related to our Percepta test. We also own one application related to another lung disease, and two pending U.S. applications, five ex-U.S. applications, and two provisional U.S. applications related to Envisia. Any patents granted from our current lung cancer patent applications will expire no earlier than 2035 and those from the interstitial lung disease patent applications will expire no earlier than from 2034 to 2037.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3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 and may result in increased future tax liability to us.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incurred net losses since our inception and may never achieve profitability. To the extent that we continue to generate taxable losses, unused losses will carry forward to offset future taxable income, if any, until such unused losses expire. We may be unable to use these losses to offset income before those unused losses expire. Generally, a change of more than 50% in the ownership of a corporation’s stock, by value, over a three-year period constitutes an ownership change for U.S. federal income tax purposes. An ownership change may limit a company’s ability to use its net operating loss carryforwards attributable to the period prior to such change. In the event we have undergone an ownership change under Section 382 of the Internal Revenue Code, if we earn net taxable income, our ability to use our pre-change net operating loss carryforwards to offset U.S. federal taxable income may become subject to limitations, which could potentially result in increased future tax liability to us.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8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an emerging growth company, as defined under the Securities Act of 1933, or the Securities Act. We will remain an emerging growth company until December 31, 2018,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If some investors find our common stock less attractive as a result of any choices to reduce future disclosure we may make, there may be a less active trading market for our common stock and our stock price may be more volatile.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 including governmental payers;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July 28, 2017, directors and executive officers and their affiliates beneficially owned, in the aggregate, 23%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7"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credit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in the accompanying Exhibit Index are filed or incorporated by reference as part of this Quarterly Report on Form 10-Q.</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700"/>
          </w:cols>
          <w:pgMar w:left="240" w:top="122" w:right="9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VERACYTE, INC.</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S.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Keith S. Kennedy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jc w:val="center"/>
              <w:ind w:right="1391"/>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38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9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380" w:type="dxa"/>
            <w:vAlign w:val="bottom"/>
          </w:tcPr>
          <w:p>
            <w:pPr>
              <w:jc w:val="right"/>
              <w:ind w:right="32"/>
              <w:spacing w:after="0" w:line="282" w:lineRule="exact"/>
              <w:rPr>
                <w:sz w:val="20"/>
                <w:szCs w:val="20"/>
                <w:color w:val="auto"/>
              </w:rPr>
            </w:pPr>
            <w:r>
              <w:rPr>
                <w:rFonts w:ascii="Arial" w:cs="Arial" w:eastAsia="Arial" w:hAnsi="Arial"/>
                <w:sz w:val="18"/>
                <w:szCs w:val="18"/>
                <w:color w:val="auto"/>
              </w:rPr>
              <w:t>10.1</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2013 Stock Incentive Plan (as amended on May 23, 2017)</w:t>
            </w:r>
          </w:p>
        </w:tc>
        <w:tc>
          <w:tcPr>
            <w:tcW w:w="0" w:type="dxa"/>
            <w:vAlign w:val="bottom"/>
          </w:tcPr>
          <w:p>
            <w:pPr>
              <w:spacing w:after="0"/>
              <w:rPr>
                <w:sz w:val="1"/>
                <w:szCs w:val="1"/>
                <w:color w:val="auto"/>
              </w:rPr>
            </w:pPr>
          </w:p>
        </w:tc>
      </w:tr>
      <w:tr>
        <w:trPr>
          <w:trHeight w:val="230"/>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310"/>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32.1</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2"/>
              <w:spacing w:after="0" w:line="270" w:lineRule="exact"/>
              <w:rPr>
                <w:sz w:val="20"/>
                <w:szCs w:val="20"/>
                <w:color w:val="auto"/>
              </w:rPr>
            </w:pPr>
            <w:r>
              <w:rPr>
                <w:rFonts w:ascii="Arial" w:cs="Arial" w:eastAsia="Arial" w:hAnsi="Arial"/>
                <w:sz w:val="18"/>
                <w:szCs w:val="18"/>
                <w:color w:val="auto"/>
              </w:rPr>
              <w:t>32.2</w:t>
            </w:r>
            <w:r>
              <w:rPr>
                <w:rFonts w:ascii="Arial" w:cs="Arial" w:eastAsia="Arial" w:hAnsi="Arial"/>
                <w:sz w:val="25"/>
                <w:szCs w:val="25"/>
                <w:color w:val="auto"/>
                <w:vertAlign w:val="superscript"/>
              </w:rPr>
              <w:t>**</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c>
          <w:tcPr>
            <w:tcW w:w="0" w:type="dxa"/>
            <w:vAlign w:val="bottom"/>
          </w:tcPr>
          <w:p>
            <w:pPr>
              <w:spacing w:after="0"/>
              <w:rPr>
                <w:sz w:val="1"/>
                <w:szCs w:val="1"/>
                <w:color w:val="auto"/>
              </w:rPr>
            </w:pPr>
          </w:p>
        </w:tc>
      </w:tr>
      <w:tr>
        <w:trPr>
          <w:trHeight w:val="230"/>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vMerge w:val="restart"/>
          </w:tcPr>
          <w:p>
            <w:pPr>
              <w:ind w:left="20"/>
              <w:spacing w:after="0"/>
              <w:rPr>
                <w:sz w:val="20"/>
                <w:szCs w:val="20"/>
                <w:color w:val="auto"/>
              </w:rPr>
            </w:pPr>
            <w:r>
              <w:rPr>
                <w:rFonts w:ascii="Arial" w:cs="Arial" w:eastAsia="Arial" w:hAnsi="Arial"/>
                <w:sz w:val="18"/>
                <w:szCs w:val="18"/>
                <w:color w:val="auto"/>
              </w:rPr>
              <w:t>Indicates management contract or compensatory plan or arrangement.</w:t>
            </w:r>
          </w:p>
        </w:tc>
        <w:tc>
          <w:tcPr>
            <w:tcW w:w="0" w:type="dxa"/>
            <w:vAlign w:val="bottom"/>
          </w:tcPr>
          <w:p>
            <w:pPr>
              <w:spacing w:after="0"/>
              <w:rPr>
                <w:sz w:val="1"/>
                <w:szCs w:val="1"/>
                <w:color w:val="auto"/>
              </w:rPr>
            </w:pPr>
          </w:p>
        </w:tc>
      </w:tr>
      <w:tr>
        <w:trPr>
          <w:trHeight w:val="237"/>
        </w:trPr>
        <w:tc>
          <w:tcPr>
            <w:tcW w:w="138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56"/>
        </w:trPr>
        <w:tc>
          <w:tcPr>
            <w:tcW w:w="138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In accordance with Item 601(b)(32)(ii) of Regulation S-K and SEC Release No. 34-47986, the certifications furnished in Exhibits 32.1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and 32.2 hereto are deemed to accompany this Form 10-Q and will not be deemed “filed” for purposes of Section 18 of the Securities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Exchange Act of 1934 (the “Exchange Act”) or deemed to be incorporated by reference into any filing under the Exchange Act or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Act of 1933 except to the extent that the registrant specifically incorporates it by reference.</w:t>
            </w:r>
          </w:p>
        </w:tc>
        <w:tc>
          <w:tcPr>
            <w:tcW w:w="0" w:type="dxa"/>
            <w:vAlign w:val="bottom"/>
          </w:tcPr>
          <w:p>
            <w:pPr>
              <w:spacing w:after="0"/>
              <w:rPr>
                <w:sz w:val="1"/>
                <w:szCs w:val="1"/>
                <w:color w:val="auto"/>
              </w:rPr>
            </w:pPr>
          </w:p>
        </w:tc>
      </w:tr>
      <w:tr>
        <w:trPr>
          <w:trHeight w:val="486"/>
        </w:trPr>
        <w:tc>
          <w:tcPr>
            <w:tcW w:w="1380" w:type="dxa"/>
            <w:vAlign w:val="bottom"/>
          </w:tcPr>
          <w:p>
            <w:pPr>
              <w:spacing w:after="0"/>
              <w:rPr>
                <w:sz w:val="24"/>
                <w:szCs w:val="24"/>
                <w:color w:val="auto"/>
              </w:rPr>
            </w:pPr>
          </w:p>
        </w:tc>
        <w:tc>
          <w:tcPr>
            <w:tcW w:w="10040" w:type="dxa"/>
            <w:vAlign w:val="bottom"/>
            <w:gridSpan w:val="2"/>
          </w:tcPr>
          <w:p>
            <w:pPr>
              <w:jc w:val="right"/>
              <w:ind w:right="553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VERACYTE, INC.</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2013 STOCK INCENTIVE PLAN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(Adopted by the Board of Directors on October 2, 2013)</w:t>
      </w:r>
    </w:p>
    <w:p>
      <w:pPr>
        <w:spacing w:after="0" w:line="220"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(As amended by the Board of Directors on May 23, 2017)</w:t>
      </w:r>
    </w:p>
    <w:p>
      <w:pPr>
        <w:sectPr>
          <w:pgSz w:w="11900" w:h="16838" w:orient="portrait"/>
          <w:cols w:equalWidth="0" w:num="1">
            <w:col w:w="10220"/>
          </w:cols>
          <w:pgMar w:left="1440" w:top="585"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81"/>
        </w:trPr>
        <w:tc>
          <w:tcPr>
            <w:tcW w:w="1400" w:type="dxa"/>
            <w:vAlign w:val="bottom"/>
          </w:tcPr>
          <w:p>
            <w:pPr>
              <w:spacing w:after="0"/>
              <w:rPr>
                <w:sz w:val="24"/>
                <w:szCs w:val="24"/>
                <w:color w:val="auto"/>
              </w:rPr>
            </w:pPr>
          </w:p>
        </w:tc>
        <w:tc>
          <w:tcPr>
            <w:tcW w:w="9880" w:type="dxa"/>
            <w:vAlign w:val="bottom"/>
          </w:tcPr>
          <w:p>
            <w:pPr>
              <w:jc w:val="center"/>
              <w:ind w:right="1241"/>
              <w:spacing w:after="0"/>
              <w:rPr>
                <w:sz w:val="20"/>
                <w:szCs w:val="20"/>
                <w:color w:val="auto"/>
              </w:rPr>
            </w:pPr>
            <w:r>
              <w:rPr>
                <w:rFonts w:ascii="Arial" w:cs="Arial" w:eastAsia="Arial" w:hAnsi="Arial"/>
                <w:sz w:val="22"/>
                <w:szCs w:val="22"/>
                <w:b w:val="1"/>
                <w:bCs w:val="1"/>
                <w:color w:val="auto"/>
                <w:w w:val="87"/>
              </w:rPr>
              <w:t>Table of Contents</w:t>
            </w:r>
          </w:p>
        </w:tc>
      </w:tr>
      <w:tr>
        <w:trPr>
          <w:trHeight w:val="297"/>
        </w:trPr>
        <w:tc>
          <w:tcPr>
            <w:tcW w:w="1400" w:type="dxa"/>
            <w:vAlign w:val="bottom"/>
          </w:tcPr>
          <w:p>
            <w:pPr>
              <w:spacing w:after="0"/>
              <w:rPr>
                <w:sz w:val="24"/>
                <w:szCs w:val="24"/>
                <w:color w:val="auto"/>
              </w:rPr>
            </w:pPr>
          </w:p>
        </w:tc>
        <w:tc>
          <w:tcPr>
            <w:tcW w:w="9880" w:type="dxa"/>
            <w:vAlign w:val="bottom"/>
          </w:tcPr>
          <w:p>
            <w:pPr>
              <w:ind w:left="9420"/>
              <w:spacing w:after="0"/>
              <w:rPr>
                <w:sz w:val="20"/>
                <w:szCs w:val="20"/>
                <w:color w:val="auto"/>
              </w:rPr>
            </w:pPr>
            <w:r>
              <w:rPr>
                <w:rFonts w:ascii="Arial" w:cs="Arial" w:eastAsia="Arial" w:hAnsi="Arial"/>
                <w:sz w:val="22"/>
                <w:szCs w:val="22"/>
                <w:b w:val="1"/>
                <w:bCs w:val="1"/>
                <w:color w:val="auto"/>
                <w:w w:val="83"/>
              </w:rPr>
              <w:t>Page</w:t>
            </w:r>
          </w:p>
        </w:tc>
      </w:tr>
      <w:tr>
        <w:trPr>
          <w:trHeight w:val="489"/>
        </w:trPr>
        <w:tc>
          <w:tcPr>
            <w:tcW w:w="1400" w:type="dxa"/>
            <w:vAlign w:val="bottom"/>
          </w:tcPr>
          <w:p>
            <w:pPr>
              <w:spacing w:after="0"/>
              <w:rPr>
                <w:sz w:val="20"/>
                <w:szCs w:val="20"/>
                <w:color w:val="auto"/>
              </w:rPr>
            </w:pPr>
            <w:r>
              <w:rPr>
                <w:rFonts w:ascii="Arial" w:cs="Arial" w:eastAsia="Arial" w:hAnsi="Arial"/>
                <w:sz w:val="22"/>
                <w:szCs w:val="22"/>
                <w:color w:val="auto"/>
              </w:rPr>
              <w:t>Section 1.</w:t>
            </w:r>
          </w:p>
        </w:tc>
        <w:tc>
          <w:tcPr>
            <w:tcW w:w="9880" w:type="dxa"/>
            <w:vAlign w:val="bottom"/>
          </w:tcPr>
          <w:p>
            <w:pPr>
              <w:ind w:left="440"/>
              <w:spacing w:after="0"/>
              <w:rPr>
                <w:sz w:val="20"/>
                <w:szCs w:val="20"/>
                <w:color w:val="auto"/>
              </w:rPr>
            </w:pPr>
            <w:r>
              <w:rPr>
                <w:rFonts w:ascii="Arial" w:cs="Arial" w:eastAsia="Arial" w:hAnsi="Arial"/>
                <w:sz w:val="22"/>
                <w:szCs w:val="22"/>
                <w:color w:val="auto"/>
              </w:rPr>
              <w:t>ESTABLISHMENT AND PURPOSE.</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2.</w:t>
            </w:r>
          </w:p>
        </w:tc>
        <w:tc>
          <w:tcPr>
            <w:tcW w:w="9880" w:type="dxa"/>
            <w:vAlign w:val="bottom"/>
          </w:tcPr>
          <w:p>
            <w:pPr>
              <w:ind w:left="440"/>
              <w:spacing w:after="0"/>
              <w:rPr>
                <w:sz w:val="20"/>
                <w:szCs w:val="20"/>
                <w:color w:val="auto"/>
              </w:rPr>
            </w:pPr>
            <w:r>
              <w:rPr>
                <w:rFonts w:ascii="Arial" w:cs="Arial" w:eastAsia="Arial" w:hAnsi="Arial"/>
                <w:sz w:val="22"/>
                <w:szCs w:val="22"/>
                <w:color w:val="auto"/>
              </w:rPr>
              <w:t>DEFINITIONS.</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3.</w:t>
            </w:r>
          </w:p>
        </w:tc>
        <w:tc>
          <w:tcPr>
            <w:tcW w:w="9880" w:type="dxa"/>
            <w:vAlign w:val="bottom"/>
          </w:tcPr>
          <w:p>
            <w:pPr>
              <w:ind w:left="440"/>
              <w:spacing w:after="0"/>
              <w:rPr>
                <w:sz w:val="20"/>
                <w:szCs w:val="20"/>
                <w:color w:val="auto"/>
              </w:rPr>
            </w:pPr>
            <w:r>
              <w:rPr>
                <w:rFonts w:ascii="Arial" w:cs="Arial" w:eastAsia="Arial" w:hAnsi="Arial"/>
                <w:sz w:val="22"/>
                <w:szCs w:val="22"/>
                <w:color w:val="auto"/>
              </w:rPr>
              <w:t>ADMINISTRATION.</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4.</w:t>
            </w:r>
          </w:p>
        </w:tc>
        <w:tc>
          <w:tcPr>
            <w:tcW w:w="9880" w:type="dxa"/>
            <w:vAlign w:val="bottom"/>
          </w:tcPr>
          <w:p>
            <w:pPr>
              <w:ind w:left="440"/>
              <w:spacing w:after="0"/>
              <w:rPr>
                <w:sz w:val="20"/>
                <w:szCs w:val="20"/>
                <w:color w:val="auto"/>
              </w:rPr>
            </w:pPr>
            <w:r>
              <w:rPr>
                <w:rFonts w:ascii="Arial" w:cs="Arial" w:eastAsia="Arial" w:hAnsi="Arial"/>
                <w:sz w:val="22"/>
                <w:szCs w:val="22"/>
                <w:color w:val="auto"/>
              </w:rPr>
              <w:t>ELIGIBILITY.</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5.</w:t>
            </w:r>
          </w:p>
        </w:tc>
        <w:tc>
          <w:tcPr>
            <w:tcW w:w="9880" w:type="dxa"/>
            <w:vAlign w:val="bottom"/>
          </w:tcPr>
          <w:p>
            <w:pPr>
              <w:ind w:left="440"/>
              <w:spacing w:after="0"/>
              <w:rPr>
                <w:sz w:val="20"/>
                <w:szCs w:val="20"/>
                <w:color w:val="auto"/>
              </w:rPr>
            </w:pPr>
            <w:r>
              <w:rPr>
                <w:rFonts w:ascii="Arial" w:cs="Arial" w:eastAsia="Arial" w:hAnsi="Arial"/>
                <w:sz w:val="22"/>
                <w:szCs w:val="22"/>
                <w:color w:val="auto"/>
              </w:rPr>
              <w:t>STOCK SUBJECT TO PLAN.</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6.</w:t>
            </w:r>
          </w:p>
        </w:tc>
        <w:tc>
          <w:tcPr>
            <w:tcW w:w="9880" w:type="dxa"/>
            <w:vAlign w:val="bottom"/>
          </w:tcPr>
          <w:p>
            <w:pPr>
              <w:ind w:left="440"/>
              <w:spacing w:after="0"/>
              <w:rPr>
                <w:sz w:val="20"/>
                <w:szCs w:val="20"/>
                <w:color w:val="auto"/>
              </w:rPr>
            </w:pPr>
            <w:r>
              <w:rPr>
                <w:rFonts w:ascii="Arial" w:cs="Arial" w:eastAsia="Arial" w:hAnsi="Arial"/>
                <w:sz w:val="22"/>
                <w:szCs w:val="22"/>
                <w:color w:val="auto"/>
              </w:rPr>
              <w:t>RESTRICTED SHARES.</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7.</w:t>
            </w:r>
          </w:p>
        </w:tc>
        <w:tc>
          <w:tcPr>
            <w:tcW w:w="9880" w:type="dxa"/>
            <w:vAlign w:val="bottom"/>
          </w:tcPr>
          <w:p>
            <w:pPr>
              <w:ind w:left="440"/>
              <w:spacing w:after="0"/>
              <w:rPr>
                <w:sz w:val="20"/>
                <w:szCs w:val="20"/>
                <w:color w:val="auto"/>
              </w:rPr>
            </w:pPr>
            <w:r>
              <w:rPr>
                <w:rFonts w:ascii="Arial" w:cs="Arial" w:eastAsia="Arial" w:hAnsi="Arial"/>
                <w:sz w:val="22"/>
                <w:szCs w:val="22"/>
                <w:color w:val="auto"/>
              </w:rPr>
              <w:t>TERMS AND CONDITIONS OF OPTIONS.</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8.</w:t>
            </w:r>
          </w:p>
        </w:tc>
        <w:tc>
          <w:tcPr>
            <w:tcW w:w="9880" w:type="dxa"/>
            <w:vAlign w:val="bottom"/>
          </w:tcPr>
          <w:p>
            <w:pPr>
              <w:ind w:left="440"/>
              <w:spacing w:after="0"/>
              <w:rPr>
                <w:sz w:val="20"/>
                <w:szCs w:val="20"/>
                <w:color w:val="auto"/>
              </w:rPr>
            </w:pPr>
            <w:r>
              <w:rPr>
                <w:rFonts w:ascii="Arial" w:cs="Arial" w:eastAsia="Arial" w:hAnsi="Arial"/>
                <w:sz w:val="22"/>
                <w:szCs w:val="22"/>
                <w:color w:val="auto"/>
              </w:rPr>
              <w:t>PAYMENT FOR SHARES.</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9.</w:t>
            </w:r>
          </w:p>
        </w:tc>
        <w:tc>
          <w:tcPr>
            <w:tcW w:w="9880" w:type="dxa"/>
            <w:vAlign w:val="bottom"/>
          </w:tcPr>
          <w:p>
            <w:pPr>
              <w:ind w:left="440"/>
              <w:spacing w:after="0"/>
              <w:rPr>
                <w:sz w:val="20"/>
                <w:szCs w:val="20"/>
                <w:color w:val="auto"/>
              </w:rPr>
            </w:pPr>
            <w:r>
              <w:rPr>
                <w:rFonts w:ascii="Arial" w:cs="Arial" w:eastAsia="Arial" w:hAnsi="Arial"/>
                <w:sz w:val="22"/>
                <w:szCs w:val="22"/>
                <w:color w:val="auto"/>
              </w:rPr>
              <w:t>STOCK APPRECIATION RIGHTS.</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10.</w:t>
            </w:r>
          </w:p>
        </w:tc>
        <w:tc>
          <w:tcPr>
            <w:tcW w:w="9880" w:type="dxa"/>
            <w:vAlign w:val="bottom"/>
          </w:tcPr>
          <w:p>
            <w:pPr>
              <w:ind w:left="440"/>
              <w:spacing w:after="0"/>
              <w:rPr>
                <w:sz w:val="20"/>
                <w:szCs w:val="20"/>
                <w:color w:val="auto"/>
              </w:rPr>
            </w:pPr>
            <w:r>
              <w:rPr>
                <w:rFonts w:ascii="Arial" w:cs="Arial" w:eastAsia="Arial" w:hAnsi="Arial"/>
                <w:sz w:val="22"/>
                <w:szCs w:val="22"/>
                <w:color w:val="auto"/>
              </w:rPr>
              <w:t>STOCK UNITS.</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11.</w:t>
            </w:r>
          </w:p>
        </w:tc>
        <w:tc>
          <w:tcPr>
            <w:tcW w:w="9880" w:type="dxa"/>
            <w:vAlign w:val="bottom"/>
          </w:tcPr>
          <w:p>
            <w:pPr>
              <w:ind w:left="440"/>
              <w:spacing w:after="0"/>
              <w:rPr>
                <w:sz w:val="20"/>
                <w:szCs w:val="20"/>
                <w:color w:val="auto"/>
              </w:rPr>
            </w:pPr>
            <w:r>
              <w:rPr>
                <w:rFonts w:ascii="Arial" w:cs="Arial" w:eastAsia="Arial" w:hAnsi="Arial"/>
                <w:sz w:val="22"/>
                <w:szCs w:val="22"/>
                <w:color w:val="auto"/>
              </w:rPr>
              <w:t>CASH-BASED AWARDS</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12.</w:t>
            </w:r>
          </w:p>
        </w:tc>
        <w:tc>
          <w:tcPr>
            <w:tcW w:w="9880" w:type="dxa"/>
            <w:vAlign w:val="bottom"/>
          </w:tcPr>
          <w:p>
            <w:pPr>
              <w:ind w:left="440"/>
              <w:spacing w:after="0"/>
              <w:rPr>
                <w:sz w:val="20"/>
                <w:szCs w:val="20"/>
                <w:color w:val="auto"/>
              </w:rPr>
            </w:pPr>
            <w:r>
              <w:rPr>
                <w:rFonts w:ascii="Arial" w:cs="Arial" w:eastAsia="Arial" w:hAnsi="Arial"/>
                <w:sz w:val="22"/>
                <w:szCs w:val="22"/>
                <w:color w:val="auto"/>
              </w:rPr>
              <w:t>ADJUSTMENT OF SHARES.</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13.</w:t>
            </w:r>
          </w:p>
        </w:tc>
        <w:tc>
          <w:tcPr>
            <w:tcW w:w="9880" w:type="dxa"/>
            <w:vAlign w:val="bottom"/>
          </w:tcPr>
          <w:p>
            <w:pPr>
              <w:ind w:left="440"/>
              <w:spacing w:after="0"/>
              <w:rPr>
                <w:sz w:val="20"/>
                <w:szCs w:val="20"/>
                <w:color w:val="auto"/>
              </w:rPr>
            </w:pPr>
            <w:r>
              <w:rPr>
                <w:rFonts w:ascii="Arial" w:cs="Arial" w:eastAsia="Arial" w:hAnsi="Arial"/>
                <w:sz w:val="22"/>
                <w:szCs w:val="22"/>
                <w:color w:val="auto"/>
              </w:rPr>
              <w:t>DEFERRAL OF AWARDS.</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14.</w:t>
            </w:r>
          </w:p>
        </w:tc>
        <w:tc>
          <w:tcPr>
            <w:tcW w:w="9880" w:type="dxa"/>
            <w:vAlign w:val="bottom"/>
          </w:tcPr>
          <w:p>
            <w:pPr>
              <w:ind w:left="440"/>
              <w:spacing w:after="0"/>
              <w:rPr>
                <w:sz w:val="20"/>
                <w:szCs w:val="20"/>
                <w:color w:val="auto"/>
              </w:rPr>
            </w:pPr>
            <w:r>
              <w:rPr>
                <w:rFonts w:ascii="Arial" w:cs="Arial" w:eastAsia="Arial" w:hAnsi="Arial"/>
                <w:sz w:val="22"/>
                <w:szCs w:val="22"/>
                <w:color w:val="auto"/>
              </w:rPr>
              <w:t>AWARDS UNDER OTHER PLANS.</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15.</w:t>
            </w:r>
          </w:p>
        </w:tc>
        <w:tc>
          <w:tcPr>
            <w:tcW w:w="9880" w:type="dxa"/>
            <w:vAlign w:val="bottom"/>
          </w:tcPr>
          <w:p>
            <w:pPr>
              <w:ind w:left="440"/>
              <w:spacing w:after="0"/>
              <w:rPr>
                <w:sz w:val="20"/>
                <w:szCs w:val="20"/>
                <w:color w:val="auto"/>
              </w:rPr>
            </w:pPr>
            <w:r>
              <w:rPr>
                <w:rFonts w:ascii="Arial" w:cs="Arial" w:eastAsia="Arial" w:hAnsi="Arial"/>
                <w:sz w:val="22"/>
                <w:szCs w:val="22"/>
                <w:color w:val="auto"/>
              </w:rPr>
              <w:t>PAYMENT OF DIRECTOR’S FEES IN SECURITIES.</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16.</w:t>
            </w:r>
          </w:p>
        </w:tc>
        <w:tc>
          <w:tcPr>
            <w:tcW w:w="9880" w:type="dxa"/>
            <w:vAlign w:val="bottom"/>
          </w:tcPr>
          <w:p>
            <w:pPr>
              <w:ind w:left="440"/>
              <w:spacing w:after="0"/>
              <w:rPr>
                <w:sz w:val="20"/>
                <w:szCs w:val="20"/>
                <w:color w:val="auto"/>
              </w:rPr>
            </w:pPr>
            <w:r>
              <w:rPr>
                <w:rFonts w:ascii="Arial" w:cs="Arial" w:eastAsia="Arial" w:hAnsi="Arial"/>
                <w:sz w:val="22"/>
                <w:szCs w:val="22"/>
                <w:color w:val="auto"/>
              </w:rPr>
              <w:t>LEGAL AND REGULATORY REQUIREMENTS.</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17.</w:t>
            </w:r>
          </w:p>
        </w:tc>
        <w:tc>
          <w:tcPr>
            <w:tcW w:w="9880" w:type="dxa"/>
            <w:vAlign w:val="bottom"/>
          </w:tcPr>
          <w:p>
            <w:pPr>
              <w:ind w:left="440"/>
              <w:spacing w:after="0"/>
              <w:rPr>
                <w:sz w:val="20"/>
                <w:szCs w:val="20"/>
                <w:color w:val="auto"/>
              </w:rPr>
            </w:pPr>
            <w:r>
              <w:rPr>
                <w:rFonts w:ascii="Arial" w:cs="Arial" w:eastAsia="Arial" w:hAnsi="Arial"/>
                <w:sz w:val="22"/>
                <w:szCs w:val="22"/>
                <w:color w:val="auto"/>
              </w:rPr>
              <w:t>TAXES.</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18.</w:t>
            </w:r>
          </w:p>
        </w:tc>
        <w:tc>
          <w:tcPr>
            <w:tcW w:w="9880" w:type="dxa"/>
            <w:vAlign w:val="bottom"/>
          </w:tcPr>
          <w:p>
            <w:pPr>
              <w:ind w:left="440"/>
              <w:spacing w:after="0"/>
              <w:rPr>
                <w:sz w:val="20"/>
                <w:szCs w:val="20"/>
                <w:color w:val="auto"/>
              </w:rPr>
            </w:pPr>
            <w:r>
              <w:rPr>
                <w:rFonts w:ascii="Arial" w:cs="Arial" w:eastAsia="Arial" w:hAnsi="Arial"/>
                <w:sz w:val="22"/>
                <w:szCs w:val="22"/>
                <w:color w:val="auto"/>
              </w:rPr>
              <w:t>TRANSFERABILITY.</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19.</w:t>
            </w:r>
          </w:p>
        </w:tc>
        <w:tc>
          <w:tcPr>
            <w:tcW w:w="9880" w:type="dxa"/>
            <w:vAlign w:val="bottom"/>
          </w:tcPr>
          <w:p>
            <w:pPr>
              <w:ind w:left="440"/>
              <w:spacing w:after="0"/>
              <w:rPr>
                <w:sz w:val="20"/>
                <w:szCs w:val="20"/>
                <w:color w:val="auto"/>
              </w:rPr>
            </w:pPr>
            <w:r>
              <w:rPr>
                <w:rFonts w:ascii="Arial" w:cs="Arial" w:eastAsia="Arial" w:hAnsi="Arial"/>
                <w:sz w:val="22"/>
                <w:szCs w:val="22"/>
                <w:color w:val="auto"/>
              </w:rPr>
              <w:t>PERFORMANCE BASED AWARDS.</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20.</w:t>
            </w:r>
          </w:p>
        </w:tc>
        <w:tc>
          <w:tcPr>
            <w:tcW w:w="9880" w:type="dxa"/>
            <w:vAlign w:val="bottom"/>
          </w:tcPr>
          <w:p>
            <w:pPr>
              <w:ind w:left="440"/>
              <w:spacing w:after="0"/>
              <w:rPr>
                <w:sz w:val="20"/>
                <w:szCs w:val="20"/>
                <w:color w:val="auto"/>
              </w:rPr>
            </w:pPr>
            <w:r>
              <w:rPr>
                <w:rFonts w:ascii="Arial" w:cs="Arial" w:eastAsia="Arial" w:hAnsi="Arial"/>
                <w:sz w:val="22"/>
                <w:szCs w:val="22"/>
                <w:color w:val="auto"/>
              </w:rPr>
              <w:t>NO EMPLOYMENT RIGHTS.</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21.</w:t>
            </w:r>
          </w:p>
        </w:tc>
        <w:tc>
          <w:tcPr>
            <w:tcW w:w="9880" w:type="dxa"/>
            <w:vAlign w:val="bottom"/>
          </w:tcPr>
          <w:p>
            <w:pPr>
              <w:ind w:left="440"/>
              <w:spacing w:after="0"/>
              <w:rPr>
                <w:sz w:val="20"/>
                <w:szCs w:val="20"/>
                <w:color w:val="auto"/>
              </w:rPr>
            </w:pPr>
            <w:r>
              <w:rPr>
                <w:rFonts w:ascii="Arial" w:cs="Arial" w:eastAsia="Arial" w:hAnsi="Arial"/>
                <w:sz w:val="22"/>
                <w:szCs w:val="22"/>
                <w:color w:val="auto"/>
              </w:rPr>
              <w:t>DURATION AND AMENDMENTS.</w:t>
            </w:r>
          </w:p>
        </w:tc>
      </w:tr>
      <w:tr>
        <w:trPr>
          <w:trHeight w:val="230"/>
        </w:trPr>
        <w:tc>
          <w:tcPr>
            <w:tcW w:w="140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918"/>
        </w:trPr>
        <w:tc>
          <w:tcPr>
            <w:tcW w:w="1400" w:type="dxa"/>
            <w:vAlign w:val="bottom"/>
          </w:tcPr>
          <w:p>
            <w:pPr>
              <w:spacing w:after="0"/>
              <w:rPr>
                <w:sz w:val="24"/>
                <w:szCs w:val="24"/>
                <w:color w:val="auto"/>
              </w:rPr>
            </w:pPr>
          </w:p>
        </w:tc>
        <w:tc>
          <w:tcPr>
            <w:tcW w:w="9880" w:type="dxa"/>
            <w:vAlign w:val="bottom"/>
          </w:tcPr>
          <w:p>
            <w:pPr>
              <w:jc w:val="center"/>
              <w:ind w:right="1241"/>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1280"/>
          </w:cols>
          <w:pgMar w:left="280" w:top="733"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VERACYTE,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2013 STOCK INCENTIVE PLAN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ESTABLISHMENT AND PURPOSE.</w:t>
      </w:r>
    </w:p>
    <w:p>
      <w:pPr>
        <w:spacing w:after="0" w:line="2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Plan was adopted by the Board of Directors on October 2, 2013, and shall be effective immediately prior to the closing of the initial offering of Stock to the public pursuant to a registration statement filed by the Company with the Securities and Exchange Commission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The purpose of the Plan is to promote the long-term success of the Company and the creation of stockholder value by (a) encouraging Employees, Outside Directors and Consultants to focus on critical long-range objectives, (b) encouraging the attraction and retention of Employees, Outside Directors and Consultants with exceptional qualifications and (c) linking Employees, Outside Directors and Consultants directly to stockholder interests through increased stock ownership. The Plan seeks to achieve this purpose by providing for Awards in the form of restricted shares, stock units, options (which may constitute incentive stock options or nonstatutory stock options), stock appreciation rights or cash-based awards.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DEFINITIONS.</w:t>
      </w:r>
    </w:p>
    <w:p>
      <w:pPr>
        <w:spacing w:after="0" w:line="266" w:lineRule="exact"/>
        <w:rPr>
          <w:sz w:val="20"/>
          <w:szCs w:val="20"/>
          <w:color w:val="auto"/>
        </w:rPr>
      </w:pPr>
    </w:p>
    <w:p>
      <w:pPr>
        <w:ind w:right="20" w:firstLine="656"/>
        <w:spacing w:after="0" w:line="276" w:lineRule="auto"/>
        <w:tabs>
          <w:tab w:leader="none" w:pos="1496" w:val="left"/>
        </w:tabs>
        <w:numPr>
          <w:ilvl w:val="0"/>
          <w:numId w:val="1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shall mean any entity other than a Subsidiary, if the Company and/or one or more Subsidiaries own not less than 50% of such entity.</w:t>
      </w:r>
    </w:p>
    <w:p>
      <w:pPr>
        <w:spacing w:after="0" w:line="201" w:lineRule="exact"/>
        <w:rPr>
          <w:rFonts w:ascii="Arial" w:cs="Arial" w:eastAsia="Arial" w:hAnsi="Arial"/>
          <w:sz w:val="18"/>
          <w:szCs w:val="18"/>
          <w:color w:val="auto"/>
        </w:rPr>
      </w:pPr>
    </w:p>
    <w:p>
      <w:pPr>
        <w:ind w:left="1520" w:hanging="864"/>
        <w:spacing w:after="0"/>
        <w:tabs>
          <w:tab w:leader="none" w:pos="1520" w:val="left"/>
        </w:tabs>
        <w:numPr>
          <w:ilvl w:val="0"/>
          <w:numId w:val="17"/>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shall mean any award of an Option, a SAR, a Restricted Share, a Stock Unit or a Cash-Based Award</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under the Plan.</w:t>
      </w:r>
    </w:p>
    <w:p>
      <w:pPr>
        <w:spacing w:after="0" w:line="255" w:lineRule="exact"/>
        <w:rPr>
          <w:rFonts w:ascii="Arial" w:cs="Arial" w:eastAsia="Arial" w:hAnsi="Arial"/>
          <w:sz w:val="16"/>
          <w:szCs w:val="16"/>
          <w:color w:val="auto"/>
        </w:rPr>
      </w:pPr>
    </w:p>
    <w:p>
      <w:pPr>
        <w:ind w:firstLine="656"/>
        <w:spacing w:after="0" w:line="276" w:lineRule="auto"/>
        <w:tabs>
          <w:tab w:leader="none" w:pos="1496" w:val="left"/>
        </w:tabs>
        <w:numPr>
          <w:ilvl w:val="0"/>
          <w:numId w:val="1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 shall mean the agreement between the Company and the recipient of an Award which contains the terms, conditions and restrictions pertaining to such Award.</w:t>
      </w:r>
    </w:p>
    <w:p>
      <w:pPr>
        <w:spacing w:after="0" w:line="201" w:lineRule="exact"/>
        <w:rPr>
          <w:rFonts w:ascii="Arial" w:cs="Arial" w:eastAsia="Arial" w:hAnsi="Arial"/>
          <w:sz w:val="18"/>
          <w:szCs w:val="18"/>
          <w:color w:val="auto"/>
        </w:rPr>
      </w:pPr>
    </w:p>
    <w:p>
      <w:pPr>
        <w:ind w:left="1520" w:hanging="864"/>
        <w:spacing w:after="0"/>
        <w:tabs>
          <w:tab w:leader="none" w:pos="1520" w:val="left"/>
        </w:tabs>
        <w:numPr>
          <w:ilvl w:val="0"/>
          <w:numId w:val="17"/>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Board of Directors</w:t>
      </w:r>
      <w:r>
        <w:rPr>
          <w:rFonts w:ascii="Arial" w:cs="Arial" w:eastAsia="Arial" w:hAnsi="Arial"/>
          <w:sz w:val="19"/>
          <w:szCs w:val="19"/>
          <w:color w:val="auto"/>
        </w:rPr>
        <w:t xml:space="preserve">” </w:t>
      </w:r>
      <w:r>
        <w:rPr>
          <w:rFonts w:ascii="Arial" w:cs="Arial" w:eastAsia="Arial" w:hAnsi="Arial"/>
          <w:sz w:val="19"/>
          <w:szCs w:val="19"/>
          <w:i w:val="1"/>
          <w:iCs w:val="1"/>
          <w:color w:val="auto"/>
        </w:rPr>
        <w:t>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shall mean the Board of Directors of the Company, as constituted from time to</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time.</w:t>
      </w:r>
    </w:p>
    <w:p>
      <w:pPr>
        <w:spacing w:after="0" w:line="255" w:lineRule="exact"/>
        <w:rPr>
          <w:rFonts w:ascii="Arial" w:cs="Arial" w:eastAsia="Arial" w:hAnsi="Arial"/>
          <w:sz w:val="16"/>
          <w:szCs w:val="16"/>
          <w:color w:val="auto"/>
        </w:rPr>
      </w:pPr>
    </w:p>
    <w:p>
      <w:pPr>
        <w:ind w:left="1500" w:hanging="844"/>
        <w:spacing w:after="0"/>
        <w:tabs>
          <w:tab w:leader="none" w:pos="1500" w:val="left"/>
        </w:tabs>
        <w:numPr>
          <w:ilvl w:val="0"/>
          <w:numId w:val="17"/>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Cash-Based Award</w:t>
      </w:r>
      <w:r>
        <w:rPr>
          <w:rFonts w:ascii="Arial" w:cs="Arial" w:eastAsia="Arial" w:hAnsi="Arial"/>
          <w:sz w:val="19"/>
          <w:szCs w:val="19"/>
          <w:color w:val="auto"/>
        </w:rPr>
        <w:t>” shall mean an Award that entitles the Participant to receive a cash-denominated payment.</w:t>
      </w:r>
    </w:p>
    <w:p>
      <w:pPr>
        <w:spacing w:after="0" w:line="308" w:lineRule="exact"/>
        <w:rPr>
          <w:rFonts w:ascii="Arial" w:cs="Arial" w:eastAsia="Arial" w:hAnsi="Arial"/>
          <w:sz w:val="16"/>
          <w:szCs w:val="16"/>
          <w:color w:val="auto"/>
        </w:rPr>
      </w:pPr>
    </w:p>
    <w:p>
      <w:pPr>
        <w:ind w:left="1480" w:hanging="824"/>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shall mean the occurrence of any of the following events:</w:t>
      </w:r>
    </w:p>
    <w:p>
      <w:pPr>
        <w:spacing w:after="0" w:line="273" w:lineRule="exact"/>
        <w:rPr>
          <w:rFonts w:ascii="Arial" w:cs="Arial" w:eastAsia="Arial" w:hAnsi="Arial"/>
          <w:sz w:val="18"/>
          <w:szCs w:val="18"/>
          <w:color w:val="auto"/>
        </w:rPr>
      </w:pPr>
    </w:p>
    <w:p>
      <w:pPr>
        <w:ind w:right="20" w:firstLine="1305"/>
        <w:spacing w:after="0" w:line="276" w:lineRule="auto"/>
        <w:tabs>
          <w:tab w:leader="none" w:pos="2115" w:val="left"/>
        </w:tabs>
        <w:numPr>
          <w:ilvl w:val="1"/>
          <w:numId w:val="17"/>
        </w:numPr>
        <w:rPr>
          <w:rFonts w:ascii="Arial" w:cs="Arial" w:eastAsia="Arial" w:hAnsi="Arial"/>
          <w:sz w:val="18"/>
          <w:szCs w:val="18"/>
          <w:color w:val="auto"/>
        </w:rPr>
      </w:pPr>
      <w:r>
        <w:rPr>
          <w:rFonts w:ascii="Arial" w:cs="Arial" w:eastAsia="Arial" w:hAnsi="Arial"/>
          <w:sz w:val="22"/>
          <w:szCs w:val="22"/>
          <w:color w:val="auto"/>
        </w:rPr>
        <w:t>A change in the composition of the Board of Directors occurs, as a result of which fewer than one-half of the incumbent directors are directors who either:</w:t>
      </w:r>
    </w:p>
    <w:p>
      <w:pPr>
        <w:spacing w:after="0" w:line="201" w:lineRule="exact"/>
        <w:rPr>
          <w:rFonts w:ascii="Arial" w:cs="Arial" w:eastAsia="Arial" w:hAnsi="Arial"/>
          <w:sz w:val="18"/>
          <w:szCs w:val="18"/>
          <w:color w:val="auto"/>
        </w:rPr>
      </w:pPr>
    </w:p>
    <w:p>
      <w:pPr>
        <w:ind w:left="2860" w:hanging="907"/>
        <w:spacing w:after="0"/>
        <w:tabs>
          <w:tab w:leader="none" w:pos="2860" w:val="left"/>
        </w:tabs>
        <w:numPr>
          <w:ilvl w:val="2"/>
          <w:numId w:val="17"/>
        </w:numPr>
        <w:rPr>
          <w:rFonts w:ascii="Arial" w:cs="Arial" w:eastAsia="Arial" w:hAnsi="Arial"/>
          <w:sz w:val="17"/>
          <w:szCs w:val="17"/>
          <w:color w:val="auto"/>
        </w:rPr>
      </w:pPr>
      <w:r>
        <w:rPr>
          <w:rFonts w:ascii="Arial" w:cs="Arial" w:eastAsia="Arial" w:hAnsi="Arial"/>
          <w:sz w:val="21"/>
          <w:szCs w:val="21"/>
          <w:color w:val="auto"/>
        </w:rPr>
        <w:t>Had been directors of the Company on the “look-back date” (as defined below) (the “original</w:t>
      </w:r>
    </w:p>
    <w:p>
      <w:pPr>
        <w:spacing w:after="0" w:line="3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2"/>
          <w:szCs w:val="22"/>
          <w:color w:val="auto"/>
        </w:rPr>
        <w:t>directors”); or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57" w:right="239" w:bottom="1440" w:gutter="0" w:footer="0" w:header="0"/>
        </w:sectPr>
      </w:pPr>
    </w:p>
    <w:bookmarkStart w:id="53" w:name="page54"/>
    <w:bookmarkEnd w:id="53"/>
    <w:p>
      <w:pPr>
        <w:jc w:val="both"/>
        <w:ind w:firstLine="1953"/>
        <w:spacing w:after="0" w:line="260" w:lineRule="auto"/>
        <w:tabs>
          <w:tab w:leader="none" w:pos="2833" w:val="left"/>
        </w:tabs>
        <w:numPr>
          <w:ilvl w:val="0"/>
          <w:numId w:val="18"/>
        </w:numPr>
        <w:rPr>
          <w:rFonts w:ascii="Arial" w:cs="Arial" w:eastAsia="Arial" w:hAnsi="Arial"/>
          <w:sz w:val="18"/>
          <w:szCs w:val="18"/>
          <w:color w:val="auto"/>
        </w:rPr>
      </w:pPr>
      <w:r>
        <w:rPr>
          <w:rFonts w:ascii="Arial" w:cs="Arial" w:eastAsia="Arial" w:hAnsi="Arial"/>
          <w:sz w:val="22"/>
          <w:szCs w:val="22"/>
          <w:color w:val="auto"/>
        </w:rPr>
        <w:t>Were elected, or nominated for election, to the Board of Directors with the affirmative votes of at least a majority of the aggregate of the original directors who were still in office at the time of the election or nomination and the directors whose election or nomination was previously so approved (the “continuing directors”);</w:t>
      </w:r>
    </w:p>
    <w:p>
      <w:pPr>
        <w:spacing w:after="0" w:line="21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for this purpose, the “original directors” and “continuing directors” shall not include any individual whose</w:t>
      </w:r>
      <w:r>
        <w:rPr>
          <w:rFonts w:ascii="Arial" w:cs="Arial" w:eastAsia="Arial" w:hAnsi="Arial"/>
          <w:sz w:val="19"/>
          <w:szCs w:val="19"/>
          <w:i w:val="1"/>
          <w:iCs w:val="1"/>
          <w:color w:val="auto"/>
        </w:rPr>
        <w:t xml:space="preserve"> </w:t>
      </w:r>
      <w:r>
        <w:rPr>
          <w:rFonts w:ascii="Arial" w:cs="Arial" w:eastAsia="Arial" w:hAnsi="Arial"/>
          <w:sz w:val="19"/>
          <w:szCs w:val="19"/>
          <w:color w:val="auto"/>
        </w:rPr>
        <w:t>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34" w:lineRule="exact"/>
        <w:rPr>
          <w:sz w:val="20"/>
          <w:szCs w:val="20"/>
          <w:color w:val="auto"/>
        </w:rPr>
      </w:pPr>
    </w:p>
    <w:p>
      <w:pPr>
        <w:jc w:val="both"/>
        <w:ind w:firstLine="1305"/>
        <w:spacing w:after="0" w:line="261" w:lineRule="auto"/>
        <w:tabs>
          <w:tab w:leader="none" w:pos="2165" w:val="left"/>
        </w:tabs>
        <w:numPr>
          <w:ilvl w:val="0"/>
          <w:numId w:val="19"/>
        </w:numPr>
        <w:rPr>
          <w:rFonts w:ascii="Arial" w:cs="Arial" w:eastAsia="Arial" w:hAnsi="Arial"/>
          <w:sz w:val="17"/>
          <w:szCs w:val="17"/>
          <w:color w:val="auto"/>
        </w:rPr>
      </w:pPr>
      <w:r>
        <w:rPr>
          <w:rFonts w:ascii="Arial" w:cs="Arial" w:eastAsia="Arial" w:hAnsi="Arial"/>
          <w:sz w:val="21"/>
          <w:szCs w:val="21"/>
          <w:color w:val="auto"/>
        </w:rPr>
        <w:t>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 or</w:t>
      </w:r>
    </w:p>
    <w:p>
      <w:pPr>
        <w:spacing w:after="0" w:line="222" w:lineRule="exact"/>
        <w:rPr>
          <w:rFonts w:ascii="Arial" w:cs="Arial" w:eastAsia="Arial" w:hAnsi="Arial"/>
          <w:sz w:val="17"/>
          <w:szCs w:val="17"/>
          <w:color w:val="auto"/>
        </w:rPr>
      </w:pPr>
    </w:p>
    <w:p>
      <w:pPr>
        <w:jc w:val="both"/>
        <w:ind w:firstLine="1305"/>
        <w:spacing w:after="0" w:line="266" w:lineRule="auto"/>
        <w:tabs>
          <w:tab w:leader="none" w:pos="2215" w:val="left"/>
        </w:tabs>
        <w:numPr>
          <w:ilvl w:val="0"/>
          <w:numId w:val="19"/>
        </w:numPr>
        <w:rPr>
          <w:rFonts w:ascii="Arial" w:cs="Arial" w:eastAsia="Arial" w:hAnsi="Arial"/>
          <w:sz w:val="17"/>
          <w:szCs w:val="17"/>
          <w:color w:val="auto"/>
        </w:rPr>
      </w:pPr>
      <w:r>
        <w:rPr>
          <w:rFonts w:ascii="Arial" w:cs="Arial" w:eastAsia="Arial" w:hAnsi="Arial"/>
          <w:sz w:val="21"/>
          <w:szCs w:val="21"/>
          <w:color w:val="auto"/>
        </w:rPr>
        <w:t>The consummation of a merger or consolidation of the Company or a Subsidiary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Company (or its successor) and (B) any direct or indirect parent corporation of the Company (or its successor); or</w:t>
      </w:r>
    </w:p>
    <w:p>
      <w:pPr>
        <w:spacing w:after="0" w:line="214" w:lineRule="exact"/>
        <w:rPr>
          <w:rFonts w:ascii="Arial" w:cs="Arial" w:eastAsia="Arial" w:hAnsi="Arial"/>
          <w:sz w:val="17"/>
          <w:szCs w:val="17"/>
          <w:color w:val="auto"/>
        </w:rPr>
      </w:pPr>
    </w:p>
    <w:p>
      <w:pPr>
        <w:ind w:left="2220" w:hanging="915"/>
        <w:spacing w:after="0"/>
        <w:tabs>
          <w:tab w:leader="none" w:pos="2220" w:val="left"/>
        </w:tabs>
        <w:numPr>
          <w:ilvl w:val="0"/>
          <w:numId w:val="19"/>
        </w:numPr>
        <w:rPr>
          <w:rFonts w:ascii="Arial" w:cs="Arial" w:eastAsia="Arial" w:hAnsi="Arial"/>
          <w:sz w:val="18"/>
          <w:szCs w:val="18"/>
          <w:color w:val="auto"/>
        </w:rPr>
      </w:pPr>
      <w:r>
        <w:rPr>
          <w:rFonts w:ascii="Arial" w:cs="Arial" w:eastAsia="Arial" w:hAnsi="Arial"/>
          <w:sz w:val="22"/>
          <w:szCs w:val="22"/>
          <w:color w:val="auto"/>
        </w:rPr>
        <w:t>The sale, transfer or other disposition of all or substantially all of the Company’s assets.</w:t>
      </w:r>
    </w:p>
    <w:p>
      <w:pPr>
        <w:spacing w:after="0" w:line="27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For purposes of subsection (e)(i) above, the term “look-back” date shall mean the later of (1) the Effective Date or (2) the date 24 months prior to the date of the event that may constitute a Change in Control.</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For purposes of subsection (e)(ii)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17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Any other provision of this Section 2(e)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Exchange Commission for the initial or secondary public offering of securities or debt of the Company to the public.</w:t>
      </w:r>
    </w:p>
    <w:p>
      <w:pPr>
        <w:spacing w:after="0" w:line="220" w:lineRule="exact"/>
        <w:rPr>
          <w:sz w:val="20"/>
          <w:szCs w:val="20"/>
          <w:color w:val="auto"/>
        </w:rPr>
      </w:pPr>
    </w:p>
    <w:p>
      <w:pPr>
        <w:ind w:left="1520" w:hanging="864"/>
        <w:spacing w:after="0"/>
        <w:tabs>
          <w:tab w:leader="none" w:pos="1520" w:val="left"/>
        </w:tabs>
        <w:numPr>
          <w:ilvl w:val="0"/>
          <w:numId w:val="2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shall mean the Internal Revenue Code of 1986, as amended.</w:t>
      </w:r>
    </w:p>
    <w:p>
      <w:pPr>
        <w:spacing w:after="0" w:line="273" w:lineRule="exact"/>
        <w:rPr>
          <w:rFonts w:ascii="Arial" w:cs="Arial" w:eastAsia="Arial" w:hAnsi="Arial"/>
          <w:sz w:val="18"/>
          <w:szCs w:val="18"/>
          <w:color w:val="auto"/>
        </w:rPr>
      </w:pPr>
    </w:p>
    <w:p>
      <w:pPr>
        <w:ind w:firstLine="656"/>
        <w:spacing w:after="0" w:line="276" w:lineRule="auto"/>
        <w:tabs>
          <w:tab w:leader="none" w:pos="1506" w:val="left"/>
        </w:tabs>
        <w:numPr>
          <w:ilvl w:val="0"/>
          <w:numId w:val="2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shall mean the Compensation Committee as designated by the Board of Directors, which is authorized to administer the Plan, as described in Section 3 hereof.</w:t>
      </w:r>
    </w:p>
    <w:p>
      <w:pPr>
        <w:spacing w:after="0" w:line="201" w:lineRule="exact"/>
        <w:rPr>
          <w:rFonts w:ascii="Arial" w:cs="Arial" w:eastAsia="Arial" w:hAnsi="Arial"/>
          <w:sz w:val="18"/>
          <w:szCs w:val="18"/>
          <w:color w:val="auto"/>
        </w:rPr>
      </w:pPr>
    </w:p>
    <w:p>
      <w:pPr>
        <w:ind w:left="1480" w:hanging="824"/>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shall mean Veracyte, Inc., a Delaware corporation.</w:t>
      </w:r>
    </w:p>
    <w:p>
      <w:pPr>
        <w:spacing w:after="0" w:line="273" w:lineRule="exact"/>
        <w:rPr>
          <w:rFonts w:ascii="Arial" w:cs="Arial" w:eastAsia="Arial" w:hAnsi="Arial"/>
          <w:sz w:val="18"/>
          <w:szCs w:val="18"/>
          <w:color w:val="auto"/>
        </w:rPr>
      </w:pPr>
    </w:p>
    <w:p>
      <w:pPr>
        <w:jc w:val="both"/>
        <w:ind w:firstLine="656"/>
        <w:spacing w:after="0" w:line="260" w:lineRule="auto"/>
        <w:tabs>
          <w:tab w:leader="none" w:pos="1466" w:val="left"/>
        </w:tabs>
        <w:numPr>
          <w:ilvl w:val="0"/>
          <w:numId w:val="2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Consultant</w:t>
      </w:r>
      <w:r>
        <w:rPr>
          <w:rFonts w:ascii="Arial" w:cs="Arial" w:eastAsia="Arial" w:hAnsi="Arial"/>
          <w:sz w:val="22"/>
          <w:szCs w:val="22"/>
          <w:color w:val="auto"/>
        </w:rPr>
        <w:t>” shall mean a consultant or advisor who provides bona fide services to the Company, a Parent, a Subsidiary or an Affiliate as an independent contractor (not including service as a member of the Board of Directors) or a member of the board of directors of a Parent or a Subsidiary, in each case who is not an Employee.</w:t>
      </w:r>
    </w:p>
    <w:p>
      <w:pPr>
        <w:spacing w:after="0" w:line="217" w:lineRule="exact"/>
        <w:rPr>
          <w:rFonts w:ascii="Arial" w:cs="Arial" w:eastAsia="Arial" w:hAnsi="Arial"/>
          <w:sz w:val="18"/>
          <w:szCs w:val="18"/>
          <w:color w:val="auto"/>
        </w:rPr>
      </w:pPr>
    </w:p>
    <w:p>
      <w:pPr>
        <w:ind w:left="1520" w:hanging="864"/>
        <w:spacing w:after="0"/>
        <w:tabs>
          <w:tab w:leader="none" w:pos="1520" w:val="left"/>
        </w:tabs>
        <w:numPr>
          <w:ilvl w:val="0"/>
          <w:numId w:val="20"/>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shall mean any individual who is a common-law employee of the Company, a Parent, a Subsidiary or</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an Affiliate.</w:t>
      </w:r>
    </w:p>
    <w:p>
      <w:pPr>
        <w:spacing w:after="0" w:line="255" w:lineRule="exact"/>
        <w:rPr>
          <w:rFonts w:ascii="Arial" w:cs="Arial" w:eastAsia="Arial" w:hAnsi="Arial"/>
          <w:sz w:val="16"/>
          <w:szCs w:val="16"/>
          <w:color w:val="auto"/>
        </w:rPr>
      </w:pPr>
    </w:p>
    <w:p>
      <w:pPr>
        <w:ind w:left="1480" w:hanging="824"/>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shall mean the Securities Exchange Act of 1934, as amended.</w:t>
      </w:r>
    </w:p>
    <w:p>
      <w:pPr>
        <w:spacing w:after="0" w:line="273" w:lineRule="exact"/>
        <w:rPr>
          <w:rFonts w:ascii="Arial" w:cs="Arial" w:eastAsia="Arial" w:hAnsi="Arial"/>
          <w:sz w:val="18"/>
          <w:szCs w:val="18"/>
          <w:color w:val="auto"/>
        </w:rPr>
      </w:pPr>
    </w:p>
    <w:p>
      <w:pPr>
        <w:jc w:val="both"/>
        <w:ind w:firstLine="656"/>
        <w:spacing w:after="0" w:line="254" w:lineRule="auto"/>
        <w:tabs>
          <w:tab w:leader="none" w:pos="1556" w:val="left"/>
        </w:tabs>
        <w:numPr>
          <w:ilvl w:val="0"/>
          <w:numId w:val="2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Exercise Price</w:t>
      </w:r>
      <w:r>
        <w:rPr>
          <w:rFonts w:ascii="Arial" w:cs="Arial" w:eastAsia="Arial" w:hAnsi="Arial"/>
          <w:sz w:val="22"/>
          <w:szCs w:val="22"/>
          <w:color w:val="auto"/>
        </w:rPr>
        <w:t>” shall mean, in the case of an Option, the amount for which one Share may be purchased upon exercise of such Option, as specified in the applicable Stock Option Agreement. “Exercise Price,” in the case of a SAR, shall mean an amount, as specified in the applicable SAR Agreement, which is subtracted from the Fair Market Value of one Share in determining the amount payable upon exercise of such SAR.</w:t>
      </w:r>
    </w:p>
    <w:p>
      <w:pPr>
        <w:spacing w:after="0" w:line="225" w:lineRule="exact"/>
        <w:rPr>
          <w:rFonts w:ascii="Arial" w:cs="Arial" w:eastAsia="Arial" w:hAnsi="Arial"/>
          <w:sz w:val="18"/>
          <w:szCs w:val="18"/>
          <w:color w:val="auto"/>
        </w:rPr>
      </w:pPr>
    </w:p>
    <w:p>
      <w:pPr>
        <w:ind w:firstLine="656"/>
        <w:spacing w:after="0" w:line="276" w:lineRule="auto"/>
        <w:tabs>
          <w:tab w:leader="none" w:pos="1506" w:val="left"/>
        </w:tabs>
        <w:numPr>
          <w:ilvl w:val="0"/>
          <w:numId w:val="2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with respect to a Share, shall mean the market price of one Share, determined by the Committee as follows:</w:t>
      </w:r>
    </w:p>
    <w:p>
      <w:pPr>
        <w:spacing w:after="0" w:line="201" w:lineRule="exact"/>
        <w:rPr>
          <w:rFonts w:ascii="Arial" w:cs="Arial" w:eastAsia="Arial" w:hAnsi="Arial"/>
          <w:sz w:val="18"/>
          <w:szCs w:val="18"/>
          <w:color w:val="auto"/>
        </w:rPr>
      </w:pPr>
    </w:p>
    <w:p>
      <w:pPr>
        <w:jc w:val="both"/>
        <w:ind w:firstLine="1305"/>
        <w:spacing w:after="0" w:line="307" w:lineRule="auto"/>
        <w:tabs>
          <w:tab w:leader="none" w:pos="2115" w:val="left"/>
        </w:tabs>
        <w:numPr>
          <w:ilvl w:val="1"/>
          <w:numId w:val="20"/>
        </w:numPr>
        <w:rPr>
          <w:rFonts w:ascii="Arial" w:cs="Arial" w:eastAsia="Arial" w:hAnsi="Arial"/>
          <w:sz w:val="16"/>
          <w:szCs w:val="16"/>
          <w:color w:val="auto"/>
        </w:rPr>
      </w:pPr>
      <w:r>
        <w:rPr>
          <w:rFonts w:ascii="Arial" w:cs="Arial" w:eastAsia="Arial" w:hAnsi="Arial"/>
          <w:sz w:val="19"/>
          <w:szCs w:val="19"/>
          <w:color w:val="auto"/>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OTC Link Quote system;</w:t>
      </w:r>
    </w:p>
    <w:p>
      <w:pPr>
        <w:spacing w:after="0" w:line="178" w:lineRule="exact"/>
        <w:rPr>
          <w:rFonts w:ascii="Arial" w:cs="Arial" w:eastAsia="Arial" w:hAnsi="Arial"/>
          <w:sz w:val="16"/>
          <w:szCs w:val="16"/>
          <w:color w:val="auto"/>
        </w:rPr>
      </w:pPr>
    </w:p>
    <w:p>
      <w:pPr>
        <w:jc w:val="both"/>
        <w:ind w:firstLine="1305"/>
        <w:spacing w:after="0" w:line="260" w:lineRule="auto"/>
        <w:tabs>
          <w:tab w:leader="none" w:pos="2165" w:val="left"/>
        </w:tabs>
        <w:numPr>
          <w:ilvl w:val="1"/>
          <w:numId w:val="20"/>
        </w:numPr>
        <w:rPr>
          <w:rFonts w:ascii="Arial" w:cs="Arial" w:eastAsia="Arial" w:hAnsi="Arial"/>
          <w:sz w:val="18"/>
          <w:szCs w:val="18"/>
          <w:color w:val="auto"/>
        </w:rPr>
      </w:pPr>
      <w:r>
        <w:rPr>
          <w:rFonts w:ascii="Arial" w:cs="Arial" w:eastAsia="Arial" w:hAnsi="Arial"/>
          <w:sz w:val="22"/>
          <w:szCs w:val="22"/>
          <w:color w:val="auto"/>
        </w:rPr>
        <w:t>If the Stock was traded on any established stock exchange (such as the New York Stock Exchange or The NASDAQ Stock Market) or national market system on the date in question, then the Fair Market Value shall be equal to the closing price reported for such date by the applicable exchange or system; and</w:t>
      </w:r>
    </w:p>
    <w:p>
      <w:pPr>
        <w:spacing w:after="0" w:line="217" w:lineRule="exact"/>
        <w:rPr>
          <w:rFonts w:ascii="Arial" w:cs="Arial" w:eastAsia="Arial" w:hAnsi="Arial"/>
          <w:sz w:val="18"/>
          <w:szCs w:val="18"/>
          <w:color w:val="auto"/>
        </w:rPr>
      </w:pPr>
    </w:p>
    <w:p>
      <w:pPr>
        <w:ind w:right="20" w:firstLine="1305"/>
        <w:spacing w:after="0" w:line="258" w:lineRule="auto"/>
        <w:tabs>
          <w:tab w:leader="none" w:pos="2215" w:val="left"/>
        </w:tabs>
        <w:numPr>
          <w:ilvl w:val="1"/>
          <w:numId w:val="20"/>
        </w:numPr>
        <w:rPr>
          <w:rFonts w:ascii="Arial" w:cs="Arial" w:eastAsia="Arial" w:hAnsi="Arial"/>
          <w:sz w:val="18"/>
          <w:szCs w:val="18"/>
          <w:color w:val="auto"/>
        </w:rPr>
      </w:pPr>
      <w:r>
        <w:rPr>
          <w:rFonts w:ascii="Arial" w:cs="Arial" w:eastAsia="Arial" w:hAnsi="Arial"/>
          <w:sz w:val="22"/>
          <w:szCs w:val="22"/>
          <w:color w:val="auto"/>
        </w:rPr>
        <w:t>If none of the foregoing provisions is applicable, then the Fair Market Value shall be determined by the Committee in good faith on such basis as it deems appropriate.</w:t>
      </w:r>
    </w:p>
    <w:p>
      <w:pPr>
        <w:spacing w:after="0"/>
        <w:rPr>
          <w:rFonts w:ascii="Arial" w:cs="Arial" w:eastAsia="Arial" w:hAnsi="Arial"/>
          <w:sz w:val="18"/>
          <w:szCs w:val="18"/>
          <w:color w:val="auto"/>
        </w:rPr>
      </w:pPr>
      <w:r>
        <w:rPr>
          <w:rFonts w:ascii="Arial" w:cs="Arial" w:eastAsia="Arial" w:hAnsi="Arial"/>
          <w:sz w:val="22"/>
          <w:szCs w:val="22"/>
          <w:color w:val="auto"/>
        </w:rPr>
        <w:t>In all cases, the determination of Fair Market Value by the Committee shall be conclusive and binding on all persons.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55" w:name="page56"/>
    <w:bookmarkEnd w:id="55"/>
    <w:p>
      <w:pPr>
        <w:ind w:left="1520" w:hanging="864"/>
        <w:spacing w:after="0"/>
        <w:tabs>
          <w:tab w:leader="none" w:pos="1520" w:val="left"/>
        </w:tabs>
        <w:numPr>
          <w:ilvl w:val="0"/>
          <w:numId w:val="21"/>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ISO</w:t>
      </w:r>
      <w:r>
        <w:rPr>
          <w:rFonts w:ascii="Arial" w:cs="Arial" w:eastAsia="Arial" w:hAnsi="Arial"/>
          <w:sz w:val="22"/>
          <w:szCs w:val="22"/>
          <w:color w:val="auto"/>
        </w:rPr>
        <w:t>” shall mean an employee incentive stock option described in Section 422 of the Code.</w:t>
      </w:r>
    </w:p>
    <w:p>
      <w:pPr>
        <w:spacing w:after="0" w:line="273" w:lineRule="exact"/>
        <w:rPr>
          <w:rFonts w:ascii="Arial" w:cs="Arial" w:eastAsia="Arial" w:hAnsi="Arial"/>
          <w:sz w:val="18"/>
          <w:szCs w:val="18"/>
          <w:color w:val="auto"/>
        </w:rPr>
      </w:pPr>
    </w:p>
    <w:p>
      <w:pPr>
        <w:ind w:left="1520" w:hanging="864"/>
        <w:spacing w:after="0"/>
        <w:tabs>
          <w:tab w:leader="none" w:pos="1520" w:val="left"/>
        </w:tabs>
        <w:numPr>
          <w:ilvl w:val="0"/>
          <w:numId w:val="21"/>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Option</w:t>
      </w:r>
      <w:r>
        <w:rPr>
          <w:rFonts w:ascii="Arial" w:cs="Arial" w:eastAsia="Arial" w:hAnsi="Arial"/>
          <w:sz w:val="22"/>
          <w:szCs w:val="22"/>
          <w:color w:val="auto"/>
        </w:rPr>
        <w:t>” or “</w:t>
      </w:r>
      <w:r>
        <w:rPr>
          <w:rFonts w:ascii="Arial" w:cs="Arial" w:eastAsia="Arial" w:hAnsi="Arial"/>
          <w:sz w:val="22"/>
          <w:szCs w:val="22"/>
          <w:b w:val="1"/>
          <w:bCs w:val="1"/>
          <w:i w:val="1"/>
          <w:iCs w:val="1"/>
          <w:color w:val="auto"/>
        </w:rPr>
        <w:t>NSO</w:t>
      </w:r>
      <w:r>
        <w:rPr>
          <w:rFonts w:ascii="Arial" w:cs="Arial" w:eastAsia="Arial" w:hAnsi="Arial"/>
          <w:sz w:val="22"/>
          <w:szCs w:val="22"/>
          <w:color w:val="auto"/>
        </w:rPr>
        <w:t>” shall mean an employee stock option that is not an ISO.</w:t>
      </w:r>
    </w:p>
    <w:p>
      <w:pPr>
        <w:spacing w:after="0" w:line="273" w:lineRule="exact"/>
        <w:rPr>
          <w:rFonts w:ascii="Arial" w:cs="Arial" w:eastAsia="Arial" w:hAnsi="Arial"/>
          <w:sz w:val="18"/>
          <w:szCs w:val="18"/>
          <w:color w:val="auto"/>
        </w:rPr>
      </w:pPr>
    </w:p>
    <w:p>
      <w:pPr>
        <w:ind w:left="1520" w:hanging="864"/>
        <w:spacing w:after="0"/>
        <w:tabs>
          <w:tab w:leader="none" w:pos="1520" w:val="left"/>
        </w:tabs>
        <w:numPr>
          <w:ilvl w:val="0"/>
          <w:numId w:val="21"/>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shall mean an ISO or Nonstatutory Option granted under the Plan and entitling the holder to purchase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Shares.</w:t>
      </w:r>
    </w:p>
    <w:p>
      <w:pPr>
        <w:spacing w:after="0" w:line="256" w:lineRule="exact"/>
        <w:rPr>
          <w:sz w:val="20"/>
          <w:szCs w:val="20"/>
          <w:color w:val="auto"/>
        </w:rPr>
      </w:pPr>
    </w:p>
    <w:p>
      <w:pPr>
        <w:ind w:firstLine="656"/>
        <w:spacing w:after="0" w:line="276" w:lineRule="auto"/>
        <w:tabs>
          <w:tab w:leader="none" w:pos="1476" w:val="left"/>
        </w:tabs>
        <w:numPr>
          <w:ilvl w:val="0"/>
          <w:numId w:val="2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Outside Director</w:t>
      </w:r>
      <w:r>
        <w:rPr>
          <w:rFonts w:ascii="Arial" w:cs="Arial" w:eastAsia="Arial" w:hAnsi="Arial"/>
          <w:sz w:val="22"/>
          <w:szCs w:val="22"/>
          <w:color w:val="auto"/>
        </w:rPr>
        <w:t>” shall mean a member of the Board of Directors who is not a common-law employee of, or paid consultant to, the Company, a Parent or a Subsidiary.</w:t>
      </w:r>
    </w:p>
    <w:p>
      <w:pPr>
        <w:spacing w:after="0" w:line="201" w:lineRule="exact"/>
        <w:rPr>
          <w:rFonts w:ascii="Arial" w:cs="Arial" w:eastAsia="Arial" w:hAnsi="Arial"/>
          <w:sz w:val="18"/>
          <w:szCs w:val="18"/>
          <w:color w:val="auto"/>
        </w:rPr>
      </w:pPr>
    </w:p>
    <w:p>
      <w:pPr>
        <w:jc w:val="both"/>
        <w:ind w:firstLine="656"/>
        <w:spacing w:after="0" w:line="270" w:lineRule="auto"/>
        <w:tabs>
          <w:tab w:leader="none" w:pos="1486" w:val="left"/>
        </w:tabs>
        <w:numPr>
          <w:ilvl w:val="0"/>
          <w:numId w:val="22"/>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209" w:lineRule="exact"/>
        <w:rPr>
          <w:rFonts w:ascii="Arial" w:cs="Arial" w:eastAsia="Arial" w:hAnsi="Arial"/>
          <w:sz w:val="17"/>
          <w:szCs w:val="17"/>
          <w:color w:val="auto"/>
        </w:rPr>
      </w:pPr>
    </w:p>
    <w:p>
      <w:pPr>
        <w:ind w:left="1480" w:hanging="824"/>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shall mean a person who holds an Award.</w:t>
      </w:r>
    </w:p>
    <w:p>
      <w:pPr>
        <w:spacing w:after="0" w:line="273" w:lineRule="exact"/>
        <w:rPr>
          <w:rFonts w:ascii="Arial" w:cs="Arial" w:eastAsia="Arial" w:hAnsi="Arial"/>
          <w:sz w:val="18"/>
          <w:szCs w:val="18"/>
          <w:color w:val="auto"/>
        </w:rPr>
      </w:pPr>
    </w:p>
    <w:p>
      <w:pPr>
        <w:ind w:firstLine="656"/>
        <w:spacing w:after="0" w:line="358" w:lineRule="auto"/>
        <w:tabs>
          <w:tab w:leader="none" w:pos="1506" w:val="left"/>
        </w:tabs>
        <w:numPr>
          <w:ilvl w:val="0"/>
          <w:numId w:val="22"/>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Based Award</w:t>
      </w:r>
      <w:r>
        <w:rPr>
          <w:rFonts w:ascii="Arial" w:cs="Arial" w:eastAsia="Arial" w:hAnsi="Arial"/>
          <w:sz w:val="19"/>
          <w:szCs w:val="19"/>
          <w:color w:val="auto"/>
        </w:rPr>
        <w:t>” shall mean any Restricted Share Award, Stock Unit Award or Cash-Based Award granted to a Participant that is intended to qualify as “performance-based compensation” under Section 162(m) of the Code.</w:t>
      </w:r>
    </w:p>
    <w:p>
      <w:pPr>
        <w:spacing w:after="0" w:line="131" w:lineRule="exact"/>
        <w:rPr>
          <w:rFonts w:ascii="Arial" w:cs="Arial" w:eastAsia="Arial" w:hAnsi="Arial"/>
          <w:sz w:val="16"/>
          <w:szCs w:val="16"/>
          <w:color w:val="auto"/>
        </w:rPr>
      </w:pPr>
    </w:p>
    <w:p>
      <w:pPr>
        <w:ind w:left="1520" w:hanging="864"/>
        <w:spacing w:after="0"/>
        <w:tabs>
          <w:tab w:leader="none" w:pos="1520" w:val="left"/>
        </w:tabs>
        <w:numPr>
          <w:ilvl w:val="0"/>
          <w:numId w:val="2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shall mean this 2013 Stock Incentive Plan of Veracyte, Inc., as amended from time to time.</w:t>
      </w:r>
    </w:p>
    <w:p>
      <w:pPr>
        <w:spacing w:after="0" w:line="273" w:lineRule="exact"/>
        <w:rPr>
          <w:rFonts w:ascii="Arial" w:cs="Arial" w:eastAsia="Arial" w:hAnsi="Arial"/>
          <w:sz w:val="18"/>
          <w:szCs w:val="18"/>
          <w:color w:val="auto"/>
        </w:rPr>
      </w:pPr>
    </w:p>
    <w:p>
      <w:pPr>
        <w:ind w:firstLine="656"/>
        <w:spacing w:after="0" w:line="276" w:lineRule="auto"/>
        <w:tabs>
          <w:tab w:leader="none" w:pos="1546" w:val="left"/>
        </w:tabs>
        <w:numPr>
          <w:ilvl w:val="0"/>
          <w:numId w:val="2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 shall mean the consideration for which one Share may be acquired under the Plan (other than upon exercise of an Option), as specified by the Committee.</w:t>
      </w:r>
    </w:p>
    <w:p>
      <w:pPr>
        <w:spacing w:after="0" w:line="201" w:lineRule="exact"/>
        <w:rPr>
          <w:rFonts w:ascii="Arial" w:cs="Arial" w:eastAsia="Arial" w:hAnsi="Arial"/>
          <w:sz w:val="18"/>
          <w:szCs w:val="18"/>
          <w:color w:val="auto"/>
        </w:rPr>
      </w:pPr>
    </w:p>
    <w:p>
      <w:pPr>
        <w:ind w:left="1520" w:hanging="864"/>
        <w:spacing w:after="0"/>
        <w:tabs>
          <w:tab w:leader="none" w:pos="1520" w:val="left"/>
        </w:tabs>
        <w:numPr>
          <w:ilvl w:val="0"/>
          <w:numId w:val="2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Share</w:t>
      </w:r>
      <w:r>
        <w:rPr>
          <w:rFonts w:ascii="Arial" w:cs="Arial" w:eastAsia="Arial" w:hAnsi="Arial"/>
          <w:sz w:val="22"/>
          <w:szCs w:val="22"/>
          <w:color w:val="auto"/>
        </w:rPr>
        <w:t>” shall mean a Share awarded under the Plan.</w:t>
      </w:r>
    </w:p>
    <w:p>
      <w:pPr>
        <w:spacing w:after="0" w:line="273" w:lineRule="exact"/>
        <w:rPr>
          <w:rFonts w:ascii="Arial" w:cs="Arial" w:eastAsia="Arial" w:hAnsi="Arial"/>
          <w:sz w:val="18"/>
          <w:szCs w:val="18"/>
          <w:color w:val="auto"/>
        </w:rPr>
      </w:pPr>
    </w:p>
    <w:p>
      <w:pPr>
        <w:ind w:left="1520" w:hanging="864"/>
        <w:spacing w:after="0"/>
        <w:tabs>
          <w:tab w:leader="none" w:pos="1520" w:val="left"/>
        </w:tabs>
        <w:numPr>
          <w:ilvl w:val="0"/>
          <w:numId w:val="2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SAR</w:t>
      </w:r>
      <w:r>
        <w:rPr>
          <w:rFonts w:ascii="Arial" w:cs="Arial" w:eastAsia="Arial" w:hAnsi="Arial"/>
          <w:sz w:val="22"/>
          <w:szCs w:val="22"/>
          <w:color w:val="auto"/>
        </w:rPr>
        <w:t>” shall mean a stock appreciation right granted under the Plan.</w:t>
      </w:r>
    </w:p>
    <w:p>
      <w:pPr>
        <w:spacing w:after="0" w:line="273" w:lineRule="exact"/>
        <w:rPr>
          <w:rFonts w:ascii="Arial" w:cs="Arial" w:eastAsia="Arial" w:hAnsi="Arial"/>
          <w:sz w:val="18"/>
          <w:szCs w:val="18"/>
          <w:color w:val="auto"/>
        </w:rPr>
      </w:pPr>
    </w:p>
    <w:p>
      <w:pPr>
        <w:jc w:val="both"/>
        <w:ind w:firstLine="656"/>
        <w:spacing w:after="0" w:line="292" w:lineRule="auto"/>
        <w:tabs>
          <w:tab w:leader="none" w:pos="1496" w:val="left"/>
        </w:tabs>
        <w:numPr>
          <w:ilvl w:val="0"/>
          <w:numId w:val="22"/>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shall mean service as an Employee, Consultant or Outside Director, subject to such further limitations as may be set forth in the Plan or the applicable Award Agreement.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employment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of absence count toward Service, and when Service terminates for all purposes under the Plan.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56" w:name="page57"/>
    <w:bookmarkEnd w:id="56"/>
    <w:p>
      <w:pPr>
        <w:ind w:left="1200" w:hanging="544"/>
        <w:spacing w:after="0"/>
        <w:tabs>
          <w:tab w:leader="none" w:pos="12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w:t>
      </w:r>
      <w:r>
        <w:rPr>
          <w:rFonts w:ascii="Arial" w:cs="Arial" w:eastAsia="Arial" w:hAnsi="Arial"/>
          <w:sz w:val="22"/>
          <w:szCs w:val="22"/>
          <w:color w:val="auto"/>
        </w:rPr>
        <w:t>” shall mean one share of Stock, as adjusted in accordance with Section 12 (if applicable).</w:t>
      </w:r>
    </w:p>
    <w:p>
      <w:pPr>
        <w:spacing w:after="0" w:line="260" w:lineRule="exact"/>
        <w:rPr>
          <w:rFonts w:ascii="Arial" w:cs="Arial" w:eastAsia="Arial" w:hAnsi="Arial"/>
          <w:sz w:val="22"/>
          <w:szCs w:val="22"/>
          <w:color w:val="auto"/>
        </w:rPr>
      </w:pPr>
    </w:p>
    <w:p>
      <w:pPr>
        <w:ind w:left="1280" w:hanging="624"/>
        <w:spacing w:after="0"/>
        <w:tabs>
          <w:tab w:leader="none" w:pos="12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w:t>
      </w:r>
      <w:r>
        <w:rPr>
          <w:rFonts w:ascii="Arial" w:cs="Arial" w:eastAsia="Arial" w:hAnsi="Arial"/>
          <w:sz w:val="22"/>
          <w:szCs w:val="22"/>
          <w:color w:val="auto"/>
        </w:rPr>
        <w:t>” shall mean the Common Stock of the Company.</w:t>
      </w:r>
    </w:p>
    <w:p>
      <w:pPr>
        <w:spacing w:after="0" w:line="260" w:lineRule="exact"/>
        <w:rPr>
          <w:rFonts w:ascii="Arial" w:cs="Arial" w:eastAsia="Arial" w:hAnsi="Arial"/>
          <w:sz w:val="22"/>
          <w:szCs w:val="22"/>
          <w:color w:val="auto"/>
        </w:rPr>
      </w:pPr>
    </w:p>
    <w:p>
      <w:pPr>
        <w:ind w:firstLine="656"/>
        <w:spacing w:after="0" w:line="263" w:lineRule="auto"/>
        <w:tabs>
          <w:tab w:leader="none" w:pos="1362" w:val="left"/>
        </w:tabs>
        <w:numPr>
          <w:ilvl w:val="0"/>
          <w:numId w:val="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 Unit</w:t>
      </w:r>
      <w:r>
        <w:rPr>
          <w:rFonts w:ascii="Arial" w:cs="Arial" w:eastAsia="Arial" w:hAnsi="Arial"/>
          <w:sz w:val="22"/>
          <w:szCs w:val="22"/>
          <w:color w:val="auto"/>
        </w:rPr>
        <w:t>” shall mean a bookkeeping entry representing the Company’s obligation to deliver one Share (or distribute cash) on a future date in accordance with the provisions of a Stock Unit Award Agreement.</w:t>
      </w:r>
    </w:p>
    <w:p>
      <w:pPr>
        <w:spacing w:after="0" w:line="215" w:lineRule="exact"/>
        <w:rPr>
          <w:rFonts w:ascii="Arial" w:cs="Arial" w:eastAsia="Arial" w:hAnsi="Arial"/>
          <w:sz w:val="22"/>
          <w:szCs w:val="22"/>
          <w:color w:val="auto"/>
        </w:rPr>
      </w:pPr>
    </w:p>
    <w:p>
      <w:pPr>
        <w:jc w:val="both"/>
        <w:ind w:firstLine="656"/>
        <w:spacing w:after="0" w:line="312" w:lineRule="auto"/>
        <w:tabs>
          <w:tab w:leader="none" w:pos="1278" w:val="left"/>
        </w:tabs>
        <w:numPr>
          <w:ilvl w:val="0"/>
          <w:numId w:val="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shall mean any corporation, if the Company and/or one or more other Subsidiaries own not less than 50% of the total combined voting power of all classes of outstanding stock of such corporation. A corporation that attains the status of a Subsidiary on a date after the adoption of the Plan shall be considered a Subsidiary commencing as of such date.</w:t>
      </w:r>
    </w:p>
    <w:p>
      <w:pPr>
        <w:spacing w:after="0" w:line="174" w:lineRule="exact"/>
        <w:rPr>
          <w:rFonts w:ascii="Arial" w:cs="Arial" w:eastAsia="Arial" w:hAnsi="Arial"/>
          <w:sz w:val="19"/>
          <w:szCs w:val="19"/>
          <w:color w:val="auto"/>
        </w:rPr>
      </w:pPr>
    </w:p>
    <w:p>
      <w:pPr>
        <w:ind w:left="1200" w:hanging="544"/>
        <w:spacing w:after="0"/>
        <w:tabs>
          <w:tab w:leader="none" w:pos="12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and Permanent Disability</w:t>
      </w:r>
      <w:r>
        <w:rPr>
          <w:rFonts w:ascii="Arial" w:cs="Arial" w:eastAsia="Arial" w:hAnsi="Arial"/>
          <w:sz w:val="19"/>
          <w:szCs w:val="19"/>
          <w:color w:val="auto"/>
        </w:rPr>
        <w:t>” shall mean any permanent and total disability as defined by Section 22(e)(3)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Code.</w:t>
      </w:r>
    </w:p>
    <w:p>
      <w:pPr>
        <w:spacing w:after="0" w:line="236"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SECTION 3.</w:t>
        <w:tab/>
        <w:t>ADMINISTRATION.</w:t>
      </w:r>
    </w:p>
    <w:p>
      <w:pPr>
        <w:spacing w:after="0" w:line="266" w:lineRule="exact"/>
        <w:rPr>
          <w:sz w:val="20"/>
          <w:szCs w:val="20"/>
          <w:color w:val="auto"/>
        </w:rPr>
      </w:pPr>
    </w:p>
    <w:p>
      <w:pPr>
        <w:jc w:val="both"/>
        <w:ind w:firstLine="656"/>
        <w:spacing w:after="0" w:line="294" w:lineRule="auto"/>
        <w:tabs>
          <w:tab w:leader="none" w:pos="1185"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Committee Composition</w:t>
      </w:r>
      <w:r>
        <w:rPr>
          <w:rFonts w:ascii="Arial" w:cs="Arial" w:eastAsia="Arial" w:hAnsi="Arial"/>
          <w:sz w:val="19"/>
          <w:szCs w:val="19"/>
          <w:color w:val="auto"/>
        </w:rPr>
        <w:t>. The Plan shall be administered by a Committee appointed by the Board, or by the Board acting as the Committee. The Committee shall consist of two or more directors of the Company. In addition, to the extent required by the Board, the composition of the Committee shall satisfy (i) such requirements as the Securities and Exchange Commission may establish for administrators acting under plans intended to qualify for exemption under Rule 16b-3 (or its successor) under the Exchange Act; and (ii) such requirements as the Internal Revenue Service may establish for outside directors acting under plans intended to qualify for exemption under Section 162(m)(4)(C) of the Code.</w:t>
      </w:r>
    </w:p>
    <w:p>
      <w:pPr>
        <w:spacing w:after="0" w:line="190" w:lineRule="exact"/>
        <w:rPr>
          <w:rFonts w:ascii="Arial" w:cs="Arial" w:eastAsia="Arial" w:hAnsi="Arial"/>
          <w:sz w:val="19"/>
          <w:szCs w:val="19"/>
          <w:color w:val="auto"/>
        </w:rPr>
      </w:pPr>
    </w:p>
    <w:p>
      <w:pPr>
        <w:jc w:val="both"/>
        <w:ind w:firstLine="656"/>
        <w:spacing w:after="0" w:line="284" w:lineRule="auto"/>
        <w:tabs>
          <w:tab w:leader="none" w:pos="1143"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Committee for Non-Officer Grants</w:t>
      </w:r>
      <w:r>
        <w:rPr>
          <w:rFonts w:ascii="Arial" w:cs="Arial" w:eastAsia="Arial" w:hAnsi="Arial"/>
          <w:sz w:val="19"/>
          <w:szCs w:val="19"/>
          <w:color w:val="auto"/>
        </w:rPr>
        <w:t>. The Board may also appoint one or more separate committees of the Board, each composed of one or more directors of the Company who need not satisfy the requirements of Section 3(a), who may administer the Plan with respect to Employees who are not considered officers or directors of the Company under Section 16 of the Exchange Act, may grant Awards under the Plan to such Employees and may determine all terms of such Awards. Within the limitations of the preceding sentence, any reference in the Plan to the Committee shall include such committee or committees appointed pursuant to the preceding sentence. To the extent permitted by applicable laws, the Board of Directors may also authorize one or more officers of the Company to designate Employees, other than officers under Section 16 of the Exchange Act, to receive Awards and/or to determine the number of such Awards to be received by such persons; provided, however, that the Board of Directors shall specify the total number of Awards that such officers may so grant.</w:t>
      </w:r>
    </w:p>
    <w:p>
      <w:pPr>
        <w:jc w:val="both"/>
        <w:ind w:firstLine="656"/>
        <w:spacing w:after="0" w:line="244" w:lineRule="auto"/>
        <w:tabs>
          <w:tab w:leader="none" w:pos="1104"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Committee Procedures</w:t>
      </w:r>
      <w:r>
        <w:rPr>
          <w:rFonts w:ascii="Arial" w:cs="Arial" w:eastAsia="Arial" w:hAnsi="Arial"/>
          <w:sz w:val="22"/>
          <w:szCs w:val="22"/>
          <w:color w:val="auto"/>
        </w:rPr>
        <w:t>. The Board of Directors shall designate one of the members of the Committee as chairman. The Committee may hold meetings at such times and places as it shall determine. The acts of a majority of the Committee members present at meetings at which a quorum exists, or acts reduced to or approved in writing (including via email) by all Committee members, shall be valid acts of the Committee.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57" w:name="page58"/>
    <w:bookmarkEnd w:id="57"/>
    <w:p>
      <w:pPr>
        <w:ind w:right="20" w:firstLine="656"/>
        <w:spacing w:after="0" w:line="263" w:lineRule="auto"/>
        <w:tabs>
          <w:tab w:leader="none" w:pos="1278"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Committee Responsibilities</w:t>
      </w:r>
      <w:r>
        <w:rPr>
          <w:rFonts w:ascii="Arial" w:cs="Arial" w:eastAsia="Arial" w:hAnsi="Arial"/>
          <w:sz w:val="22"/>
          <w:szCs w:val="22"/>
          <w:color w:val="auto"/>
        </w:rPr>
        <w:t>. Subject to the provisions of the Plan, the Committee shall have full authority and discretion to take the following actions:</w:t>
      </w:r>
    </w:p>
    <w:p>
      <w:pPr>
        <w:spacing w:after="0" w:line="215" w:lineRule="exact"/>
        <w:rPr>
          <w:rFonts w:ascii="Arial" w:cs="Arial" w:eastAsia="Arial" w:hAnsi="Arial"/>
          <w:sz w:val="22"/>
          <w:szCs w:val="22"/>
          <w:color w:val="auto"/>
        </w:rPr>
      </w:pPr>
    </w:p>
    <w:p>
      <w:pPr>
        <w:ind w:left="2120" w:hanging="815"/>
        <w:spacing w:after="0"/>
        <w:tabs>
          <w:tab w:leader="none" w:pos="2120" w:val="left"/>
        </w:tabs>
        <w:numPr>
          <w:ilvl w:val="1"/>
          <w:numId w:val="25"/>
        </w:numPr>
        <w:rPr>
          <w:rFonts w:ascii="Arial" w:cs="Arial" w:eastAsia="Arial" w:hAnsi="Arial"/>
          <w:sz w:val="18"/>
          <w:szCs w:val="18"/>
          <w:color w:val="auto"/>
        </w:rPr>
      </w:pPr>
      <w:r>
        <w:rPr>
          <w:rFonts w:ascii="Arial" w:cs="Arial" w:eastAsia="Arial" w:hAnsi="Arial"/>
          <w:sz w:val="22"/>
          <w:szCs w:val="22"/>
          <w:color w:val="auto"/>
        </w:rPr>
        <w:t>To interpret the Plan and to apply its provisions;</w:t>
      </w:r>
    </w:p>
    <w:p>
      <w:pPr>
        <w:spacing w:after="0" w:line="273" w:lineRule="exact"/>
        <w:rPr>
          <w:rFonts w:ascii="Arial" w:cs="Arial" w:eastAsia="Arial" w:hAnsi="Arial"/>
          <w:sz w:val="18"/>
          <w:szCs w:val="18"/>
          <w:color w:val="auto"/>
        </w:rPr>
      </w:pPr>
    </w:p>
    <w:p>
      <w:pPr>
        <w:ind w:left="2180" w:hanging="875"/>
        <w:spacing w:after="0"/>
        <w:tabs>
          <w:tab w:leader="none" w:pos="2180" w:val="left"/>
        </w:tabs>
        <w:numPr>
          <w:ilvl w:val="1"/>
          <w:numId w:val="25"/>
        </w:numPr>
        <w:rPr>
          <w:rFonts w:ascii="Arial" w:cs="Arial" w:eastAsia="Arial" w:hAnsi="Arial"/>
          <w:sz w:val="18"/>
          <w:szCs w:val="18"/>
          <w:color w:val="auto"/>
        </w:rPr>
      </w:pPr>
      <w:r>
        <w:rPr>
          <w:rFonts w:ascii="Arial" w:cs="Arial" w:eastAsia="Arial" w:hAnsi="Arial"/>
          <w:sz w:val="22"/>
          <w:szCs w:val="22"/>
          <w:color w:val="auto"/>
        </w:rPr>
        <w:t>To adopt, amend or rescind rules, procedures and forms relating to the Plan;</w:t>
      </w:r>
    </w:p>
    <w:p>
      <w:pPr>
        <w:spacing w:after="0" w:line="273" w:lineRule="exact"/>
        <w:rPr>
          <w:rFonts w:ascii="Arial" w:cs="Arial" w:eastAsia="Arial" w:hAnsi="Arial"/>
          <w:sz w:val="18"/>
          <w:szCs w:val="18"/>
          <w:color w:val="auto"/>
        </w:rPr>
      </w:pPr>
    </w:p>
    <w:p>
      <w:pPr>
        <w:ind w:firstLine="1305"/>
        <w:spacing w:after="0" w:line="276" w:lineRule="auto"/>
        <w:tabs>
          <w:tab w:leader="none" w:pos="2215" w:val="left"/>
        </w:tabs>
        <w:numPr>
          <w:ilvl w:val="1"/>
          <w:numId w:val="25"/>
        </w:numPr>
        <w:rPr>
          <w:rFonts w:ascii="Arial" w:cs="Arial" w:eastAsia="Arial" w:hAnsi="Arial"/>
          <w:sz w:val="18"/>
          <w:szCs w:val="18"/>
          <w:color w:val="auto"/>
        </w:rPr>
      </w:pPr>
      <w:r>
        <w:rPr>
          <w:rFonts w:ascii="Arial" w:cs="Arial" w:eastAsia="Arial" w:hAnsi="Arial"/>
          <w:sz w:val="22"/>
          <w:szCs w:val="22"/>
          <w:color w:val="auto"/>
        </w:rPr>
        <w:t>To adopt, amend or terminate sub-plans established for the purpose of satisfying applicable foreign laws including qualifying for preferred tax treatment under applicable foreign tax laws;</w:t>
      </w:r>
    </w:p>
    <w:p>
      <w:pPr>
        <w:spacing w:after="0" w:line="201" w:lineRule="exact"/>
        <w:rPr>
          <w:rFonts w:ascii="Arial" w:cs="Arial" w:eastAsia="Arial" w:hAnsi="Arial"/>
          <w:sz w:val="18"/>
          <w:szCs w:val="18"/>
          <w:color w:val="auto"/>
        </w:rPr>
      </w:pPr>
    </w:p>
    <w:p>
      <w:pPr>
        <w:ind w:left="2220" w:hanging="915"/>
        <w:spacing w:after="0"/>
        <w:tabs>
          <w:tab w:leader="none" w:pos="2220" w:val="left"/>
        </w:tabs>
        <w:numPr>
          <w:ilvl w:val="1"/>
          <w:numId w:val="25"/>
        </w:numPr>
        <w:rPr>
          <w:rFonts w:ascii="Arial" w:cs="Arial" w:eastAsia="Arial" w:hAnsi="Arial"/>
          <w:sz w:val="16"/>
          <w:szCs w:val="16"/>
          <w:color w:val="auto"/>
        </w:rPr>
      </w:pPr>
      <w:r>
        <w:rPr>
          <w:rFonts w:ascii="Arial" w:cs="Arial" w:eastAsia="Arial" w:hAnsi="Arial"/>
          <w:sz w:val="19"/>
          <w:szCs w:val="19"/>
          <w:color w:val="auto"/>
        </w:rPr>
        <w:t>To authorize any person to execute, on behalf of the Company, any instrument required to carry out the</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purposes of the Plan;</w:t>
      </w:r>
    </w:p>
    <w:p>
      <w:pPr>
        <w:spacing w:after="0" w:line="255" w:lineRule="exact"/>
        <w:rPr>
          <w:rFonts w:ascii="Arial" w:cs="Arial" w:eastAsia="Arial" w:hAnsi="Arial"/>
          <w:sz w:val="16"/>
          <w:szCs w:val="16"/>
          <w:color w:val="auto"/>
        </w:rPr>
      </w:pPr>
    </w:p>
    <w:p>
      <w:pPr>
        <w:ind w:left="2160" w:hanging="855"/>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22"/>
          <w:szCs w:val="22"/>
          <w:color w:val="auto"/>
        </w:rPr>
        <w:t>To determine when Awards are to be granted under the Plan;</w:t>
      </w:r>
    </w:p>
    <w:p>
      <w:pPr>
        <w:spacing w:after="0" w:line="273" w:lineRule="exact"/>
        <w:rPr>
          <w:rFonts w:ascii="Arial" w:cs="Arial" w:eastAsia="Arial" w:hAnsi="Arial"/>
          <w:sz w:val="18"/>
          <w:szCs w:val="18"/>
          <w:color w:val="auto"/>
        </w:rPr>
      </w:pPr>
    </w:p>
    <w:p>
      <w:pPr>
        <w:ind w:left="2220" w:hanging="915"/>
        <w:spacing w:after="0"/>
        <w:tabs>
          <w:tab w:leader="none" w:pos="2220" w:val="left"/>
        </w:tabs>
        <w:numPr>
          <w:ilvl w:val="1"/>
          <w:numId w:val="25"/>
        </w:numPr>
        <w:rPr>
          <w:rFonts w:ascii="Arial" w:cs="Arial" w:eastAsia="Arial" w:hAnsi="Arial"/>
          <w:sz w:val="18"/>
          <w:szCs w:val="18"/>
          <w:color w:val="auto"/>
        </w:rPr>
      </w:pPr>
      <w:r>
        <w:rPr>
          <w:rFonts w:ascii="Arial" w:cs="Arial" w:eastAsia="Arial" w:hAnsi="Arial"/>
          <w:sz w:val="22"/>
          <w:szCs w:val="22"/>
          <w:color w:val="auto"/>
        </w:rPr>
        <w:t>To select the Participants to whom Awards are to be granted;</w:t>
      </w:r>
    </w:p>
    <w:p>
      <w:pPr>
        <w:spacing w:after="0" w:line="273" w:lineRule="exact"/>
        <w:rPr>
          <w:rFonts w:ascii="Arial" w:cs="Arial" w:eastAsia="Arial" w:hAnsi="Arial"/>
          <w:sz w:val="18"/>
          <w:szCs w:val="18"/>
          <w:color w:val="auto"/>
        </w:rPr>
      </w:pPr>
    </w:p>
    <w:p>
      <w:pPr>
        <w:ind w:left="2260" w:hanging="955"/>
        <w:spacing w:after="0"/>
        <w:tabs>
          <w:tab w:leader="none" w:pos="2260" w:val="left"/>
        </w:tabs>
        <w:numPr>
          <w:ilvl w:val="1"/>
          <w:numId w:val="25"/>
        </w:numPr>
        <w:rPr>
          <w:rFonts w:ascii="Arial" w:cs="Arial" w:eastAsia="Arial" w:hAnsi="Arial"/>
          <w:sz w:val="16"/>
          <w:szCs w:val="16"/>
          <w:color w:val="auto"/>
        </w:rPr>
      </w:pPr>
      <w:r>
        <w:rPr>
          <w:rFonts w:ascii="Arial" w:cs="Arial" w:eastAsia="Arial" w:hAnsi="Arial"/>
          <w:sz w:val="19"/>
          <w:szCs w:val="19"/>
          <w:color w:val="auto"/>
        </w:rPr>
        <w:t>To determine the type of Award and number of Shares or amount of cash to be made subject to each</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Award;</w:t>
      </w:r>
    </w:p>
    <w:p>
      <w:pPr>
        <w:spacing w:after="0" w:line="255" w:lineRule="exact"/>
        <w:rPr>
          <w:rFonts w:ascii="Arial" w:cs="Arial" w:eastAsia="Arial" w:hAnsi="Arial"/>
          <w:sz w:val="16"/>
          <w:szCs w:val="16"/>
          <w:color w:val="auto"/>
        </w:rPr>
      </w:pPr>
    </w:p>
    <w:p>
      <w:pPr>
        <w:jc w:val="both"/>
        <w:ind w:firstLine="1305"/>
        <w:spacing w:after="0" w:line="270" w:lineRule="auto"/>
        <w:tabs>
          <w:tab w:leader="none" w:pos="2305" w:val="left"/>
        </w:tabs>
        <w:numPr>
          <w:ilvl w:val="1"/>
          <w:numId w:val="25"/>
        </w:numPr>
        <w:rPr>
          <w:rFonts w:ascii="Arial" w:cs="Arial" w:eastAsia="Arial" w:hAnsi="Arial"/>
          <w:sz w:val="17"/>
          <w:szCs w:val="17"/>
          <w:color w:val="auto"/>
        </w:rPr>
      </w:pPr>
      <w:r>
        <w:rPr>
          <w:rFonts w:ascii="Arial" w:cs="Arial" w:eastAsia="Arial" w:hAnsi="Arial"/>
          <w:sz w:val="21"/>
          <w:szCs w:val="21"/>
          <w:color w:val="auto"/>
        </w:rPr>
        <w:t>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to determine whether an Option is to be classified as an ISO or as a Nonstatutory Option, and to specify the provisions of the agreement relating to such Award;</w:t>
      </w:r>
    </w:p>
    <w:p>
      <w:pPr>
        <w:spacing w:after="0" w:line="209" w:lineRule="exact"/>
        <w:rPr>
          <w:rFonts w:ascii="Arial" w:cs="Arial" w:eastAsia="Arial" w:hAnsi="Arial"/>
          <w:sz w:val="17"/>
          <w:szCs w:val="17"/>
          <w:color w:val="auto"/>
        </w:rPr>
      </w:pPr>
    </w:p>
    <w:p>
      <w:pPr>
        <w:ind w:firstLine="1305"/>
        <w:spacing w:after="0" w:line="276" w:lineRule="auto"/>
        <w:tabs>
          <w:tab w:leader="none" w:pos="2205" w:val="left"/>
        </w:tabs>
        <w:numPr>
          <w:ilvl w:val="1"/>
          <w:numId w:val="25"/>
        </w:numPr>
        <w:rPr>
          <w:rFonts w:ascii="Arial" w:cs="Arial" w:eastAsia="Arial" w:hAnsi="Arial"/>
          <w:sz w:val="18"/>
          <w:szCs w:val="18"/>
          <w:color w:val="auto"/>
        </w:rPr>
      </w:pPr>
      <w:r>
        <w:rPr>
          <w:rFonts w:ascii="Arial" w:cs="Arial" w:eastAsia="Arial" w:hAnsi="Arial"/>
          <w:sz w:val="22"/>
          <w:szCs w:val="22"/>
          <w:color w:val="auto"/>
        </w:rPr>
        <w:t>To amend any outstanding Award Agreement, subject to applicable legal restrictions and to the consent of the Participant if the Participant’s rights or obligations would be materially impaired;</w:t>
      </w:r>
    </w:p>
    <w:p>
      <w:pPr>
        <w:spacing w:after="0" w:line="201" w:lineRule="exact"/>
        <w:rPr>
          <w:rFonts w:ascii="Arial" w:cs="Arial" w:eastAsia="Arial" w:hAnsi="Arial"/>
          <w:sz w:val="18"/>
          <w:szCs w:val="18"/>
          <w:color w:val="auto"/>
        </w:rPr>
      </w:pPr>
    </w:p>
    <w:p>
      <w:pPr>
        <w:ind w:firstLine="1305"/>
        <w:spacing w:after="0" w:line="276" w:lineRule="auto"/>
        <w:tabs>
          <w:tab w:leader="none" w:pos="2155" w:val="left"/>
        </w:tabs>
        <w:numPr>
          <w:ilvl w:val="1"/>
          <w:numId w:val="25"/>
        </w:numPr>
        <w:rPr>
          <w:rFonts w:ascii="Arial" w:cs="Arial" w:eastAsia="Arial" w:hAnsi="Arial"/>
          <w:sz w:val="18"/>
          <w:szCs w:val="18"/>
          <w:color w:val="auto"/>
        </w:rPr>
      </w:pPr>
      <w:r>
        <w:rPr>
          <w:rFonts w:ascii="Arial" w:cs="Arial" w:eastAsia="Arial" w:hAnsi="Arial"/>
          <w:sz w:val="22"/>
          <w:szCs w:val="22"/>
          <w:color w:val="auto"/>
        </w:rPr>
        <w:t>To prescribe the consideration for the grant of each Award or other right under the Plan and to determine the sufficiency of such consideration;</w:t>
      </w:r>
    </w:p>
    <w:p>
      <w:pPr>
        <w:spacing w:after="0" w:line="201" w:lineRule="exact"/>
        <w:rPr>
          <w:rFonts w:ascii="Arial" w:cs="Arial" w:eastAsia="Arial" w:hAnsi="Arial"/>
          <w:sz w:val="18"/>
          <w:szCs w:val="18"/>
          <w:color w:val="auto"/>
        </w:rPr>
      </w:pPr>
    </w:p>
    <w:p>
      <w:pPr>
        <w:ind w:right="20" w:firstLine="1305"/>
        <w:spacing w:after="0" w:line="276" w:lineRule="auto"/>
        <w:tabs>
          <w:tab w:leader="none" w:pos="2205" w:val="left"/>
        </w:tabs>
        <w:numPr>
          <w:ilvl w:val="1"/>
          <w:numId w:val="25"/>
        </w:numPr>
        <w:rPr>
          <w:rFonts w:ascii="Arial" w:cs="Arial" w:eastAsia="Arial" w:hAnsi="Arial"/>
          <w:sz w:val="18"/>
          <w:szCs w:val="18"/>
          <w:color w:val="auto"/>
        </w:rPr>
      </w:pPr>
      <w:r>
        <w:rPr>
          <w:rFonts w:ascii="Arial" w:cs="Arial" w:eastAsia="Arial" w:hAnsi="Arial"/>
          <w:sz w:val="22"/>
          <w:szCs w:val="22"/>
          <w:color w:val="auto"/>
        </w:rPr>
        <w:t>To determine the disposition of each Award or other right under the Plan in the event of a Participant’s divorce or dissolution of marriage;</w:t>
      </w:r>
    </w:p>
    <w:p>
      <w:pPr>
        <w:spacing w:after="0" w:line="201" w:lineRule="exact"/>
        <w:rPr>
          <w:rFonts w:ascii="Arial" w:cs="Arial" w:eastAsia="Arial" w:hAnsi="Arial"/>
          <w:sz w:val="18"/>
          <w:szCs w:val="18"/>
          <w:color w:val="auto"/>
        </w:rPr>
      </w:pPr>
    </w:p>
    <w:p>
      <w:pPr>
        <w:ind w:right="20" w:firstLine="1305"/>
        <w:spacing w:after="0" w:line="276" w:lineRule="auto"/>
        <w:tabs>
          <w:tab w:leader="none" w:pos="2255" w:val="left"/>
        </w:tabs>
        <w:numPr>
          <w:ilvl w:val="1"/>
          <w:numId w:val="25"/>
        </w:numPr>
        <w:rPr>
          <w:rFonts w:ascii="Arial" w:cs="Arial" w:eastAsia="Arial" w:hAnsi="Arial"/>
          <w:sz w:val="18"/>
          <w:szCs w:val="18"/>
          <w:color w:val="auto"/>
        </w:rPr>
      </w:pPr>
      <w:r>
        <w:rPr>
          <w:rFonts w:ascii="Arial" w:cs="Arial" w:eastAsia="Arial" w:hAnsi="Arial"/>
          <w:sz w:val="22"/>
          <w:szCs w:val="22"/>
          <w:color w:val="auto"/>
        </w:rPr>
        <w:t>To determine whether Awards under the Plan will be granted in replacement of other grants under an incentive or other compensation plan of an acquired business;</w:t>
      </w:r>
    </w:p>
    <w:p>
      <w:pPr>
        <w:spacing w:after="0" w:line="201" w:lineRule="exact"/>
        <w:rPr>
          <w:rFonts w:ascii="Arial" w:cs="Arial" w:eastAsia="Arial" w:hAnsi="Arial"/>
          <w:sz w:val="18"/>
          <w:szCs w:val="18"/>
          <w:color w:val="auto"/>
        </w:rPr>
      </w:pPr>
    </w:p>
    <w:p>
      <w:pPr>
        <w:ind w:left="2320" w:hanging="1015"/>
        <w:spacing w:after="0"/>
        <w:tabs>
          <w:tab w:leader="none" w:pos="2320" w:val="left"/>
        </w:tabs>
        <w:numPr>
          <w:ilvl w:val="1"/>
          <w:numId w:val="25"/>
        </w:numPr>
        <w:rPr>
          <w:rFonts w:ascii="Arial" w:cs="Arial" w:eastAsia="Arial" w:hAnsi="Arial"/>
          <w:sz w:val="16"/>
          <w:szCs w:val="16"/>
          <w:color w:val="auto"/>
        </w:rPr>
      </w:pPr>
      <w:r>
        <w:rPr>
          <w:rFonts w:ascii="Arial" w:cs="Arial" w:eastAsia="Arial" w:hAnsi="Arial"/>
          <w:sz w:val="19"/>
          <w:szCs w:val="19"/>
          <w:color w:val="auto"/>
        </w:rPr>
        <w:t>To correct any defect, supply any omission, or reconcile any inconsistency in the Plan or any Award</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Agreement;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58" w:name="page59"/>
    <w:bookmarkEnd w:id="58"/>
    <w:p>
      <w:pPr>
        <w:ind w:firstLine="1305"/>
        <w:spacing w:after="0" w:line="276" w:lineRule="auto"/>
        <w:tabs>
          <w:tab w:leader="none" w:pos="2295" w:val="left"/>
        </w:tabs>
        <w:numPr>
          <w:ilvl w:val="0"/>
          <w:numId w:val="26"/>
        </w:numPr>
        <w:rPr>
          <w:rFonts w:ascii="Arial" w:cs="Arial" w:eastAsia="Arial" w:hAnsi="Arial"/>
          <w:sz w:val="18"/>
          <w:szCs w:val="18"/>
          <w:color w:val="auto"/>
        </w:rPr>
      </w:pPr>
      <w:r>
        <w:rPr>
          <w:rFonts w:ascii="Arial" w:cs="Arial" w:eastAsia="Arial" w:hAnsi="Arial"/>
          <w:sz w:val="22"/>
          <w:szCs w:val="22"/>
          <w:color w:val="auto"/>
        </w:rPr>
        <w:t>To establish or verify the extent of satisfaction of any performance goals or other conditions applicable to the grant, issuance, exercisability, vesting and/or ability to retain any Award; and</w:t>
      </w:r>
    </w:p>
    <w:p>
      <w:pPr>
        <w:spacing w:after="0" w:line="201" w:lineRule="exact"/>
        <w:rPr>
          <w:rFonts w:ascii="Arial" w:cs="Arial" w:eastAsia="Arial" w:hAnsi="Arial"/>
          <w:sz w:val="18"/>
          <w:szCs w:val="18"/>
          <w:color w:val="auto"/>
        </w:rPr>
      </w:pPr>
    </w:p>
    <w:p>
      <w:pPr>
        <w:ind w:left="2260" w:hanging="955"/>
        <w:spacing w:after="0"/>
        <w:tabs>
          <w:tab w:leader="none" w:pos="2260" w:val="left"/>
        </w:tabs>
        <w:numPr>
          <w:ilvl w:val="0"/>
          <w:numId w:val="26"/>
        </w:numPr>
        <w:rPr>
          <w:rFonts w:ascii="Arial" w:cs="Arial" w:eastAsia="Arial" w:hAnsi="Arial"/>
          <w:sz w:val="18"/>
          <w:szCs w:val="18"/>
          <w:color w:val="auto"/>
        </w:rPr>
      </w:pPr>
      <w:r>
        <w:rPr>
          <w:rFonts w:ascii="Arial" w:cs="Arial" w:eastAsia="Arial" w:hAnsi="Arial"/>
          <w:sz w:val="22"/>
          <w:szCs w:val="22"/>
          <w:color w:val="auto"/>
        </w:rPr>
        <w:t>To take any other actions deemed necessary or advisable for the administration of the Plan.</w:t>
      </w:r>
    </w:p>
    <w:p>
      <w:pPr>
        <w:spacing w:after="0" w:line="27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or any Award under the Plan.</w:t>
      </w:r>
    </w:p>
    <w:p>
      <w:pPr>
        <w:spacing w:after="0" w:line="144"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4.</w:t>
        <w:tab/>
        <w:t>ELIGIBILITY.</w:t>
      </w:r>
    </w:p>
    <w:p>
      <w:pPr>
        <w:spacing w:after="0" w:line="266" w:lineRule="exact"/>
        <w:rPr>
          <w:sz w:val="20"/>
          <w:szCs w:val="20"/>
          <w:color w:val="auto"/>
        </w:rPr>
      </w:pPr>
    </w:p>
    <w:p>
      <w:pPr>
        <w:ind w:firstLine="656"/>
        <w:spacing w:after="0" w:line="287" w:lineRule="auto"/>
        <w:tabs>
          <w:tab w:leader="none" w:pos="1199"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General Rule</w:t>
      </w:r>
      <w:r>
        <w:rPr>
          <w:rFonts w:ascii="Arial" w:cs="Arial" w:eastAsia="Arial" w:hAnsi="Arial"/>
          <w:sz w:val="21"/>
          <w:szCs w:val="21"/>
          <w:color w:val="auto"/>
        </w:rPr>
        <w:t>. Only Employees, Consultants and Outside Directors shall be eligible for the grant of Awards. Only common-law employees of the Company, a Parent or a Subsidiary shall be eligible for the grant of ISOs.</w:t>
      </w:r>
    </w:p>
    <w:p>
      <w:pPr>
        <w:spacing w:after="0" w:line="192" w:lineRule="exact"/>
        <w:rPr>
          <w:rFonts w:ascii="Arial" w:cs="Arial" w:eastAsia="Arial" w:hAnsi="Arial"/>
          <w:sz w:val="21"/>
          <w:szCs w:val="21"/>
          <w:color w:val="auto"/>
        </w:rPr>
      </w:pPr>
    </w:p>
    <w:p>
      <w:pPr>
        <w:ind w:left="1120" w:hanging="464"/>
        <w:spacing w:after="0"/>
        <w:tabs>
          <w:tab w:leader="none" w:pos="112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Automatic Grants to Outside Directors</w:t>
      </w:r>
      <w:r>
        <w:rPr>
          <w:rFonts w:ascii="Arial" w:cs="Arial" w:eastAsia="Arial" w:hAnsi="Arial"/>
          <w:sz w:val="22"/>
          <w:szCs w:val="22"/>
          <w:i w:val="1"/>
          <w:iCs w:val="1"/>
          <w:color w:val="auto"/>
        </w:rPr>
        <w:t>.</w:t>
      </w:r>
    </w:p>
    <w:p>
      <w:pPr>
        <w:spacing w:after="0" w:line="260" w:lineRule="exact"/>
        <w:rPr>
          <w:rFonts w:ascii="Arial" w:cs="Arial" w:eastAsia="Arial" w:hAnsi="Arial"/>
          <w:sz w:val="22"/>
          <w:szCs w:val="22"/>
          <w:color w:val="auto"/>
        </w:rPr>
      </w:pPr>
    </w:p>
    <w:p>
      <w:pPr>
        <w:jc w:val="both"/>
        <w:ind w:firstLine="1305"/>
        <w:spacing w:after="0" w:line="292" w:lineRule="auto"/>
        <w:tabs>
          <w:tab w:leader="none" w:pos="1773" w:val="left"/>
        </w:tabs>
        <w:numPr>
          <w:ilvl w:val="1"/>
          <w:numId w:val="27"/>
        </w:numPr>
        <w:rPr>
          <w:rFonts w:ascii="Arial" w:cs="Arial" w:eastAsia="Arial" w:hAnsi="Arial"/>
          <w:sz w:val="19"/>
          <w:szCs w:val="19"/>
          <w:color w:val="auto"/>
        </w:rPr>
      </w:pPr>
      <w:r>
        <w:rPr>
          <w:rFonts w:ascii="Arial" w:cs="Arial" w:eastAsia="Arial" w:hAnsi="Arial"/>
          <w:sz w:val="19"/>
          <w:szCs w:val="19"/>
          <w:color w:val="auto"/>
        </w:rPr>
        <w:t>Each Outside Director who first joins the Board of Directors on or after the Effective Date, and who was not previously an Employee, shall receive a Nonstatutory Option, subject to approval of the Plan by the Company’s stockholders, to purchase 35,000 Shares (subject to adjustment under Section 12), on the date of his or her election to the Board of Directors. Options granted under this Section 4(b)(i) following May 23, 2017 shall vest as follows: one-third (1/3) of the Shares subject to each Option granted under this Section 4(b)(i) shall vest and become exercisable on each of the first, second and third annual anniversaries of the date of grant. Notwithstanding the foregoing, each such Option shall become vested and exercisable in full if a Change in Control occurs with respect to the Company during the Participant’s Service.</w:t>
      </w:r>
    </w:p>
    <w:p>
      <w:pPr>
        <w:spacing w:after="0" w:line="192" w:lineRule="exact"/>
        <w:rPr>
          <w:rFonts w:ascii="Arial" w:cs="Arial" w:eastAsia="Arial" w:hAnsi="Arial"/>
          <w:sz w:val="19"/>
          <w:szCs w:val="19"/>
          <w:color w:val="auto"/>
        </w:rPr>
      </w:pPr>
    </w:p>
    <w:p>
      <w:pPr>
        <w:jc w:val="both"/>
        <w:ind w:firstLine="1305"/>
        <w:spacing w:after="0" w:line="258" w:lineRule="auto"/>
        <w:tabs>
          <w:tab w:leader="none" w:pos="1981" w:val="left"/>
        </w:tabs>
        <w:numPr>
          <w:ilvl w:val="1"/>
          <w:numId w:val="27"/>
        </w:numPr>
        <w:rPr>
          <w:rFonts w:ascii="Arial" w:cs="Arial" w:eastAsia="Arial" w:hAnsi="Arial"/>
          <w:sz w:val="21"/>
          <w:szCs w:val="21"/>
          <w:color w:val="auto"/>
        </w:rPr>
      </w:pPr>
      <w:r>
        <w:rPr>
          <w:rFonts w:ascii="Arial" w:cs="Arial" w:eastAsia="Arial" w:hAnsi="Arial"/>
          <w:sz w:val="21"/>
          <w:szCs w:val="21"/>
          <w:color w:val="auto"/>
        </w:rPr>
        <w:t>On the first business day following the conclusion of each regular annual meeting of the Company’s stockholders, commencing with the annual meeting occurring after the Effective Date, each Outside Director who was not elected to the Board for the first time at such meeting and who will continue serving as a member of the Board of Directors thereafter shall receive an Option to purchase 10,000 Shares (subject to adjustment under Section 12), provided that such Outside Director has served on the Board of Directors for at least six months. Each Option granted under this Section 4(b)(ii) shall vest and become exercisable on the first anniversary of the date of grant; provided, however, that each such Option shall become vested and exercisable in full immediately prior to the next regular annual meeting of the Company’s stockholders following such date of grant in the event such meeting occurs prior to such first anniversary date. Notwithstanding the foregoing, each Option granted under this Section 4(b)(ii) shall become vested and exercisable in full if a Change in Control occurs with respect to the Company during the Participant’s Service.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59" w:name="page60"/>
    <w:bookmarkEnd w:id="59"/>
    <w:p>
      <w:pPr>
        <w:jc w:val="both"/>
        <w:ind w:firstLine="1305"/>
        <w:spacing w:after="0" w:line="253" w:lineRule="auto"/>
        <w:tabs>
          <w:tab w:leader="none" w:pos="1848"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Exercise Price of all Nonstatutory Options granted to an Outside Director under this Section 4(b) shall be equal to 100% of the Fair Market Value of a Share on the date of grant, payable in one of the forms described in Section 8(a), (b), (d), (e), (f) or (h).</w:t>
      </w:r>
    </w:p>
    <w:p>
      <w:pPr>
        <w:spacing w:after="0" w:line="226" w:lineRule="exact"/>
        <w:rPr>
          <w:rFonts w:ascii="Arial" w:cs="Arial" w:eastAsia="Arial" w:hAnsi="Arial"/>
          <w:sz w:val="22"/>
          <w:szCs w:val="22"/>
          <w:color w:val="auto"/>
        </w:rPr>
      </w:pPr>
    </w:p>
    <w:p>
      <w:pPr>
        <w:jc w:val="both"/>
        <w:ind w:firstLine="1305"/>
        <w:spacing w:after="0" w:line="248" w:lineRule="auto"/>
        <w:tabs>
          <w:tab w:leader="none" w:pos="1845" w:val="left"/>
        </w:tabs>
        <w:numPr>
          <w:ilvl w:val="1"/>
          <w:numId w:val="28"/>
        </w:numPr>
        <w:rPr>
          <w:rFonts w:ascii="Arial" w:cs="Arial" w:eastAsia="Arial" w:hAnsi="Arial"/>
          <w:sz w:val="22"/>
          <w:szCs w:val="22"/>
          <w:color w:val="auto"/>
        </w:rPr>
      </w:pPr>
      <w:r>
        <w:rPr>
          <w:rFonts w:ascii="Arial" w:cs="Arial" w:eastAsia="Arial" w:hAnsi="Arial"/>
          <w:sz w:val="22"/>
          <w:szCs w:val="22"/>
          <w:color w:val="auto"/>
        </w:rPr>
        <w:t>All Nonstatutory Options granted to an Outside Director under this Section 4(b) shall terminate on the earlier of (A) the day before the tenth anniversary of the date of grant of such Options or (B) the date twelve months after the termination of such Outside Director’s Service for any reason; provided, however, that any such Options that are not vested upon the termination of the Outside Director’s Service as a member of the Board of Directors for any reason shall terminate immediately and may not be exercised.</w:t>
      </w:r>
    </w:p>
    <w:p>
      <w:pPr>
        <w:spacing w:after="0" w:line="232" w:lineRule="exact"/>
        <w:rPr>
          <w:rFonts w:ascii="Arial" w:cs="Arial" w:eastAsia="Arial" w:hAnsi="Arial"/>
          <w:sz w:val="22"/>
          <w:szCs w:val="22"/>
          <w:color w:val="auto"/>
        </w:rPr>
      </w:pPr>
    </w:p>
    <w:p>
      <w:pPr>
        <w:jc w:val="both"/>
        <w:ind w:right="20" w:firstLine="1305"/>
        <w:spacing w:after="0" w:line="265" w:lineRule="auto"/>
        <w:tabs>
          <w:tab w:leader="none" w:pos="1825" w:val="left"/>
        </w:tabs>
        <w:numPr>
          <w:ilvl w:val="1"/>
          <w:numId w:val="28"/>
        </w:numPr>
        <w:rPr>
          <w:rFonts w:ascii="Arial" w:cs="Arial" w:eastAsia="Arial" w:hAnsi="Arial"/>
          <w:sz w:val="21"/>
          <w:szCs w:val="21"/>
          <w:color w:val="auto"/>
        </w:rPr>
      </w:pPr>
      <w:r>
        <w:rPr>
          <w:rFonts w:ascii="Arial" w:cs="Arial" w:eastAsia="Arial" w:hAnsi="Arial"/>
          <w:sz w:val="21"/>
          <w:szCs w:val="21"/>
          <w:color w:val="auto"/>
        </w:rPr>
        <w:t>The Board of Directors or the Committee in its discretion may change and otherwise revise the terms of the Nonstatutory Options granted to Outside Directors under this Section 4(b), including, without limitation, the number of Shares subject thereto, the type of Award to be granted under this Section 4(b), for Options or other Awards granted on or after the date the Board of Directors or Committee determines to make any such change or revision.</w:t>
      </w:r>
    </w:p>
    <w:p>
      <w:pPr>
        <w:spacing w:after="0" w:line="216" w:lineRule="exact"/>
        <w:rPr>
          <w:rFonts w:ascii="Arial" w:cs="Arial" w:eastAsia="Arial" w:hAnsi="Arial"/>
          <w:sz w:val="21"/>
          <w:szCs w:val="21"/>
          <w:color w:val="auto"/>
        </w:rPr>
      </w:pPr>
    </w:p>
    <w:p>
      <w:pPr>
        <w:jc w:val="both"/>
        <w:ind w:firstLine="656"/>
        <w:spacing w:after="0" w:line="253" w:lineRule="auto"/>
        <w:tabs>
          <w:tab w:leader="none" w:pos="1145"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Ten-Percent Stockholders</w:t>
      </w:r>
      <w:r>
        <w:rPr>
          <w:rFonts w:ascii="Arial" w:cs="Arial" w:eastAsia="Arial" w:hAnsi="Arial"/>
          <w:sz w:val="22"/>
          <w:szCs w:val="22"/>
          <w:color w:val="auto"/>
        </w:rPr>
        <w:t>. An Employee who owns more than 10% of the total combined voting power of all classes of outstanding stock of the Company, a Parent or Subsidiary shall not be eligible for the grant of an ISO unless such grant satisfies the requirements of Section 422(c)(5) of the Code.</w:t>
      </w:r>
    </w:p>
    <w:p>
      <w:pPr>
        <w:spacing w:after="0" w:line="226" w:lineRule="exact"/>
        <w:rPr>
          <w:rFonts w:ascii="Arial" w:cs="Arial" w:eastAsia="Arial" w:hAnsi="Arial"/>
          <w:sz w:val="22"/>
          <w:szCs w:val="22"/>
          <w:color w:val="auto"/>
        </w:rPr>
      </w:pPr>
    </w:p>
    <w:p>
      <w:pPr>
        <w:jc w:val="both"/>
        <w:ind w:firstLine="656"/>
        <w:spacing w:after="0" w:line="250" w:lineRule="auto"/>
        <w:tabs>
          <w:tab w:leader="none" w:pos="113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Attribution Rules</w:t>
      </w:r>
      <w:r>
        <w:rPr>
          <w:rFonts w:ascii="Arial" w:cs="Arial" w:eastAsia="Arial" w:hAnsi="Arial"/>
          <w:sz w:val="22"/>
          <w:szCs w:val="22"/>
          <w:color w:val="auto"/>
        </w:rPr>
        <w:t>. For purposes of Section 4(c) above, in determining stock ownership, an Employee shall be deemed to own the stock owned, 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p>
    <w:p>
      <w:pPr>
        <w:spacing w:after="0" w:line="228" w:lineRule="exact"/>
        <w:rPr>
          <w:rFonts w:ascii="Arial" w:cs="Arial" w:eastAsia="Arial" w:hAnsi="Arial"/>
          <w:sz w:val="22"/>
          <w:szCs w:val="22"/>
          <w:color w:val="auto"/>
        </w:rPr>
      </w:pPr>
    </w:p>
    <w:p>
      <w:pPr>
        <w:jc w:val="both"/>
        <w:ind w:firstLine="656"/>
        <w:spacing w:after="0" w:line="253" w:lineRule="auto"/>
        <w:tabs>
          <w:tab w:leader="none" w:pos="1118"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Outstanding Stock</w:t>
      </w:r>
      <w:r>
        <w:rPr>
          <w:rFonts w:ascii="Arial" w:cs="Arial" w:eastAsia="Arial" w:hAnsi="Arial"/>
          <w:sz w:val="22"/>
          <w:szCs w:val="22"/>
          <w:color w:val="auto"/>
        </w:rPr>
        <w:t>. For purposes of Section 4(c) above, “outstanding stock” shall include all stock actually issued and outstanding immediately after the grant. “Outstanding stock” shall not include shares authorized for issuance under outstanding options held by the Employee or by any other person.</w:t>
      </w:r>
    </w:p>
    <w:p>
      <w:pPr>
        <w:spacing w:after="0" w:line="220"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21"/>
          <w:szCs w:val="21"/>
          <w:b w:val="1"/>
          <w:bCs w:val="1"/>
          <w:color w:val="auto"/>
        </w:rPr>
        <w:t>STOCK SUBJECT TO PLAN.</w:t>
      </w:r>
    </w:p>
    <w:p>
      <w:pPr>
        <w:spacing w:after="0" w:line="266" w:lineRule="exact"/>
        <w:rPr>
          <w:sz w:val="20"/>
          <w:szCs w:val="20"/>
          <w:color w:val="auto"/>
        </w:rPr>
      </w:pPr>
    </w:p>
    <w:p>
      <w:pPr>
        <w:jc w:val="both"/>
        <w:ind w:firstLine="656"/>
        <w:spacing w:after="0" w:line="259" w:lineRule="auto"/>
        <w:tabs>
          <w:tab w:leader="none" w:pos="1239"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Basic Limitation</w:t>
      </w:r>
      <w:r>
        <w:rPr>
          <w:rFonts w:ascii="Arial" w:cs="Arial" w:eastAsia="Arial" w:hAnsi="Arial"/>
          <w:sz w:val="21"/>
          <w:szCs w:val="21"/>
          <w:color w:val="auto"/>
        </w:rPr>
        <w:t>. Shares offered under the Plan shall be authorized but unissued Shares or treasury Shares. The aggregate number of Shares authorized for issuance as Awards under the Plan shall not exceed the sum of (x) 1,700,000 Shares, plus (y) the sum of the number of Shares subject to outstanding awards under the Company’s 2008 Stock Plan (the “Predecessor Plan”) on the Effective Date that are subsequently forfeited or terminated for any reason before being exercised or settled, plus the number of Shares subject to vesting restrictions under the Predecessor Plan on the Effective Date that are subsequently forfeited, plus the number of reserved Shares not issued or subject to outstanding grants under the Predecessor Plan on the Effective Date, plus (z) an annual increase on the first day of each fiscal year, for a period of not more than ten years, beginning on January 1, 2014,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47" w:right="239" w:bottom="1440" w:gutter="0" w:footer="0" w:header="0"/>
        </w:sectPr>
      </w:pPr>
    </w:p>
    <w:bookmarkStart w:id="60" w:name="page61"/>
    <w:bookmarkEnd w:id="60"/>
    <w:p>
      <w:pPr>
        <w:jc w:val="both"/>
        <w:spacing w:after="0" w:line="289" w:lineRule="auto"/>
        <w:rPr>
          <w:sz w:val="20"/>
          <w:szCs w:val="20"/>
          <w:color w:val="auto"/>
        </w:rPr>
      </w:pPr>
      <w:r>
        <w:rPr>
          <w:rFonts w:ascii="Arial" w:cs="Arial" w:eastAsia="Arial" w:hAnsi="Arial"/>
          <w:sz w:val="19"/>
          <w:szCs w:val="19"/>
          <w:color w:val="auto"/>
        </w:rPr>
        <w:t>and ending on (and including) January 1, 2023, in an amount equal to the lesser of (i) 4% of the outstanding Shares on the last day of the immediately preceding fiscal or (ii) if the Board acts prior to the first day of the fiscal year, such lesser amount (including zero) that the Board determines for purposes of the annual increase for that fiscal year. Notwithstanding the foregoing, the number of Shares that may be delivered in the aggregate pursuant to the exercise of ISOs granted under the Plan shall not exceed 9,500,000 Shares plus, to the extent allowable under Section 422 of the Code and the Treasury Regulations promulgated thereunder, any Shares that become available for issuance under the Plan pursuant to Section 5(c). The limitations of this Section 5(a) shall be subject to adjustment pursuant to Section 12.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p>
    <w:p>
      <w:pPr>
        <w:spacing w:after="0" w:line="198" w:lineRule="exact"/>
        <w:rPr>
          <w:sz w:val="20"/>
          <w:szCs w:val="20"/>
          <w:color w:val="auto"/>
        </w:rPr>
      </w:pPr>
    </w:p>
    <w:p>
      <w:pPr>
        <w:jc w:val="both"/>
        <w:ind w:firstLine="656"/>
        <w:spacing w:after="0" w:line="289" w:lineRule="auto"/>
        <w:tabs>
          <w:tab w:leader="none" w:pos="1143"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Section 162(m) Award Limitation</w:t>
      </w:r>
      <w:r>
        <w:rPr>
          <w:rFonts w:ascii="Arial" w:cs="Arial" w:eastAsia="Arial" w:hAnsi="Arial"/>
          <w:sz w:val="19"/>
          <w:szCs w:val="19"/>
          <w:color w:val="auto"/>
        </w:rPr>
        <w:t>. Notwithstanding any contrary provisions of the Plan, and subject to the provisions of Section 12, during any time when the transition period relief under Treasury Regulation Section 1.162-27(f)(2) has lapsed or does not apply, and with respect to any Option or SAR intended to qualify as “performance-based compensation” under Section 162(m) of the Code, no Participant eligible for an Award may receive Options or SARs under the Plan in any calendar year that relate to an aggregate of more than 1,000,000 Shares, and no more than two times this amount in the first year of employment. To the extent required by Section 162(m) of the Code or the regulations thereunder, in applying the foregoing limitation with respect to a Participant, if any Option or SAR is canceled, the canceled Option or SAR shall continue to count against the maximum number of Shares with respect to which Options and SARs may be granted to the Participant. For this purpose, the repricing of an Option or SAR shall be treated as the cancellation of the existing Option or SAR and the grant of a new Option or SAR.</w:t>
      </w:r>
    </w:p>
    <w:p>
      <w:pPr>
        <w:spacing w:after="0" w:line="198" w:lineRule="exact"/>
        <w:rPr>
          <w:rFonts w:ascii="Arial" w:cs="Arial" w:eastAsia="Arial" w:hAnsi="Arial"/>
          <w:sz w:val="19"/>
          <w:szCs w:val="19"/>
          <w:color w:val="auto"/>
        </w:rPr>
      </w:pPr>
    </w:p>
    <w:p>
      <w:pPr>
        <w:jc w:val="both"/>
        <w:ind w:firstLine="656"/>
        <w:spacing w:after="0" w:line="259" w:lineRule="auto"/>
        <w:tabs>
          <w:tab w:leader="none" w:pos="1145"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Additional Shares</w:t>
      </w:r>
      <w:r>
        <w:rPr>
          <w:rFonts w:ascii="Arial" w:cs="Arial" w:eastAsia="Arial" w:hAnsi="Arial"/>
          <w:sz w:val="21"/>
          <w:szCs w:val="21"/>
          <w:color w:val="auto"/>
        </w:rPr>
        <w:t xml:space="preserve">. If Restricted Shares or Shares issued upon the exercise of Options are forfeited, then such Shares shall again become available for Awards under the Plan. If Stock Units, Options or SARs are forfeited or terminate for any reason before being exercised or settled, or an Award is settled in cash without the delivery of Shares to the holder, then any Shares subject to the Award shall again become available for Awards under the Plan. Only the number of </w:t>
      </w:r>
      <w:r>
        <w:rPr>
          <w:rFonts w:ascii="Arial" w:cs="Arial" w:eastAsia="Arial" w:hAnsi="Arial"/>
          <w:sz w:val="21"/>
          <w:szCs w:val="21"/>
          <w:i w:val="1"/>
          <w:iCs w:val="1"/>
          <w:color w:val="auto"/>
        </w:rPr>
        <w:t>Shares</w:t>
      </w:r>
      <w:r>
        <w:rPr>
          <w:rFonts w:ascii="Arial" w:cs="Arial" w:eastAsia="Arial" w:hAnsi="Arial"/>
          <w:sz w:val="21"/>
          <w:szCs w:val="21"/>
          <w:color w:val="auto"/>
        </w:rPr>
        <w:t xml:space="preserve"> (if any) actually issued in settlement of Awards (and not forfeited) shall reduce the number available in Section 5(a) and the balance shall again become available for Awards under the Plan. Any Shares withheld to satisfy the grant or exercise price or tax withholding obligation pursuant to any Award shall again become available for Awards under the Plan. Notwithstanding the foregoing provisions of this Section 5(c), Shares that have actually been issued shall not again become available for Awards under the Plan, except for Shares that are forfeited and do not become vested.</w:t>
      </w:r>
    </w:p>
    <w:p>
      <w:pPr>
        <w:spacing w:after="0" w:line="220" w:lineRule="exact"/>
        <w:rPr>
          <w:rFonts w:ascii="Arial" w:cs="Arial" w:eastAsia="Arial" w:hAnsi="Arial"/>
          <w:sz w:val="21"/>
          <w:szCs w:val="21"/>
          <w:color w:val="auto"/>
        </w:rPr>
      </w:pPr>
    </w:p>
    <w:p>
      <w:pPr>
        <w:jc w:val="both"/>
        <w:ind w:firstLine="656"/>
        <w:spacing w:after="0" w:line="263" w:lineRule="auto"/>
        <w:tabs>
          <w:tab w:leader="none" w:pos="1116"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Substitution and Assumption of Awards</w:t>
      </w:r>
      <w:r>
        <w:rPr>
          <w:rFonts w:ascii="Arial" w:cs="Arial" w:eastAsia="Arial" w:hAnsi="Arial"/>
          <w:sz w:val="21"/>
          <w:szCs w:val="21"/>
          <w:color w:val="auto"/>
        </w:rPr>
        <w:t xml:space="preserve">. The Committee may make Awards under the Plan by assumption, substitution or </w:t>
      </w:r>
      <w:r>
        <w:rPr>
          <w:rFonts w:ascii="Arial" w:cs="Arial" w:eastAsia="Arial" w:hAnsi="Arial"/>
          <w:sz w:val="21"/>
          <w:szCs w:val="21"/>
          <w:i w:val="1"/>
          <w:iCs w:val="1"/>
          <w:color w:val="auto"/>
        </w:rPr>
        <w:t>replacement</w:t>
      </w:r>
      <w:r>
        <w:rPr>
          <w:rFonts w:ascii="Arial" w:cs="Arial" w:eastAsia="Arial" w:hAnsi="Arial"/>
          <w:sz w:val="21"/>
          <w:szCs w:val="21"/>
          <w:color w:val="auto"/>
        </w:rPr>
        <w:t xml:space="preserve"> of stock options, stock appreciation rights,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61" w:name="page62"/>
    <w:bookmarkEnd w:id="61"/>
    <w:p>
      <w:pPr>
        <w:spacing w:after="0" w:line="263" w:lineRule="auto"/>
        <w:rPr>
          <w:sz w:val="20"/>
          <w:szCs w:val="20"/>
          <w:color w:val="auto"/>
        </w:rPr>
      </w:pPr>
      <w:r>
        <w:rPr>
          <w:rFonts w:ascii="Arial" w:cs="Arial" w:eastAsia="Arial" w:hAnsi="Arial"/>
          <w:sz w:val="22"/>
          <w:szCs w:val="22"/>
          <w:color w:val="auto"/>
        </w:rPr>
        <w:t>as the Committee, in its discretion, determines is appropriate. Any such substitute or assumed Awards shall not count against the Share limitation set forth in Section 5(a).</w:t>
      </w:r>
    </w:p>
    <w:p>
      <w:pPr>
        <w:spacing w:after="0" w:line="209"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1"/>
          <w:szCs w:val="21"/>
          <w:b w:val="1"/>
          <w:bCs w:val="1"/>
          <w:color w:val="auto"/>
        </w:rPr>
        <w:t>RESTRICTED SHARES.</w:t>
      </w:r>
    </w:p>
    <w:p>
      <w:pPr>
        <w:spacing w:after="0" w:line="266" w:lineRule="exact"/>
        <w:rPr>
          <w:sz w:val="20"/>
          <w:szCs w:val="20"/>
          <w:color w:val="auto"/>
        </w:rPr>
      </w:pPr>
    </w:p>
    <w:p>
      <w:pPr>
        <w:jc w:val="both"/>
        <w:ind w:firstLine="656"/>
        <w:spacing w:after="0" w:line="265" w:lineRule="auto"/>
        <w:tabs>
          <w:tab w:leader="none" w:pos="1118"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Restricted Share Award Agreement</w:t>
      </w:r>
      <w:r>
        <w:rPr>
          <w:rFonts w:ascii="Arial" w:cs="Arial" w:eastAsia="Arial" w:hAnsi="Arial"/>
          <w:sz w:val="21"/>
          <w:szCs w:val="21"/>
          <w:color w:val="auto"/>
        </w:rPr>
        <w:t>. Each grant of Restricted Shares under the Plan shall be evidenced by a Restricted Share Award 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p>
    <w:p>
      <w:pPr>
        <w:spacing w:after="0" w:line="216" w:lineRule="exact"/>
        <w:rPr>
          <w:rFonts w:ascii="Arial" w:cs="Arial" w:eastAsia="Arial" w:hAnsi="Arial"/>
          <w:sz w:val="21"/>
          <w:szCs w:val="21"/>
          <w:color w:val="auto"/>
        </w:rPr>
      </w:pPr>
    </w:p>
    <w:p>
      <w:pPr>
        <w:jc w:val="both"/>
        <w:ind w:firstLine="656"/>
        <w:spacing w:after="0" w:line="253" w:lineRule="auto"/>
        <w:tabs>
          <w:tab w:leader="none" w:pos="1292"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Payment for Awards</w:t>
      </w:r>
      <w:r>
        <w:rPr>
          <w:rFonts w:ascii="Arial" w:cs="Arial" w:eastAsia="Arial" w:hAnsi="Arial"/>
          <w:sz w:val="22"/>
          <w:szCs w:val="22"/>
          <w:color w:val="auto"/>
        </w:rPr>
        <w:t xml:space="preserve">. Restricted Shares may be sold or awarded under the Plan for such consideration as the Committee </w:t>
      </w:r>
      <w:r>
        <w:rPr>
          <w:rFonts w:ascii="Arial" w:cs="Arial" w:eastAsia="Arial" w:hAnsi="Arial"/>
          <w:sz w:val="22"/>
          <w:szCs w:val="22"/>
          <w:i w:val="1"/>
          <w:iCs w:val="1"/>
          <w:color w:val="auto"/>
        </w:rPr>
        <w:t>may</w:t>
      </w:r>
      <w:r>
        <w:rPr>
          <w:rFonts w:ascii="Arial" w:cs="Arial" w:eastAsia="Arial" w:hAnsi="Arial"/>
          <w:sz w:val="22"/>
          <w:szCs w:val="22"/>
          <w:color w:val="auto"/>
        </w:rPr>
        <w:t xml:space="preserve"> determine, including (without limitation) cash, cash equivalents, full-recourse promissory notes, past services and future services.</w:t>
      </w:r>
    </w:p>
    <w:p>
      <w:pPr>
        <w:spacing w:after="0" w:line="226" w:lineRule="exact"/>
        <w:rPr>
          <w:rFonts w:ascii="Arial" w:cs="Arial" w:eastAsia="Arial" w:hAnsi="Arial"/>
          <w:sz w:val="22"/>
          <w:szCs w:val="22"/>
          <w:color w:val="auto"/>
        </w:rPr>
      </w:pPr>
    </w:p>
    <w:p>
      <w:pPr>
        <w:jc w:val="both"/>
        <w:ind w:firstLine="656"/>
        <w:spacing w:after="0" w:line="263" w:lineRule="auto"/>
        <w:tabs>
          <w:tab w:leader="none" w:pos="1199"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Each Award of Restricted Shares may or may not be subject to vesting. Vesting shall occur, in full or in installments, upon satisfaction of the conditions specified in the Restricted Share Award Agreement. A Restricted Share Award Agreement may provide for accelerated vesting in the event of the Participant’s death, disability or retirement or other events. The Committee may determine, at the time of granting Restricted Shares or thereafter, that all or part of such Restricted Shares shall become vested in the event that a Change in Control occurs with respect to the Company.</w:t>
      </w:r>
    </w:p>
    <w:p>
      <w:pPr>
        <w:spacing w:after="0" w:line="216" w:lineRule="exact"/>
        <w:rPr>
          <w:rFonts w:ascii="Arial" w:cs="Arial" w:eastAsia="Arial" w:hAnsi="Arial"/>
          <w:sz w:val="21"/>
          <w:szCs w:val="21"/>
          <w:color w:val="auto"/>
        </w:rPr>
      </w:pPr>
    </w:p>
    <w:p>
      <w:pPr>
        <w:jc w:val="both"/>
        <w:ind w:firstLine="656"/>
        <w:spacing w:after="0" w:line="302" w:lineRule="auto"/>
        <w:tabs>
          <w:tab w:leader="none" w:pos="1197"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Voting and Dividend Rights</w:t>
      </w:r>
      <w:r>
        <w:rPr>
          <w:rFonts w:ascii="Arial" w:cs="Arial" w:eastAsia="Arial" w:hAnsi="Arial"/>
          <w:sz w:val="19"/>
          <w:szCs w:val="19"/>
          <w:color w:val="auto"/>
        </w:rPr>
        <w:t>. The holders of Restricted Shares awarded under the Plan shall have the same voting, dividend and other rights as the Company’s other stockholders. A Restricted Share Award Agreement, however, may require that the holders of Restricted Shares invest any cash dividends received in additional Restricted Shares. Such additional Restricted Shares shall be subject to the same conditions and restrictions as the Award with respect to which the dividends were paid.</w:t>
      </w:r>
    </w:p>
    <w:p>
      <w:pPr>
        <w:spacing w:after="0" w:line="183" w:lineRule="exact"/>
        <w:rPr>
          <w:rFonts w:ascii="Arial" w:cs="Arial" w:eastAsia="Arial" w:hAnsi="Arial"/>
          <w:sz w:val="19"/>
          <w:szCs w:val="19"/>
          <w:color w:val="auto"/>
        </w:rPr>
      </w:pPr>
    </w:p>
    <w:p>
      <w:pPr>
        <w:jc w:val="both"/>
        <w:ind w:firstLine="656"/>
        <w:spacing w:after="0" w:line="312" w:lineRule="auto"/>
        <w:tabs>
          <w:tab w:leader="none" w:pos="1104"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Restrictions on Transfer of Shares</w:t>
      </w:r>
      <w:r>
        <w:rPr>
          <w:rFonts w:ascii="Arial" w:cs="Arial" w:eastAsia="Arial" w:hAnsi="Arial"/>
          <w:sz w:val="19"/>
          <w:szCs w:val="19"/>
          <w:color w:val="auto"/>
        </w:rPr>
        <w:t xml:space="preserve">. Restricted Shares shall be subject to such rights of repurchase, rights of first refusal or other </w:t>
      </w:r>
      <w:r>
        <w:rPr>
          <w:rFonts w:ascii="Arial" w:cs="Arial" w:eastAsia="Arial" w:hAnsi="Arial"/>
          <w:sz w:val="19"/>
          <w:szCs w:val="19"/>
          <w:i w:val="1"/>
          <w:iCs w:val="1"/>
          <w:color w:val="auto"/>
        </w:rPr>
        <w:t>restrictions</w:t>
      </w:r>
      <w:r>
        <w:rPr>
          <w:rFonts w:ascii="Arial" w:cs="Arial" w:eastAsia="Arial" w:hAnsi="Arial"/>
          <w:sz w:val="19"/>
          <w:szCs w:val="19"/>
          <w:color w:val="auto"/>
        </w:rPr>
        <w:t xml:space="preserve"> as the Committee may determine. Such restrictions shall be set forth in the applicable Restricted Share Award Agreement and shall apply in addition to any general restrictions that may apply to all holders of Shares.</w:t>
      </w:r>
    </w:p>
    <w:p>
      <w:pPr>
        <w:spacing w:after="0" w:line="168"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1"/>
          <w:szCs w:val="21"/>
          <w:b w:val="1"/>
          <w:bCs w:val="1"/>
          <w:color w:val="auto"/>
        </w:rPr>
        <w:t>TERMS AND CONDITIONS OF OPTIONS.</w:t>
      </w:r>
    </w:p>
    <w:p>
      <w:pPr>
        <w:spacing w:after="0" w:line="266" w:lineRule="exact"/>
        <w:rPr>
          <w:sz w:val="20"/>
          <w:szCs w:val="20"/>
          <w:color w:val="auto"/>
        </w:rPr>
      </w:pPr>
    </w:p>
    <w:p>
      <w:pPr>
        <w:jc w:val="both"/>
        <w:ind w:firstLine="656"/>
        <w:spacing w:after="0" w:line="247" w:lineRule="auto"/>
        <w:tabs>
          <w:tab w:leader="none" w:pos="1118"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Stock Option Award Agreement</w:t>
      </w:r>
      <w:r>
        <w:rPr>
          <w:rFonts w:ascii="Arial" w:cs="Arial" w:eastAsia="Arial" w:hAnsi="Arial"/>
          <w:sz w:val="22"/>
          <w:szCs w:val="22"/>
          <w:color w:val="auto"/>
        </w:rPr>
        <w:t xml:space="preserve">. Each grant of an Option under the Plan shall be evidenced by a Stock Option Award Agreement </w:t>
      </w:r>
      <w:r>
        <w:rPr>
          <w:rFonts w:ascii="Arial" w:cs="Arial" w:eastAsia="Arial" w:hAnsi="Arial"/>
          <w:sz w:val="22"/>
          <w:szCs w:val="22"/>
          <w:i w:val="1"/>
          <w:iCs w:val="1"/>
          <w:color w:val="auto"/>
        </w:rPr>
        <w:t>between</w:t>
      </w:r>
      <w:r>
        <w:rPr>
          <w:rFonts w:ascii="Arial" w:cs="Arial" w:eastAsia="Arial" w:hAnsi="Arial"/>
          <w:sz w:val="22"/>
          <w:szCs w:val="22"/>
          <w:color w:val="auto"/>
        </w:rPr>
        <w:t xml:space="preserve"> the Participant and the Company. Such Option shall be subject to all applicable terms and conditions of the Plan and may be subject to any other terms and conditions which are not inconsistent with the Plan and which the Committee deems appropriate for inclusion in a Stock Option Award Agreement. The Stock Option Award Agreement shall specify whether the Option is an ISO or an NSO. The provisions of the various Stock Option Award Agreements entered into under the Plan need not be identical.</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62" w:name="page63"/>
    <w:bookmarkEnd w:id="62"/>
    <w:p>
      <w:pPr>
        <w:ind w:firstLine="656"/>
        <w:spacing w:after="0" w:line="263" w:lineRule="auto"/>
        <w:tabs>
          <w:tab w:leader="none" w:pos="1184"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Number of Shares</w:t>
      </w:r>
      <w:r>
        <w:rPr>
          <w:rFonts w:ascii="Arial" w:cs="Arial" w:eastAsia="Arial" w:hAnsi="Arial"/>
          <w:sz w:val="22"/>
          <w:szCs w:val="22"/>
          <w:color w:val="auto"/>
        </w:rPr>
        <w:t xml:space="preserve">. Each Stock Option Award Agreement shall specify the number of Shares that are subject to the Option and shall </w:t>
      </w:r>
      <w:r>
        <w:rPr>
          <w:rFonts w:ascii="Arial" w:cs="Arial" w:eastAsia="Arial" w:hAnsi="Arial"/>
          <w:sz w:val="22"/>
          <w:szCs w:val="22"/>
          <w:i w:val="1"/>
          <w:iCs w:val="1"/>
          <w:color w:val="auto"/>
        </w:rPr>
        <w:t>provide</w:t>
      </w:r>
      <w:r>
        <w:rPr>
          <w:rFonts w:ascii="Arial" w:cs="Arial" w:eastAsia="Arial" w:hAnsi="Arial"/>
          <w:sz w:val="22"/>
          <w:szCs w:val="22"/>
          <w:color w:val="auto"/>
        </w:rPr>
        <w:t xml:space="preserve"> for the adjustment of such number in accordance with Section 12.</w:t>
      </w:r>
    </w:p>
    <w:p>
      <w:pPr>
        <w:spacing w:after="0" w:line="215" w:lineRule="exact"/>
        <w:rPr>
          <w:rFonts w:ascii="Arial" w:cs="Arial" w:eastAsia="Arial" w:hAnsi="Arial"/>
          <w:sz w:val="22"/>
          <w:szCs w:val="22"/>
          <w:color w:val="auto"/>
        </w:rPr>
      </w:pPr>
    </w:p>
    <w:p>
      <w:pPr>
        <w:jc w:val="both"/>
        <w:ind w:firstLine="656"/>
        <w:spacing w:after="0" w:line="260" w:lineRule="auto"/>
        <w:tabs>
          <w:tab w:leader="none" w:pos="1158"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Exercise Price</w:t>
      </w:r>
      <w:r>
        <w:rPr>
          <w:rFonts w:ascii="Arial" w:cs="Arial" w:eastAsia="Arial" w:hAnsi="Arial"/>
          <w:sz w:val="21"/>
          <w:szCs w:val="21"/>
          <w:color w:val="auto"/>
        </w:rPr>
        <w:t xml:space="preserve">. Each Stock Option Award Agreement shall specify the Exercise Price. The Exercise Price of an ISO shall not be less than 100% of the Fair Market Value of a Share on the date of grant, except as otherwise provided in 4(c), and the </w:t>
      </w:r>
      <w:r>
        <w:rPr>
          <w:rFonts w:ascii="Arial" w:cs="Arial" w:eastAsia="Arial" w:hAnsi="Arial"/>
          <w:sz w:val="21"/>
          <w:szCs w:val="21"/>
          <w:i w:val="1"/>
          <w:iCs w:val="1"/>
          <w:color w:val="auto"/>
        </w:rPr>
        <w:t xml:space="preserve">Exercise </w:t>
      </w:r>
      <w:r>
        <w:rPr>
          <w:rFonts w:ascii="Arial" w:cs="Arial" w:eastAsia="Arial" w:hAnsi="Arial"/>
          <w:sz w:val="21"/>
          <w:szCs w:val="21"/>
          <w:color w:val="auto"/>
        </w:rPr>
        <w:t>Price of an NSO shall not be less 100% of the Fair Market Value of a Share on the date of grant. Notwithstanding the</w:t>
      </w:r>
      <w:r>
        <w:rPr>
          <w:rFonts w:ascii="Arial" w:cs="Arial" w:eastAsia="Arial" w:hAnsi="Arial"/>
          <w:sz w:val="21"/>
          <w:szCs w:val="21"/>
          <w:i w:val="1"/>
          <w:iCs w:val="1"/>
          <w:color w:val="auto"/>
        </w:rPr>
        <w:t xml:space="preserve"> </w:t>
      </w:r>
      <w:r>
        <w:rPr>
          <w:rFonts w:ascii="Arial" w:cs="Arial" w:eastAsia="Arial" w:hAnsi="Arial"/>
          <w:sz w:val="21"/>
          <w:szCs w:val="21"/>
          <w:color w:val="auto"/>
        </w:rPr>
        <w:t>foregoing, Options may be granted with an Exercise Price of less than 100% of the Fair Market Value per Share on the date of grant pursuant to a transaction described in, and in a manner consistent with, Section 424(a) of the Code. Subject to the foregoing in this Section 7(c), the Exercise Price under any Option shall be determined by the Committee in its sole discretion. The Exercise Price shall be payable in one of the forms described in Section 8.</w:t>
      </w:r>
    </w:p>
    <w:p>
      <w:pPr>
        <w:spacing w:after="0" w:line="221" w:lineRule="exact"/>
        <w:rPr>
          <w:rFonts w:ascii="Arial" w:cs="Arial" w:eastAsia="Arial" w:hAnsi="Arial"/>
          <w:sz w:val="21"/>
          <w:szCs w:val="21"/>
          <w:color w:val="auto"/>
        </w:rPr>
      </w:pPr>
    </w:p>
    <w:p>
      <w:pPr>
        <w:jc w:val="both"/>
        <w:ind w:firstLine="656"/>
        <w:spacing w:after="0" w:line="248" w:lineRule="auto"/>
        <w:tabs>
          <w:tab w:leader="none" w:pos="1157"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 xml:space="preserve">. As a condition to the exercise of an Option, the Participant shall make such arrangements as the Committee may </w:t>
      </w:r>
      <w:r>
        <w:rPr>
          <w:rFonts w:ascii="Arial" w:cs="Arial" w:eastAsia="Arial" w:hAnsi="Arial"/>
          <w:sz w:val="22"/>
          <w:szCs w:val="22"/>
          <w:i w:val="1"/>
          <w:iCs w:val="1"/>
          <w:color w:val="auto"/>
        </w:rPr>
        <w:t>require</w:t>
      </w:r>
      <w:r>
        <w:rPr>
          <w:rFonts w:ascii="Arial" w:cs="Arial" w:eastAsia="Arial" w:hAnsi="Arial"/>
          <w:sz w:val="22"/>
          <w:szCs w:val="22"/>
          <w:color w:val="auto"/>
        </w:rPr>
        <w:t xml:space="preserve"> for the satisfaction of any federal, state, local or foreign withholding tax obligations that may arise in connection with such exercise.The Participant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232" w:lineRule="exact"/>
        <w:rPr>
          <w:rFonts w:ascii="Arial" w:cs="Arial" w:eastAsia="Arial" w:hAnsi="Arial"/>
          <w:sz w:val="22"/>
          <w:szCs w:val="22"/>
          <w:color w:val="auto"/>
        </w:rPr>
      </w:pPr>
    </w:p>
    <w:p>
      <w:pPr>
        <w:jc w:val="both"/>
        <w:ind w:firstLine="656"/>
        <w:spacing w:after="0" w:line="290" w:lineRule="auto"/>
        <w:tabs>
          <w:tab w:leader="none" w:pos="1104"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Exercisability and Term</w:t>
      </w:r>
      <w:r>
        <w:rPr>
          <w:rFonts w:ascii="Arial" w:cs="Arial" w:eastAsia="Arial" w:hAnsi="Arial"/>
          <w:sz w:val="19"/>
          <w:szCs w:val="19"/>
          <w:color w:val="auto"/>
        </w:rPr>
        <w:t xml:space="preserve">. Each Stock Option Award Agreement shall specify the date when all or any installment of the Option is to become exercisable. The Stock Option Award Agreement shall also specify the term of the Option; provided that the </w:t>
      </w:r>
      <w:r>
        <w:rPr>
          <w:rFonts w:ascii="Arial" w:cs="Arial" w:eastAsia="Arial" w:hAnsi="Arial"/>
          <w:sz w:val="19"/>
          <w:szCs w:val="19"/>
          <w:i w:val="1"/>
          <w:iCs w:val="1"/>
          <w:color w:val="auto"/>
        </w:rPr>
        <w:t xml:space="preserve">term </w:t>
      </w:r>
      <w:r>
        <w:rPr>
          <w:rFonts w:ascii="Arial" w:cs="Arial" w:eastAsia="Arial" w:hAnsi="Arial"/>
          <w:sz w:val="19"/>
          <w:szCs w:val="19"/>
          <w:color w:val="auto"/>
        </w:rPr>
        <w:t>of an ISO shall in no event exceed 10 years from the date of grant (five years for ISOs granted to Employees described in</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4(c)). A Stock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7(e), the Committee at its sole discretion shall determine when all or any installment of an Option is to become exercisable and when an Option is to expire.</w:t>
      </w:r>
    </w:p>
    <w:p>
      <w:pPr>
        <w:spacing w:after="0" w:line="197" w:lineRule="exact"/>
        <w:rPr>
          <w:rFonts w:ascii="Arial" w:cs="Arial" w:eastAsia="Arial" w:hAnsi="Arial"/>
          <w:sz w:val="19"/>
          <w:szCs w:val="19"/>
          <w:color w:val="auto"/>
        </w:rPr>
      </w:pPr>
    </w:p>
    <w:p>
      <w:pPr>
        <w:jc w:val="both"/>
        <w:ind w:firstLine="656"/>
        <w:spacing w:after="0" w:line="247" w:lineRule="auto"/>
        <w:tabs>
          <w:tab w:leader="none" w:pos="108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Exercise of Options</w:t>
      </w:r>
      <w:r>
        <w:rPr>
          <w:rFonts w:ascii="Arial" w:cs="Arial" w:eastAsia="Arial" w:hAnsi="Arial"/>
          <w:sz w:val="22"/>
          <w:szCs w:val="22"/>
          <w:color w:val="auto"/>
        </w:rPr>
        <w:t>. Each Stock Option Award Agreement shall set forth the extent to which the Participant shall have the right to exercise the 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234" w:lineRule="exact"/>
        <w:rPr>
          <w:rFonts w:ascii="Arial" w:cs="Arial" w:eastAsia="Arial" w:hAnsi="Arial"/>
          <w:sz w:val="22"/>
          <w:szCs w:val="22"/>
          <w:color w:val="auto"/>
        </w:rPr>
      </w:pPr>
    </w:p>
    <w:p>
      <w:pPr>
        <w:jc w:val="both"/>
        <w:ind w:firstLine="656"/>
        <w:spacing w:after="0" w:line="253" w:lineRule="auto"/>
        <w:tabs>
          <w:tab w:leader="none" w:pos="1143"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Effect of Change in Control</w:t>
      </w:r>
      <w:r>
        <w:rPr>
          <w:rFonts w:ascii="Arial" w:cs="Arial" w:eastAsia="Arial" w:hAnsi="Arial"/>
          <w:sz w:val="22"/>
          <w:szCs w:val="22"/>
          <w:color w:val="auto"/>
        </w:rPr>
        <w:t xml:space="preserve">. The Committee may determine, at the time of granting an Option or thereafter, that such Option </w:t>
      </w:r>
      <w:r>
        <w:rPr>
          <w:rFonts w:ascii="Arial" w:cs="Arial" w:eastAsia="Arial" w:hAnsi="Arial"/>
          <w:sz w:val="22"/>
          <w:szCs w:val="22"/>
          <w:i w:val="1"/>
          <w:iCs w:val="1"/>
          <w:color w:val="auto"/>
        </w:rPr>
        <w:t>shall</w:t>
      </w:r>
      <w:r>
        <w:rPr>
          <w:rFonts w:ascii="Arial" w:cs="Arial" w:eastAsia="Arial" w:hAnsi="Arial"/>
          <w:sz w:val="22"/>
          <w:szCs w:val="22"/>
          <w:color w:val="auto"/>
        </w:rPr>
        <w:t xml:space="preserve"> become exercisable as to all or part of the Shares subject to such Option in the event that a Change in Control occurs with respect to the Company.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63" w:name="page64"/>
    <w:bookmarkEnd w:id="63"/>
    <w:p>
      <w:pPr>
        <w:jc w:val="both"/>
        <w:ind w:firstLine="656"/>
        <w:spacing w:after="0" w:line="253" w:lineRule="auto"/>
        <w:tabs>
          <w:tab w:leader="none" w:pos="113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No Rights as a Stockholder</w:t>
      </w:r>
      <w:r>
        <w:rPr>
          <w:rFonts w:ascii="Arial" w:cs="Arial" w:eastAsia="Arial" w:hAnsi="Arial"/>
          <w:sz w:val="22"/>
          <w:szCs w:val="22"/>
          <w:color w:val="auto"/>
        </w:rPr>
        <w:t>. A Participant shall have no rights as a stockholder with respect to any Shares covered by his Option until the date of the issuance of a stock certificate for such Shares. No adjustments shall be made, except as provided in Section 12.</w:t>
      </w:r>
    </w:p>
    <w:p>
      <w:pPr>
        <w:spacing w:after="0" w:line="226" w:lineRule="exact"/>
        <w:rPr>
          <w:rFonts w:ascii="Arial" w:cs="Arial" w:eastAsia="Arial" w:hAnsi="Arial"/>
          <w:sz w:val="22"/>
          <w:szCs w:val="22"/>
          <w:color w:val="auto"/>
        </w:rPr>
      </w:pPr>
    </w:p>
    <w:p>
      <w:pPr>
        <w:jc w:val="both"/>
        <w:ind w:firstLine="656"/>
        <w:spacing w:after="0" w:line="261" w:lineRule="auto"/>
        <w:tabs>
          <w:tab w:leader="none" w:pos="119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Modification, Extension and Renewal of Options</w:t>
      </w:r>
      <w:r>
        <w:rPr>
          <w:rFonts w:ascii="Arial" w:cs="Arial" w:eastAsia="Arial" w:hAnsi="Arial"/>
          <w:sz w:val="21"/>
          <w:szCs w:val="21"/>
          <w:color w:val="auto"/>
        </w:rPr>
        <w:t>. Within the limitations of the Plan, the Committee may modify, extend or renew outstanding 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without stockholder approval. The foregoing notwithstanding, no modification of an Option shall, without the consent of the Participant, materially impair his or her rights or obligations under such Option.</w:t>
      </w:r>
    </w:p>
    <w:p>
      <w:pPr>
        <w:spacing w:after="0" w:line="220" w:lineRule="exact"/>
        <w:rPr>
          <w:rFonts w:ascii="Arial" w:cs="Arial" w:eastAsia="Arial" w:hAnsi="Arial"/>
          <w:sz w:val="21"/>
          <w:szCs w:val="21"/>
          <w:color w:val="auto"/>
        </w:rPr>
      </w:pPr>
    </w:p>
    <w:p>
      <w:pPr>
        <w:jc w:val="both"/>
        <w:ind w:firstLine="656"/>
        <w:spacing w:after="0" w:line="250" w:lineRule="auto"/>
        <w:tabs>
          <w:tab w:leader="none" w:pos="1163"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Shares</w:t>
      </w:r>
      <w:r>
        <w:rPr>
          <w:rFonts w:ascii="Arial" w:cs="Arial" w:eastAsia="Arial" w:hAnsi="Arial"/>
          <w:sz w:val="22"/>
          <w:szCs w:val="22"/>
          <w:color w:val="auto"/>
        </w:rPr>
        <w:t>. Any Shares issued upon exercise of an Option shall be subject to such special forfeiture conditions, rights of repurchase, rights of first refusal and other transfer restrictions as the Committee may determine. Such restrictions shall be set forth in the applicable Stock Option Award Agreement and shall apply in addition to any general restrictions that may apply to all holders of Shares.</w:t>
      </w:r>
    </w:p>
    <w:p>
      <w:pPr>
        <w:spacing w:after="0" w:line="228" w:lineRule="exact"/>
        <w:rPr>
          <w:rFonts w:ascii="Arial" w:cs="Arial" w:eastAsia="Arial" w:hAnsi="Arial"/>
          <w:sz w:val="22"/>
          <w:szCs w:val="22"/>
          <w:color w:val="auto"/>
        </w:rPr>
      </w:pPr>
    </w:p>
    <w:p>
      <w:pPr>
        <w:jc w:val="both"/>
        <w:ind w:firstLine="656"/>
        <w:spacing w:after="0" w:line="253" w:lineRule="auto"/>
        <w:tabs>
          <w:tab w:leader="none" w:pos="1143"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Buyout Provisions</w:t>
      </w:r>
      <w:r>
        <w:rPr>
          <w:rFonts w:ascii="Arial" w:cs="Arial" w:eastAsia="Arial" w:hAnsi="Arial"/>
          <w:sz w:val="22"/>
          <w:szCs w:val="22"/>
          <w:color w:val="auto"/>
        </w:rPr>
        <w:t xml:space="preserve">. The Committee may at any time (a) offer to buy out for a payment in cash or cash equivalents an Option previously granted or (b) authorize a Participant to elect to cash out an Option previously granted, in either case at </w:t>
      </w:r>
      <w:r>
        <w:rPr>
          <w:rFonts w:ascii="Arial" w:cs="Arial" w:eastAsia="Arial" w:hAnsi="Arial"/>
          <w:sz w:val="22"/>
          <w:szCs w:val="22"/>
          <w:i w:val="1"/>
          <w:iCs w:val="1"/>
          <w:color w:val="auto"/>
        </w:rPr>
        <w:t>such</w:t>
      </w:r>
      <w:r>
        <w:rPr>
          <w:rFonts w:ascii="Arial" w:cs="Arial" w:eastAsia="Arial" w:hAnsi="Arial"/>
          <w:sz w:val="22"/>
          <w:szCs w:val="22"/>
          <w:color w:val="auto"/>
        </w:rPr>
        <w:t xml:space="preserve"> time and based upon such terms and conditions as the Committee shall establish.</w:t>
      </w:r>
    </w:p>
    <w:p>
      <w:pPr>
        <w:spacing w:after="0" w:line="220"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21"/>
          <w:szCs w:val="21"/>
          <w:b w:val="1"/>
          <w:bCs w:val="1"/>
          <w:color w:val="auto"/>
        </w:rPr>
        <w:t>PAYMENT FOR SHARES.</w:t>
      </w:r>
    </w:p>
    <w:p>
      <w:pPr>
        <w:spacing w:after="0" w:line="266" w:lineRule="exact"/>
        <w:rPr>
          <w:sz w:val="20"/>
          <w:szCs w:val="20"/>
          <w:color w:val="auto"/>
        </w:rPr>
      </w:pPr>
    </w:p>
    <w:p>
      <w:pPr>
        <w:jc w:val="both"/>
        <w:ind w:firstLine="656"/>
        <w:spacing w:after="0" w:line="253" w:lineRule="auto"/>
        <w:tabs>
          <w:tab w:leader="none" w:pos="1145"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xml:space="preserve">. The entire Exercise Price or Purchase Price of Shares issued under the Plan shall be payable in lawful money of the </w:t>
      </w:r>
      <w:r>
        <w:rPr>
          <w:rFonts w:ascii="Arial" w:cs="Arial" w:eastAsia="Arial" w:hAnsi="Arial"/>
          <w:sz w:val="22"/>
          <w:szCs w:val="22"/>
          <w:i w:val="1"/>
          <w:iCs w:val="1"/>
          <w:color w:val="auto"/>
        </w:rPr>
        <w:t>United</w:t>
      </w:r>
      <w:r>
        <w:rPr>
          <w:rFonts w:ascii="Arial" w:cs="Arial" w:eastAsia="Arial" w:hAnsi="Arial"/>
          <w:sz w:val="22"/>
          <w:szCs w:val="22"/>
          <w:color w:val="auto"/>
        </w:rPr>
        <w:t xml:space="preserve"> States of America at the time when such Shares are purchased, except as provided in Section 8(b) through Section 8(h) below.</w:t>
      </w:r>
    </w:p>
    <w:p>
      <w:pPr>
        <w:spacing w:after="0" w:line="226" w:lineRule="exact"/>
        <w:rPr>
          <w:rFonts w:ascii="Arial" w:cs="Arial" w:eastAsia="Arial" w:hAnsi="Arial"/>
          <w:sz w:val="22"/>
          <w:szCs w:val="22"/>
          <w:color w:val="auto"/>
        </w:rPr>
      </w:pPr>
    </w:p>
    <w:p>
      <w:pPr>
        <w:jc w:val="both"/>
        <w:ind w:firstLine="656"/>
        <w:spacing w:after="0" w:line="247" w:lineRule="auto"/>
        <w:tabs>
          <w:tab w:leader="none" w:pos="1143"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Surrender of Stock</w:t>
      </w:r>
      <w:r>
        <w:rPr>
          <w:rFonts w:ascii="Arial" w:cs="Arial" w:eastAsia="Arial" w:hAnsi="Arial"/>
          <w:sz w:val="22"/>
          <w:szCs w:val="22"/>
          <w:color w:val="auto"/>
        </w:rPr>
        <w:t>. To the extent that a Stock Option Award Agreement so provides, payment may be made all or in part by surrendering, or attesting to the ownership of, Shares which have already been owned by the Participant or his representative. Such Shares shall be valued at their Fair Market Value on the date when the new Shares are purchased under the Plan. The Participant shall not surrender, or attest to the ownership of, Shares in payment of the Exercise Price if such action would cause the Company to recognize compensation expense (or additional compensation expense) with respect to the Option for financial reporting purposes.</w:t>
      </w:r>
    </w:p>
    <w:p>
      <w:pPr>
        <w:spacing w:after="0" w:line="234" w:lineRule="exact"/>
        <w:rPr>
          <w:rFonts w:ascii="Arial" w:cs="Arial" w:eastAsia="Arial" w:hAnsi="Arial"/>
          <w:sz w:val="22"/>
          <w:szCs w:val="22"/>
          <w:color w:val="auto"/>
        </w:rPr>
      </w:pPr>
    </w:p>
    <w:p>
      <w:pPr>
        <w:jc w:val="both"/>
        <w:ind w:firstLine="656"/>
        <w:spacing w:after="0" w:line="265" w:lineRule="auto"/>
        <w:tabs>
          <w:tab w:leader="none" w:pos="1185"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Services Rendered</w:t>
      </w:r>
      <w:r>
        <w:rPr>
          <w:rFonts w:ascii="Arial" w:cs="Arial" w:eastAsia="Arial" w:hAnsi="Arial"/>
          <w:sz w:val="21"/>
          <w:szCs w:val="21"/>
          <w:color w:val="auto"/>
        </w:rPr>
        <w:t>. At the discretion of the Committee, Shares may be awarded under the Plan in consideration of services rendered to the Company or a Subsidiary. If Shares are awarded without the payment of a Purchase Price in cash, the Committee shall make a determination (at the time of the Award) of the value of the services rendered by the Participant and the sufficiency of the consideration to meet the requirements of Section 6(b).</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1" w:right="239" w:bottom="1440" w:gutter="0" w:footer="0" w:header="0"/>
        </w:sectPr>
      </w:pPr>
    </w:p>
    <w:bookmarkStart w:id="64" w:name="page65"/>
    <w:bookmarkEnd w:id="64"/>
    <w:p>
      <w:pPr>
        <w:jc w:val="both"/>
        <w:ind w:firstLine="656"/>
        <w:spacing w:after="0" w:line="271" w:lineRule="auto"/>
        <w:tabs>
          <w:tab w:leader="none" w:pos="1170"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Cashless Exercise</w:t>
      </w:r>
      <w:r>
        <w:rPr>
          <w:rFonts w:ascii="Arial" w:cs="Arial" w:eastAsia="Arial" w:hAnsi="Arial"/>
          <w:sz w:val="21"/>
          <w:szCs w:val="21"/>
          <w:color w:val="auto"/>
        </w:rPr>
        <w:t>. To the extent that a Stock Option Award Agreement so provides, payment may be made all or in part by delivery (on a form prescribed by the Committee) of an irrevocable direction to a securities broker to sell Shares and to deliver all or part of the sale proceeds to the Company in payment of the aggregate Exercise Price.</w:t>
      </w:r>
    </w:p>
    <w:p>
      <w:pPr>
        <w:spacing w:after="0" w:line="208" w:lineRule="exact"/>
        <w:rPr>
          <w:rFonts w:ascii="Arial" w:cs="Arial" w:eastAsia="Arial" w:hAnsi="Arial"/>
          <w:sz w:val="21"/>
          <w:szCs w:val="21"/>
          <w:color w:val="auto"/>
        </w:rPr>
      </w:pPr>
    </w:p>
    <w:p>
      <w:pPr>
        <w:jc w:val="both"/>
        <w:ind w:firstLine="656"/>
        <w:spacing w:after="0" w:line="312" w:lineRule="auto"/>
        <w:tabs>
          <w:tab w:leader="none" w:pos="1118"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Exercise/Pledge</w:t>
      </w:r>
      <w:r>
        <w:rPr>
          <w:rFonts w:ascii="Arial" w:cs="Arial" w:eastAsia="Arial" w:hAnsi="Arial"/>
          <w:sz w:val="19"/>
          <w:szCs w:val="19"/>
          <w:color w:val="auto"/>
        </w:rPr>
        <w:t xml:space="preserve">. To the extent that a Stock Option Award Agreement so provides, payment may be made all or in part by delivery (on a form prescribed by the Committee) of an irrevocable direction to a securities broker or lender to pledge </w:t>
      </w:r>
      <w:r>
        <w:rPr>
          <w:rFonts w:ascii="Arial" w:cs="Arial" w:eastAsia="Arial" w:hAnsi="Arial"/>
          <w:sz w:val="19"/>
          <w:szCs w:val="19"/>
          <w:i w:val="1"/>
          <w:iCs w:val="1"/>
          <w:color w:val="auto"/>
        </w:rPr>
        <w:t>Shares</w:t>
      </w:r>
      <w:r>
        <w:rPr>
          <w:rFonts w:ascii="Arial" w:cs="Arial" w:eastAsia="Arial" w:hAnsi="Arial"/>
          <w:sz w:val="19"/>
          <w:szCs w:val="19"/>
          <w:color w:val="auto"/>
        </w:rPr>
        <w:t>, as security for a loan, and to deliver all or part of the loan proceeds to the Company in payment of the aggregate Exercise Price.</w:t>
      </w:r>
    </w:p>
    <w:p>
      <w:pPr>
        <w:spacing w:after="0" w:line="174" w:lineRule="exact"/>
        <w:rPr>
          <w:rFonts w:ascii="Arial" w:cs="Arial" w:eastAsia="Arial" w:hAnsi="Arial"/>
          <w:sz w:val="19"/>
          <w:szCs w:val="19"/>
          <w:color w:val="auto"/>
        </w:rPr>
      </w:pPr>
    </w:p>
    <w:p>
      <w:pPr>
        <w:jc w:val="both"/>
        <w:ind w:firstLine="656"/>
        <w:spacing w:after="0" w:line="247" w:lineRule="auto"/>
        <w:tabs>
          <w:tab w:leader="none" w:pos="1202"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Net Exercise</w:t>
      </w:r>
      <w:r>
        <w:rPr>
          <w:rFonts w:ascii="Arial" w:cs="Arial" w:eastAsia="Arial" w:hAnsi="Arial"/>
          <w:sz w:val="22"/>
          <w:szCs w:val="22"/>
          <w:color w:val="auto"/>
        </w:rPr>
        <w:t xml:space="preserve">. To the extent that a Stock Option Award Agreement so provides, by a “net exercise” arrangement pursuant to which </w:t>
      </w:r>
      <w:r>
        <w:rPr>
          <w:rFonts w:ascii="Arial" w:cs="Arial" w:eastAsia="Arial" w:hAnsi="Arial"/>
          <w:sz w:val="22"/>
          <w:szCs w:val="22"/>
          <w:i w:val="1"/>
          <w:iCs w:val="1"/>
          <w:color w:val="auto"/>
        </w:rPr>
        <w:t>the</w:t>
      </w:r>
      <w:r>
        <w:rPr>
          <w:rFonts w:ascii="Arial" w:cs="Arial" w:eastAsia="Arial" w:hAnsi="Arial"/>
          <w:sz w:val="22"/>
          <w:szCs w:val="22"/>
          <w:color w:val="auto"/>
        </w:rPr>
        <w:t xml:space="preserv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Optionee in cash other form of payment permitted under the Stock Option Agreement.</w:t>
      </w:r>
    </w:p>
    <w:p>
      <w:pPr>
        <w:spacing w:after="0" w:line="234" w:lineRule="exact"/>
        <w:rPr>
          <w:rFonts w:ascii="Arial" w:cs="Arial" w:eastAsia="Arial" w:hAnsi="Arial"/>
          <w:sz w:val="22"/>
          <w:szCs w:val="22"/>
          <w:color w:val="auto"/>
        </w:rPr>
      </w:pPr>
    </w:p>
    <w:p>
      <w:pPr>
        <w:jc w:val="both"/>
        <w:ind w:firstLine="656"/>
        <w:spacing w:after="0" w:line="343" w:lineRule="auto"/>
        <w:tabs>
          <w:tab w:leader="none" w:pos="1238"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Promissory Note</w:t>
      </w:r>
      <w:r>
        <w:rPr>
          <w:rFonts w:ascii="Arial" w:cs="Arial" w:eastAsia="Arial" w:hAnsi="Arial"/>
          <w:sz w:val="19"/>
          <w:szCs w:val="19"/>
          <w:color w:val="auto"/>
        </w:rPr>
        <w:t>. To the extent that a Stock Option Award Agreement or Restricted Share Award Agreement so provides, payment may be made all or in part by delivering (on a form prescribed by the Company) a full-recourse promissory note.</w:t>
      </w:r>
    </w:p>
    <w:p>
      <w:pPr>
        <w:spacing w:after="0" w:line="145" w:lineRule="exact"/>
        <w:rPr>
          <w:rFonts w:ascii="Arial" w:cs="Arial" w:eastAsia="Arial" w:hAnsi="Arial"/>
          <w:sz w:val="19"/>
          <w:szCs w:val="19"/>
          <w:color w:val="auto"/>
        </w:rPr>
      </w:pPr>
    </w:p>
    <w:p>
      <w:pPr>
        <w:ind w:firstLine="656"/>
        <w:spacing w:after="0" w:line="343" w:lineRule="auto"/>
        <w:tabs>
          <w:tab w:leader="none" w:pos="1143"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Other Forms of Payment</w:t>
      </w:r>
      <w:r>
        <w:rPr>
          <w:rFonts w:ascii="Arial" w:cs="Arial" w:eastAsia="Arial" w:hAnsi="Arial"/>
          <w:sz w:val="19"/>
          <w:szCs w:val="19"/>
          <w:color w:val="auto"/>
        </w:rPr>
        <w:t>. To the extent that a Stock Option Award Agreement or Restricted Share Award Agreement so provides, payment may be made in any other form that is consistent with applicable laws, regulations and rules.</w:t>
      </w:r>
    </w:p>
    <w:p>
      <w:pPr>
        <w:spacing w:after="0" w:line="145" w:lineRule="exact"/>
        <w:rPr>
          <w:rFonts w:ascii="Arial" w:cs="Arial" w:eastAsia="Arial" w:hAnsi="Arial"/>
          <w:sz w:val="19"/>
          <w:szCs w:val="19"/>
          <w:color w:val="auto"/>
        </w:rPr>
      </w:pPr>
    </w:p>
    <w:p>
      <w:pPr>
        <w:jc w:val="both"/>
        <w:ind w:firstLine="656"/>
        <w:spacing w:after="0" w:line="253" w:lineRule="auto"/>
        <w:tabs>
          <w:tab w:leader="none" w:pos="123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Limitations under Applicable Law</w:t>
      </w:r>
      <w:r>
        <w:rPr>
          <w:rFonts w:ascii="Arial" w:cs="Arial" w:eastAsia="Arial" w:hAnsi="Arial"/>
          <w:sz w:val="22"/>
          <w:szCs w:val="22"/>
          <w:color w:val="auto"/>
        </w:rPr>
        <w:t>. Notwithstanding anything herein or in a Stock Option Award Agreement or Restricted Share Award Agreement to the contrary, payment may not be made in any form that is unlawful, as determined by the Committee in its sole discretion.</w:t>
      </w:r>
    </w:p>
    <w:p>
      <w:pPr>
        <w:spacing w:after="0" w:line="220"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21"/>
          <w:szCs w:val="21"/>
          <w:b w:val="1"/>
          <w:bCs w:val="1"/>
          <w:color w:val="auto"/>
        </w:rPr>
        <w:t>STOCK APPRECIATION RIGHTS.</w:t>
      </w:r>
    </w:p>
    <w:p>
      <w:pPr>
        <w:spacing w:after="0" w:line="266" w:lineRule="exact"/>
        <w:rPr>
          <w:sz w:val="20"/>
          <w:szCs w:val="20"/>
          <w:color w:val="auto"/>
        </w:rPr>
      </w:pPr>
    </w:p>
    <w:p>
      <w:pPr>
        <w:jc w:val="both"/>
        <w:ind w:firstLine="656"/>
        <w:spacing w:after="0" w:line="250" w:lineRule="auto"/>
        <w:tabs>
          <w:tab w:leader="none" w:pos="1118"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SAR Award Agreement</w:t>
      </w:r>
      <w:r>
        <w:rPr>
          <w:rFonts w:ascii="Arial" w:cs="Arial" w:eastAsia="Arial" w:hAnsi="Arial"/>
          <w:sz w:val="22"/>
          <w:szCs w:val="22"/>
          <w:color w:val="auto"/>
        </w:rPr>
        <w:t>. Each grant of a SAR under the Plan shall be evidenced by a SAR Award Agreement between the Participant and the Company. Such SAR shall be subject to all applicable terms of the Plan and may be subject to any other terms that are not inconsistent with the Plan. The provisions of the various SAR Award Agreements entered into under the Plan need not be identical.</w:t>
      </w:r>
    </w:p>
    <w:p>
      <w:pPr>
        <w:spacing w:after="0" w:line="228" w:lineRule="exact"/>
        <w:rPr>
          <w:rFonts w:ascii="Arial" w:cs="Arial" w:eastAsia="Arial" w:hAnsi="Arial"/>
          <w:sz w:val="22"/>
          <w:szCs w:val="22"/>
          <w:color w:val="auto"/>
        </w:rPr>
      </w:pPr>
    </w:p>
    <w:p>
      <w:pPr>
        <w:ind w:right="20" w:firstLine="656"/>
        <w:spacing w:after="0" w:line="263" w:lineRule="auto"/>
        <w:tabs>
          <w:tab w:leader="none" w:pos="117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Number of Shares</w:t>
      </w:r>
      <w:r>
        <w:rPr>
          <w:rFonts w:ascii="Arial" w:cs="Arial" w:eastAsia="Arial" w:hAnsi="Arial"/>
          <w:sz w:val="22"/>
          <w:szCs w:val="22"/>
          <w:color w:val="auto"/>
        </w:rPr>
        <w:t>. Each SAR Award Agreement shall specify the number of Shares to which the SAR pertains and shall provide for the adjustment of such number in accordance with Section 12.</w:t>
      </w:r>
    </w:p>
    <w:p>
      <w:pPr>
        <w:spacing w:after="0" w:line="215" w:lineRule="exact"/>
        <w:rPr>
          <w:rFonts w:ascii="Arial" w:cs="Arial" w:eastAsia="Arial" w:hAnsi="Arial"/>
          <w:sz w:val="22"/>
          <w:szCs w:val="22"/>
          <w:color w:val="auto"/>
        </w:rPr>
      </w:pPr>
    </w:p>
    <w:p>
      <w:pPr>
        <w:jc w:val="both"/>
        <w:ind w:right="20" w:firstLine="656"/>
        <w:spacing w:after="0" w:line="253" w:lineRule="auto"/>
        <w:tabs>
          <w:tab w:leader="none" w:pos="1104"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xml:space="preserve">. Each SAR Award Agreement shall specify the Exercise Price. The Exercise Price of a SAR shall not be less </w:t>
      </w:r>
      <w:r>
        <w:rPr>
          <w:rFonts w:ascii="Arial" w:cs="Arial" w:eastAsia="Arial" w:hAnsi="Arial"/>
          <w:sz w:val="22"/>
          <w:szCs w:val="22"/>
          <w:i w:val="1"/>
          <w:iCs w:val="1"/>
          <w:color w:val="auto"/>
        </w:rPr>
        <w:t>than</w:t>
      </w:r>
      <w:r>
        <w:rPr>
          <w:rFonts w:ascii="Arial" w:cs="Arial" w:eastAsia="Arial" w:hAnsi="Arial"/>
          <w:sz w:val="22"/>
          <w:szCs w:val="22"/>
          <w:color w:val="auto"/>
        </w:rPr>
        <w:t xml:space="preserve"> 100% of the Fair Market Value of a Share on the date of grant. Notwithstanding the foregoing, SARs may be granted with an Exercise Price of less than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1" w:right="239" w:bottom="1440" w:gutter="0" w:footer="0" w:header="0"/>
        </w:sectPr>
      </w:pPr>
    </w:p>
    <w:bookmarkStart w:id="65" w:name="page66"/>
    <w:bookmarkEnd w:id="65"/>
    <w:p>
      <w:pPr>
        <w:jc w:val="both"/>
        <w:spacing w:after="0" w:line="253" w:lineRule="auto"/>
        <w:rPr>
          <w:sz w:val="20"/>
          <w:szCs w:val="20"/>
          <w:color w:val="auto"/>
        </w:rPr>
      </w:pPr>
      <w:r>
        <w:rPr>
          <w:rFonts w:ascii="Arial" w:cs="Arial" w:eastAsia="Arial" w:hAnsi="Arial"/>
          <w:sz w:val="22"/>
          <w:szCs w:val="22"/>
          <w:color w:val="auto"/>
        </w:rPr>
        <w:t>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w:t>
      </w:r>
    </w:p>
    <w:p>
      <w:pPr>
        <w:spacing w:after="0" w:line="226" w:lineRule="exact"/>
        <w:rPr>
          <w:sz w:val="20"/>
          <w:szCs w:val="20"/>
          <w:color w:val="auto"/>
        </w:rPr>
      </w:pPr>
    </w:p>
    <w:p>
      <w:pPr>
        <w:jc w:val="both"/>
        <w:ind w:firstLine="656"/>
        <w:spacing w:after="0" w:line="292" w:lineRule="auto"/>
        <w:tabs>
          <w:tab w:leader="none" w:pos="1116"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Exercisability and Term</w:t>
      </w:r>
      <w:r>
        <w:rPr>
          <w:rFonts w:ascii="Arial" w:cs="Arial" w:eastAsia="Arial" w:hAnsi="Arial"/>
          <w:sz w:val="19"/>
          <w:szCs w:val="19"/>
          <w:color w:val="auto"/>
        </w:rPr>
        <w:t xml:space="preserve">. Each SAR Award Agreement shall specify the date when all or any installment of the SAR is to </w:t>
      </w:r>
      <w:r>
        <w:rPr>
          <w:rFonts w:ascii="Arial" w:cs="Arial" w:eastAsia="Arial" w:hAnsi="Arial"/>
          <w:sz w:val="19"/>
          <w:szCs w:val="19"/>
          <w:i w:val="1"/>
          <w:iCs w:val="1"/>
          <w:color w:val="auto"/>
        </w:rPr>
        <w:t>become</w:t>
      </w:r>
      <w:r>
        <w:rPr>
          <w:rFonts w:ascii="Arial" w:cs="Arial" w:eastAsia="Arial" w:hAnsi="Arial"/>
          <w:sz w:val="19"/>
          <w:szCs w:val="19"/>
          <w:color w:val="auto"/>
        </w:rPr>
        <w:t xml:space="preserve"> exercisable. The SAR Award Agreement shall also specify the term of the SAR. A SAR Award Agreement may provide for accelerated exercisability in the event of the Participant’s death, disability or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spacing w:after="0" w:line="192" w:lineRule="exact"/>
        <w:rPr>
          <w:rFonts w:ascii="Arial" w:cs="Arial" w:eastAsia="Arial" w:hAnsi="Arial"/>
          <w:sz w:val="19"/>
          <w:szCs w:val="19"/>
          <w:color w:val="auto"/>
        </w:rPr>
      </w:pPr>
    </w:p>
    <w:p>
      <w:pPr>
        <w:jc w:val="both"/>
        <w:ind w:firstLine="656"/>
        <w:spacing w:after="0" w:line="253" w:lineRule="auto"/>
        <w:tabs>
          <w:tab w:leader="none" w:pos="1172"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Effect of Change in Control</w:t>
      </w:r>
      <w:r>
        <w:rPr>
          <w:rFonts w:ascii="Arial" w:cs="Arial" w:eastAsia="Arial" w:hAnsi="Arial"/>
          <w:sz w:val="22"/>
          <w:szCs w:val="22"/>
          <w:color w:val="auto"/>
        </w:rPr>
        <w:t>. The Committee may determine, at the time of granting a SAR or thereafter, that such SAR shall become fully exercisable as to all Common Shares subject to such SAR in the event that a Change in Control occurs with respect to the Company.</w:t>
      </w:r>
    </w:p>
    <w:p>
      <w:pPr>
        <w:spacing w:after="0" w:line="226" w:lineRule="exact"/>
        <w:rPr>
          <w:rFonts w:ascii="Arial" w:cs="Arial" w:eastAsia="Arial" w:hAnsi="Arial"/>
          <w:sz w:val="22"/>
          <w:szCs w:val="22"/>
          <w:color w:val="auto"/>
        </w:rPr>
      </w:pPr>
    </w:p>
    <w:p>
      <w:pPr>
        <w:jc w:val="both"/>
        <w:ind w:firstLine="656"/>
        <w:spacing w:after="0" w:line="248" w:lineRule="auto"/>
        <w:tabs>
          <w:tab w:leader="none" w:pos="1121"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Exercise of SARs</w:t>
      </w:r>
      <w:r>
        <w:rPr>
          <w:rFonts w:ascii="Arial" w:cs="Arial" w:eastAsia="Arial" w:hAnsi="Arial"/>
          <w:sz w:val="22"/>
          <w:szCs w:val="22"/>
          <w:color w:val="auto"/>
        </w:rPr>
        <w:t>. Upon exercise of a SAR, the Participant (or any person having the right to exercise the SAR after his or her death) shall receive from the Company (a) Shares, (b) cash or (c)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232" w:lineRule="exact"/>
        <w:rPr>
          <w:rFonts w:ascii="Arial" w:cs="Arial" w:eastAsia="Arial" w:hAnsi="Arial"/>
          <w:sz w:val="22"/>
          <w:szCs w:val="22"/>
          <w:color w:val="auto"/>
        </w:rPr>
      </w:pPr>
    </w:p>
    <w:p>
      <w:pPr>
        <w:jc w:val="both"/>
        <w:ind w:firstLine="656"/>
        <w:spacing w:after="0" w:line="247" w:lineRule="auto"/>
        <w:tabs>
          <w:tab w:leader="none" w:pos="1238"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Modification or Assumption of SARs</w:t>
      </w:r>
      <w:r>
        <w:rPr>
          <w:rFonts w:ascii="Arial" w:cs="Arial" w:eastAsia="Arial" w:hAnsi="Arial"/>
          <w:sz w:val="22"/>
          <w:szCs w:val="22"/>
          <w:color w:val="auto"/>
        </w:rPr>
        <w:t>. Within the limitations of the Plan, the Committee may modify, extend or assume 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without stockholder approval. The foregoing notwithstanding, no modification of a SAR shall, without the consent of the holder, materially impair his or her rights or obligations under such SAR.</w:t>
      </w:r>
    </w:p>
    <w:p>
      <w:pPr>
        <w:spacing w:after="0" w:line="234" w:lineRule="exact"/>
        <w:rPr>
          <w:rFonts w:ascii="Arial" w:cs="Arial" w:eastAsia="Arial" w:hAnsi="Arial"/>
          <w:sz w:val="22"/>
          <w:szCs w:val="22"/>
          <w:color w:val="auto"/>
        </w:rPr>
      </w:pPr>
    </w:p>
    <w:p>
      <w:pPr>
        <w:jc w:val="both"/>
        <w:ind w:firstLine="656"/>
        <w:spacing w:after="0" w:line="253" w:lineRule="auto"/>
        <w:tabs>
          <w:tab w:leader="none" w:pos="1157"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Buyout Provisions</w:t>
      </w:r>
      <w:r>
        <w:rPr>
          <w:rFonts w:ascii="Arial" w:cs="Arial" w:eastAsia="Arial" w:hAnsi="Arial"/>
          <w:sz w:val="22"/>
          <w:szCs w:val="22"/>
          <w:color w:val="auto"/>
        </w:rPr>
        <w:t>. The Committee may at any time (a) offer to buy out for a payment in cash or cash equivalents a SAR previously granted, or (b) authorize a Participant to elect to cash out a SAR previously granted, in either case at such time and based upon such terms and conditions as the Committee shall establish.</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 STOCK UNITS.</w:t>
      </w:r>
    </w:p>
    <w:p>
      <w:pPr>
        <w:spacing w:after="0" w:line="266" w:lineRule="exact"/>
        <w:rPr>
          <w:sz w:val="20"/>
          <w:szCs w:val="20"/>
          <w:color w:val="auto"/>
        </w:rPr>
      </w:pPr>
    </w:p>
    <w:p>
      <w:pPr>
        <w:jc w:val="both"/>
        <w:ind w:firstLine="656"/>
        <w:spacing w:after="0" w:line="250" w:lineRule="auto"/>
        <w:tabs>
          <w:tab w:leader="none" w:pos="1172"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Stock Unit Award Agreement</w:t>
      </w:r>
      <w:r>
        <w:rPr>
          <w:rFonts w:ascii="Arial" w:cs="Arial" w:eastAsia="Arial" w:hAnsi="Arial"/>
          <w:sz w:val="22"/>
          <w:szCs w:val="22"/>
          <w:color w:val="auto"/>
        </w:rPr>
        <w:t>. Each grant of Stock Units under the Plan shall be evidenced by a Stock Unit Award Agreement between the Participant and the Company. Such Stock Units shall be subject to all applicable terms of the Plan and may be subject to any other terms that are not inconsistent with the Plan. The provisions of the various Stock Unit Award Agreements entered into under the Plan need not be identical.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1" w:right="239" w:bottom="1440" w:gutter="0" w:footer="0" w:header="0"/>
        </w:sectPr>
      </w:pPr>
    </w:p>
    <w:bookmarkStart w:id="66" w:name="page67"/>
    <w:bookmarkEnd w:id="66"/>
    <w:p>
      <w:pPr>
        <w:ind w:right="20" w:firstLine="656"/>
        <w:spacing w:after="0" w:line="263" w:lineRule="auto"/>
        <w:tabs>
          <w:tab w:leader="none" w:pos="1130"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Payment for Awards</w:t>
      </w:r>
      <w:r>
        <w:rPr>
          <w:rFonts w:ascii="Arial" w:cs="Arial" w:eastAsia="Arial" w:hAnsi="Arial"/>
          <w:sz w:val="22"/>
          <w:szCs w:val="22"/>
          <w:color w:val="auto"/>
        </w:rPr>
        <w:t>. To the extent that an Award is granted in the form of Stock Units, no cash consideration shall be required of the Award recipients.</w:t>
      </w:r>
    </w:p>
    <w:p>
      <w:pPr>
        <w:spacing w:after="0" w:line="215" w:lineRule="exact"/>
        <w:rPr>
          <w:rFonts w:ascii="Arial" w:cs="Arial" w:eastAsia="Arial" w:hAnsi="Arial"/>
          <w:sz w:val="22"/>
          <w:szCs w:val="22"/>
          <w:color w:val="auto"/>
        </w:rPr>
      </w:pPr>
    </w:p>
    <w:p>
      <w:pPr>
        <w:jc w:val="both"/>
        <w:ind w:firstLine="656"/>
        <w:spacing w:after="0" w:line="248" w:lineRule="auto"/>
        <w:tabs>
          <w:tab w:leader="none" w:pos="1118"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Vesting Conditions</w:t>
      </w:r>
      <w:r>
        <w:rPr>
          <w:rFonts w:ascii="Arial" w:cs="Arial" w:eastAsia="Arial" w:hAnsi="Arial"/>
          <w:sz w:val="22"/>
          <w:szCs w:val="22"/>
          <w:color w:val="auto"/>
        </w:rPr>
        <w:t>. Each Award of Stock Units may or may not be subject to vesting. Vesting shall occur, in full or in installments, upon satisfaction of the conditions specified in the Stock Unit Award Agreement. A Stock Unit Award Agreement may provide for accelerated vesting in the event of the Participant’s death, disability or retirement or other events. The Committee may determine, at the time of granting Stock Units or thereafter, that all or part of such Stock Units shall become vested in the event that a Change in Control occurs with respect to the Company.</w:t>
      </w:r>
    </w:p>
    <w:p>
      <w:pPr>
        <w:spacing w:after="0" w:line="232" w:lineRule="exact"/>
        <w:rPr>
          <w:rFonts w:ascii="Arial" w:cs="Arial" w:eastAsia="Arial" w:hAnsi="Arial"/>
          <w:sz w:val="22"/>
          <w:szCs w:val="22"/>
          <w:color w:val="auto"/>
        </w:rPr>
      </w:pPr>
    </w:p>
    <w:p>
      <w:pPr>
        <w:jc w:val="both"/>
        <w:ind w:firstLine="656"/>
        <w:spacing w:after="0" w:line="246" w:lineRule="auto"/>
        <w:tabs>
          <w:tab w:leader="none" w:pos="1157"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Voting and Dividend Rights</w:t>
      </w:r>
      <w:r>
        <w:rPr>
          <w:rFonts w:ascii="Arial" w:cs="Arial" w:eastAsia="Arial" w:hAnsi="Arial"/>
          <w:sz w:val="22"/>
          <w:szCs w:val="22"/>
          <w:color w:val="auto"/>
        </w:rPr>
        <w:t>. The holders of Stock Units shall have no voting rights. Prior to settlement or forfeiture, any Stock Unit awarded under the Plan may, at the Committee’s discretion, carry with it a right to dividend equivalents. Such right entitles the holder to be credited with an amount equal to all cash dividends paid on one Share while the Stock Unit is outstanding. Dividend equivalents may be converted into additional Stock Units. Settlement of dividend equivalents may be made in the form of cash, in the form of Shares, or in a combination of both. Prior to distribution, any dividend equivalents which are not paid shall be subject to the same conditions and restrictions (including without limitation, any forfeiture conditions) as the Stock Units to which they attach.</w:t>
      </w:r>
    </w:p>
    <w:p>
      <w:pPr>
        <w:spacing w:after="0" w:line="237" w:lineRule="exact"/>
        <w:rPr>
          <w:rFonts w:ascii="Arial" w:cs="Arial" w:eastAsia="Arial" w:hAnsi="Arial"/>
          <w:sz w:val="22"/>
          <w:szCs w:val="22"/>
          <w:color w:val="auto"/>
        </w:rPr>
      </w:pPr>
    </w:p>
    <w:p>
      <w:pPr>
        <w:ind w:left="1160" w:hanging="504"/>
        <w:spacing w:after="0"/>
        <w:tabs>
          <w:tab w:leader="none" w:pos="1160"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Form and Time of Settlement of Stock Units</w:t>
      </w:r>
      <w:r>
        <w:rPr>
          <w:rFonts w:ascii="Arial" w:cs="Arial" w:eastAsia="Arial" w:hAnsi="Arial"/>
          <w:sz w:val="19"/>
          <w:szCs w:val="19"/>
          <w:color w:val="auto"/>
        </w:rPr>
        <w:t>. Settlement of vested Stock Units may be made in the form of (a) cash,</w:t>
      </w:r>
    </w:p>
    <w:p>
      <w:pPr>
        <w:spacing w:after="0" w:line="56" w:lineRule="exact"/>
        <w:rPr>
          <w:rFonts w:ascii="Arial" w:cs="Arial" w:eastAsia="Arial" w:hAnsi="Arial"/>
          <w:sz w:val="19"/>
          <w:szCs w:val="19"/>
          <w:color w:val="auto"/>
        </w:rPr>
      </w:pPr>
    </w:p>
    <w:p>
      <w:pPr>
        <w:ind w:left="320" w:hanging="312"/>
        <w:spacing w:after="0"/>
        <w:tabs>
          <w:tab w:leader="none" w:pos="3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Shares or (c) any combination of both, as determined by the</w:t>
      </w:r>
    </w:p>
    <w:p>
      <w:pPr>
        <w:spacing w:after="0" w:line="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Committee. The actual number of Stock Units eligible for settlement may be larger or smaller than the number included in the original Award, based on predetermined performance factors. Methods of converting Stock Units into cash may include (without limitation) a method based on the average Fair Market Value of Shares over a series of trading days. A Stock Unit Award Agreement may provide that vested Stock Units may be settled in a lump sum or in installments. A Stock Unit Award Agreement may provide that the distribution may occur or commence when all vesting conditions applicable to the Stock Units have been satisfied or have lapsed, or it may be deferred to any later date, subject to compliance with Section 409A of the Code. The amount of a deferred distribution may be increased by an interest factor or by dividend equivalents. Until an Award of Stock Units is settled, the number of such Stock Units shall be subject to adjustment pursuant to Section 12.</w:t>
      </w:r>
    </w:p>
    <w:p>
      <w:pPr>
        <w:spacing w:after="0" w:line="201" w:lineRule="exact"/>
        <w:rPr>
          <w:sz w:val="20"/>
          <w:szCs w:val="20"/>
          <w:color w:val="auto"/>
        </w:rPr>
      </w:pPr>
    </w:p>
    <w:p>
      <w:pPr>
        <w:jc w:val="both"/>
        <w:ind w:firstLine="656"/>
        <w:spacing w:after="0" w:line="247" w:lineRule="auto"/>
        <w:tabs>
          <w:tab w:leader="none" w:pos="1121"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Death of Participant</w:t>
      </w:r>
      <w:r>
        <w:rPr>
          <w:rFonts w:ascii="Arial" w:cs="Arial" w:eastAsia="Arial" w:hAnsi="Arial"/>
          <w:sz w:val="22"/>
          <w:szCs w:val="22"/>
          <w:color w:val="auto"/>
        </w:rPr>
        <w:t>. Any Stock Unit Award that becomes payable after the Participant’s death shall be distributed to the Participant’s beneficiary or beneficiaries. Each recipient of a Stock Unit Award under the Plan shall designate one or more beneficiaries for this purpose by filing the prescribed form with the Company. A beneficiary designation may be changed by filing the prescribed form with the Company at any time before the Participant’s death. If no beneficiary was designated or if no designated beneficiary survives the Participant, then any Stock Units Award that becomes payable after the Participant’s death shall be distributed to the Participant’s estate.</w:t>
      </w:r>
    </w:p>
    <w:p>
      <w:pPr>
        <w:spacing w:after="0" w:line="234" w:lineRule="exact"/>
        <w:rPr>
          <w:rFonts w:ascii="Arial" w:cs="Arial" w:eastAsia="Arial" w:hAnsi="Arial"/>
          <w:sz w:val="22"/>
          <w:szCs w:val="22"/>
          <w:color w:val="auto"/>
        </w:rPr>
      </w:pPr>
    </w:p>
    <w:p>
      <w:pPr>
        <w:jc w:val="both"/>
        <w:ind w:firstLine="656"/>
        <w:spacing w:after="0" w:line="253" w:lineRule="auto"/>
        <w:tabs>
          <w:tab w:leader="none" w:pos="1143"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Creditors’ Rights</w:t>
      </w:r>
      <w:r>
        <w:rPr>
          <w:rFonts w:ascii="Arial" w:cs="Arial" w:eastAsia="Arial" w:hAnsi="Arial"/>
          <w:sz w:val="22"/>
          <w:szCs w:val="22"/>
          <w:color w:val="auto"/>
        </w:rPr>
        <w:t>. A holder of Stock Units shall have no rights other than those of a general creditor of the Company. Stock Units represent an unfunded and unsecured obligation of the Company, subject to the terms and conditions of the applicable Stock Unit Award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47" w:right="239" w:bottom="1440" w:gutter="0" w:footer="0" w:header="0"/>
        </w:sectPr>
      </w:pPr>
    </w:p>
    <w:bookmarkStart w:id="67" w:name="page68"/>
    <w:bookmarkEnd w:id="67"/>
    <w:p>
      <w:pPr>
        <w:spacing w:after="0"/>
        <w:rPr>
          <w:sz w:val="20"/>
          <w:szCs w:val="20"/>
          <w:color w:val="auto"/>
        </w:rPr>
      </w:pPr>
      <w:r>
        <w:rPr>
          <w:rFonts w:ascii="Arial" w:cs="Arial" w:eastAsia="Arial" w:hAnsi="Arial"/>
          <w:sz w:val="22"/>
          <w:szCs w:val="22"/>
          <w:b w:val="1"/>
          <w:bCs w:val="1"/>
          <w:color w:val="auto"/>
        </w:rPr>
        <w:t>SECTION 11. CASH-BASED AWARDS</w:t>
      </w:r>
    </w:p>
    <w:p>
      <w:pPr>
        <w:spacing w:after="0" w:line="2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Committee may, in its sole discretion, grant Cash-Based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the amount of cash which may be payable pursuant to the Cash-Based Award, the conditions upon which the Cash-Based Award shall become vested or payable, and such other provisions as the Committee shall determine. Each Cash-Based Award shall specify a cash-denominated payment amount, formula or payment ranges as determined by the Committee. Payment, if any, with respect to a Cash-Based Award shall be made in accordance with the terms of the Award and may be made in cash or in shares of Stock, as the Committee determines.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12. ADJUSTMENT OF SHARES.</w:t>
      </w:r>
    </w:p>
    <w:p>
      <w:pPr>
        <w:spacing w:after="0" w:line="266" w:lineRule="exact"/>
        <w:rPr>
          <w:sz w:val="20"/>
          <w:szCs w:val="20"/>
          <w:color w:val="auto"/>
        </w:rPr>
      </w:pPr>
    </w:p>
    <w:p>
      <w:pPr>
        <w:jc w:val="both"/>
        <w:ind w:firstLine="656"/>
        <w:spacing w:after="0" w:line="286" w:lineRule="auto"/>
        <w:tabs>
          <w:tab w:leader="none" w:pos="1145"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of a subdivision of the outstanding Stock, a declaration of a dividend payable in Shares, a 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spacing w:after="0" w:line="2" w:lineRule="exact"/>
        <w:rPr>
          <w:rFonts w:ascii="Arial" w:cs="Arial" w:eastAsia="Arial" w:hAnsi="Arial"/>
          <w:sz w:val="19"/>
          <w:szCs w:val="19"/>
          <w:color w:val="auto"/>
        </w:rPr>
      </w:pPr>
    </w:p>
    <w:p>
      <w:pPr>
        <w:ind w:left="1720" w:hanging="415"/>
        <w:spacing w:after="0"/>
        <w:tabs>
          <w:tab w:leader="none" w:pos="172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number of Shares available for future Awards under Section 5;</w:t>
      </w:r>
    </w:p>
    <w:p>
      <w:pPr>
        <w:spacing w:after="0" w:line="242" w:lineRule="exact"/>
        <w:rPr>
          <w:rFonts w:ascii="Arial" w:cs="Arial" w:eastAsia="Arial" w:hAnsi="Arial"/>
          <w:sz w:val="22"/>
          <w:szCs w:val="22"/>
          <w:color w:val="auto"/>
        </w:rPr>
      </w:pPr>
    </w:p>
    <w:p>
      <w:pPr>
        <w:ind w:left="1780" w:hanging="475"/>
        <w:spacing w:after="0"/>
        <w:tabs>
          <w:tab w:leader="none" w:pos="17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limitations set forth in Sections 5(a) and (b) and Section 19;</w:t>
      </w:r>
    </w:p>
    <w:p>
      <w:pPr>
        <w:spacing w:after="0" w:line="260" w:lineRule="exact"/>
        <w:rPr>
          <w:rFonts w:ascii="Arial" w:cs="Arial" w:eastAsia="Arial" w:hAnsi="Arial"/>
          <w:sz w:val="22"/>
          <w:szCs w:val="22"/>
          <w:color w:val="auto"/>
        </w:rPr>
      </w:pPr>
    </w:p>
    <w:p>
      <w:pPr>
        <w:ind w:left="1840" w:hanging="535"/>
        <w:spacing w:after="0"/>
        <w:tabs>
          <w:tab w:leader="none" w:pos="184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number of NSOs to be granted to Outside Directors under Section 4(b);</w:t>
      </w:r>
    </w:p>
    <w:p>
      <w:pPr>
        <w:spacing w:after="0" w:line="260" w:lineRule="exact"/>
        <w:rPr>
          <w:rFonts w:ascii="Arial" w:cs="Arial" w:eastAsia="Arial" w:hAnsi="Arial"/>
          <w:sz w:val="22"/>
          <w:szCs w:val="22"/>
          <w:color w:val="auto"/>
        </w:rPr>
      </w:pPr>
    </w:p>
    <w:p>
      <w:pPr>
        <w:ind w:left="1820" w:hanging="515"/>
        <w:spacing w:after="0"/>
        <w:tabs>
          <w:tab w:leader="none" w:pos="182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number of Shares covered by each outstanding Award; and</w:t>
      </w:r>
    </w:p>
    <w:p>
      <w:pPr>
        <w:spacing w:after="0" w:line="260" w:lineRule="exact"/>
        <w:rPr>
          <w:rFonts w:ascii="Arial" w:cs="Arial" w:eastAsia="Arial" w:hAnsi="Arial"/>
          <w:sz w:val="22"/>
          <w:szCs w:val="22"/>
          <w:color w:val="auto"/>
        </w:rPr>
      </w:pPr>
    </w:p>
    <w:p>
      <w:pPr>
        <w:ind w:left="1760" w:hanging="455"/>
        <w:spacing w:after="0"/>
        <w:tabs>
          <w:tab w:leader="none" w:pos="176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Exercise Price under each outstanding Option and SAR.</w:t>
      </w:r>
    </w:p>
    <w:p>
      <w:pPr>
        <w:spacing w:after="0" w:line="260" w:lineRule="exact"/>
        <w:rPr>
          <w:rFonts w:ascii="Arial" w:cs="Arial" w:eastAsia="Arial" w:hAnsi="Arial"/>
          <w:sz w:val="22"/>
          <w:szCs w:val="22"/>
          <w:color w:val="auto"/>
        </w:rPr>
      </w:pPr>
    </w:p>
    <w:p>
      <w:pPr>
        <w:ind w:firstLine="656"/>
        <w:spacing w:after="0" w:line="263" w:lineRule="auto"/>
        <w:tabs>
          <w:tab w:leader="none" w:pos="1197"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Dissolution or Liquidation</w:t>
      </w:r>
      <w:r>
        <w:rPr>
          <w:rFonts w:ascii="Arial" w:cs="Arial" w:eastAsia="Arial" w:hAnsi="Arial"/>
          <w:sz w:val="22"/>
          <w:szCs w:val="22"/>
          <w:color w:val="auto"/>
        </w:rPr>
        <w:t>. To the extent not previously exercised or settled, Options, SARs and Stock Units shall terminate immediately prior to the dissolution or liquidation of the Company.</w:t>
      </w:r>
    </w:p>
    <w:p>
      <w:pPr>
        <w:spacing w:after="0" w:line="215" w:lineRule="exact"/>
        <w:rPr>
          <w:rFonts w:ascii="Arial" w:cs="Arial" w:eastAsia="Arial" w:hAnsi="Arial"/>
          <w:sz w:val="22"/>
          <w:szCs w:val="22"/>
          <w:color w:val="auto"/>
        </w:rPr>
      </w:pPr>
    </w:p>
    <w:p>
      <w:pPr>
        <w:jc w:val="both"/>
        <w:ind w:right="20" w:firstLine="656"/>
        <w:spacing w:after="0" w:line="253" w:lineRule="auto"/>
        <w:tabs>
          <w:tab w:leader="none" w:pos="1185"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Reorganizations</w:t>
      </w:r>
      <w:r>
        <w:rPr>
          <w:rFonts w:ascii="Arial" w:cs="Arial" w:eastAsia="Arial" w:hAnsi="Arial"/>
          <w:sz w:val="22"/>
          <w:szCs w:val="22"/>
          <w:color w:val="auto"/>
        </w:rPr>
        <w:t>. In the event that the Company is a party to a merger or other reorganization, outstanding Awards shall be subject to the agreement of merger or reorganization. Subject to compliance with Section 409A of the Code, such agreement shall provide for:</w:t>
      </w:r>
    </w:p>
    <w:p>
      <w:pPr>
        <w:spacing w:after="0" w:line="226" w:lineRule="exact"/>
        <w:rPr>
          <w:rFonts w:ascii="Arial" w:cs="Arial" w:eastAsia="Arial" w:hAnsi="Arial"/>
          <w:sz w:val="22"/>
          <w:szCs w:val="22"/>
          <w:color w:val="auto"/>
        </w:rPr>
      </w:pPr>
    </w:p>
    <w:p>
      <w:pPr>
        <w:ind w:left="1720" w:hanging="415"/>
        <w:spacing w:after="0"/>
        <w:tabs>
          <w:tab w:leader="none" w:pos="1720" w:val="left"/>
        </w:tabs>
        <w:numPr>
          <w:ilvl w:val="1"/>
          <w:numId w:val="44"/>
        </w:numPr>
        <w:rPr>
          <w:rFonts w:ascii="Arial" w:cs="Arial" w:eastAsia="Arial" w:hAnsi="Arial"/>
          <w:sz w:val="21"/>
          <w:szCs w:val="21"/>
          <w:color w:val="auto"/>
        </w:rPr>
      </w:pPr>
      <w:r>
        <w:rPr>
          <w:rFonts w:ascii="Arial" w:cs="Arial" w:eastAsia="Arial" w:hAnsi="Arial"/>
          <w:sz w:val="21"/>
          <w:szCs w:val="21"/>
          <w:color w:val="auto"/>
        </w:rPr>
        <w:t>The continuation of the outstanding Awards by the Company, if the Company is a surviving corporation;</w:t>
      </w:r>
    </w:p>
    <w:p>
      <w:pPr>
        <w:spacing w:after="0" w:line="271" w:lineRule="exact"/>
        <w:rPr>
          <w:rFonts w:ascii="Arial" w:cs="Arial" w:eastAsia="Arial" w:hAnsi="Arial"/>
          <w:sz w:val="21"/>
          <w:szCs w:val="21"/>
          <w:color w:val="auto"/>
        </w:rPr>
      </w:pPr>
    </w:p>
    <w:p>
      <w:pPr>
        <w:ind w:left="1780" w:hanging="475"/>
        <w:spacing w:after="0"/>
        <w:tabs>
          <w:tab w:leader="none" w:pos="17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assumption of the outstanding Awards by the surviving corporation or its parent or subsidiary;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41" w:right="239" w:bottom="1440" w:gutter="0" w:footer="0" w:header="0"/>
        </w:sectPr>
      </w:pPr>
    </w:p>
    <w:bookmarkStart w:id="68" w:name="page69"/>
    <w:bookmarkEnd w:id="68"/>
    <w:p>
      <w:pPr>
        <w:ind w:left="1860" w:hanging="555"/>
        <w:spacing w:after="0"/>
        <w:tabs>
          <w:tab w:leader="none" w:pos="18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substitution by the surviving corporation or its parent or subsidiary of its own awards for the outstanding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Awards;</w:t>
      </w:r>
    </w:p>
    <w:p>
      <w:pPr>
        <w:spacing w:after="0" w:line="242" w:lineRule="exact"/>
        <w:rPr>
          <w:sz w:val="20"/>
          <w:szCs w:val="20"/>
          <w:color w:val="auto"/>
        </w:rPr>
      </w:pPr>
    </w:p>
    <w:p>
      <w:pPr>
        <w:ind w:firstLine="1305"/>
        <w:spacing w:after="0" w:line="263" w:lineRule="auto"/>
        <w:tabs>
          <w:tab w:leader="none" w:pos="1872" w:val="left"/>
        </w:tabs>
        <w:numPr>
          <w:ilvl w:val="0"/>
          <w:numId w:val="46"/>
        </w:numPr>
        <w:rPr>
          <w:rFonts w:ascii="Arial" w:cs="Arial" w:eastAsia="Arial" w:hAnsi="Arial"/>
          <w:sz w:val="22"/>
          <w:szCs w:val="22"/>
          <w:color w:val="auto"/>
        </w:rPr>
      </w:pPr>
      <w:r>
        <w:rPr>
          <w:rFonts w:ascii="Arial" w:cs="Arial" w:eastAsia="Arial" w:hAnsi="Arial"/>
          <w:sz w:val="22"/>
          <w:szCs w:val="22"/>
          <w:color w:val="auto"/>
        </w:rPr>
        <w:t>Immediate vesting, exercisability and settlement of outstanding Awards followed by the cancellation of such Awards upon or immediately prior to the effectiveness of such transaction; or</w:t>
      </w:r>
    </w:p>
    <w:p>
      <w:pPr>
        <w:spacing w:after="0" w:line="215" w:lineRule="exact"/>
        <w:rPr>
          <w:rFonts w:ascii="Arial" w:cs="Arial" w:eastAsia="Arial" w:hAnsi="Arial"/>
          <w:sz w:val="22"/>
          <w:szCs w:val="22"/>
          <w:color w:val="auto"/>
        </w:rPr>
      </w:pPr>
    </w:p>
    <w:p>
      <w:pPr>
        <w:jc w:val="both"/>
        <w:ind w:firstLine="1305"/>
        <w:spacing w:after="0" w:line="290" w:lineRule="auto"/>
        <w:tabs>
          <w:tab w:leader="none" w:pos="1793" w:val="left"/>
        </w:tabs>
        <w:numPr>
          <w:ilvl w:val="0"/>
          <w:numId w:val="46"/>
        </w:numPr>
        <w:rPr>
          <w:rFonts w:ascii="Arial" w:cs="Arial" w:eastAsia="Arial" w:hAnsi="Arial"/>
          <w:sz w:val="19"/>
          <w:szCs w:val="19"/>
          <w:color w:val="auto"/>
        </w:rPr>
      </w:pPr>
      <w:r>
        <w:rPr>
          <w:rFonts w:ascii="Arial" w:cs="Arial" w:eastAsia="Arial" w:hAnsi="Arial"/>
          <w:sz w:val="19"/>
          <w:szCs w:val="19"/>
          <w:color w:val="auto"/>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in each case without the Participant’s consent. Any acceleration of payment of an amount that is subject to section 409A of the Code will be delayed, if necessary, until the earliest time that such payment would be permissible under Section 409A without triggering any additional taxes applicable under Section 409A.</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Company will have no obligation to treat all Awards, all Awards held by a Participant, or all Awards of the same type, similarly.</w:t>
      </w:r>
    </w:p>
    <w:p>
      <w:pPr>
        <w:spacing w:after="0" w:line="175" w:lineRule="exact"/>
        <w:rPr>
          <w:sz w:val="20"/>
          <w:szCs w:val="20"/>
          <w:color w:val="auto"/>
        </w:rPr>
      </w:pPr>
    </w:p>
    <w:p>
      <w:pPr>
        <w:jc w:val="both"/>
        <w:ind w:firstLine="656"/>
        <w:spacing w:after="0" w:line="288" w:lineRule="auto"/>
        <w:tabs>
          <w:tab w:leader="none" w:pos="1224"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Reservation of Rights</w:t>
      </w:r>
      <w:r>
        <w:rPr>
          <w:rFonts w:ascii="Arial" w:cs="Arial" w:eastAsia="Arial" w:hAnsi="Arial"/>
          <w:sz w:val="19"/>
          <w:szCs w:val="19"/>
          <w:color w:val="auto"/>
        </w:rPr>
        <w:t>. Except as provided in this Section 12, a Participant shall have no rights by reason of any 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change affecting the Shares or the Exercise Price of Shares subject to an Award, including a merger or other reorganization, for reasons of administrative convenience, the Company in its sole discretion may refuse to permit the exercise of any Award during a period of up to thirty (30) days prior to the occurrence of such event.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 DEFERRAL OF AWARDS.</w:t>
      </w:r>
    </w:p>
    <w:p>
      <w:pPr>
        <w:spacing w:after="0" w:line="266" w:lineRule="exact"/>
        <w:rPr>
          <w:sz w:val="20"/>
          <w:szCs w:val="20"/>
          <w:color w:val="auto"/>
        </w:rPr>
      </w:pPr>
    </w:p>
    <w:p>
      <w:pPr>
        <w:ind w:right="20" w:firstLine="575"/>
        <w:spacing w:after="0" w:line="251" w:lineRule="auto"/>
        <w:tabs>
          <w:tab w:leader="none" w:pos="1064"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Committee Powers</w:t>
      </w:r>
      <w:r>
        <w:rPr>
          <w:rFonts w:ascii="Arial" w:cs="Arial" w:eastAsia="Arial" w:hAnsi="Arial"/>
          <w:sz w:val="22"/>
          <w:szCs w:val="22"/>
          <w:color w:val="auto"/>
        </w:rPr>
        <w:t>. Subject to compliance with Section 409A of the Code, the Committee (in its sole discretion) may permit or require a Participant to:</w:t>
      </w:r>
    </w:p>
    <w:p>
      <w:pPr>
        <w:spacing w:after="0" w:line="2" w:lineRule="exact"/>
        <w:rPr>
          <w:rFonts w:ascii="Arial" w:cs="Arial" w:eastAsia="Arial" w:hAnsi="Arial"/>
          <w:sz w:val="22"/>
          <w:szCs w:val="22"/>
          <w:color w:val="auto"/>
        </w:rPr>
      </w:pPr>
    </w:p>
    <w:p>
      <w:pPr>
        <w:jc w:val="both"/>
        <w:ind w:firstLine="1305"/>
        <w:spacing w:after="0" w:line="245" w:lineRule="auto"/>
        <w:tabs>
          <w:tab w:leader="none" w:pos="1717" w:val="left"/>
        </w:tabs>
        <w:numPr>
          <w:ilvl w:val="1"/>
          <w:numId w:val="48"/>
        </w:numPr>
        <w:rPr>
          <w:rFonts w:ascii="Arial" w:cs="Arial" w:eastAsia="Arial" w:hAnsi="Arial"/>
          <w:sz w:val="22"/>
          <w:szCs w:val="22"/>
          <w:color w:val="auto"/>
        </w:rPr>
      </w:pPr>
      <w:r>
        <w:rPr>
          <w:rFonts w:ascii="Arial" w:cs="Arial" w:eastAsia="Arial" w:hAnsi="Arial"/>
          <w:sz w:val="22"/>
          <w:szCs w:val="22"/>
          <w:color w:val="auto"/>
        </w:rPr>
        <w:t>Have cash that otherwise would be paid to such Participant as a result of the exercise of a SAR or the settlement of Stock Units credited to a deferred compensation account established for such Participant by the Committee as an entry on the Company’s books;</w:t>
      </w:r>
    </w:p>
    <w:p>
      <w:pPr>
        <w:spacing w:after="0" w:line="233" w:lineRule="exact"/>
        <w:rPr>
          <w:rFonts w:ascii="Arial" w:cs="Arial" w:eastAsia="Arial" w:hAnsi="Arial"/>
          <w:sz w:val="22"/>
          <w:szCs w:val="22"/>
          <w:color w:val="auto"/>
        </w:rPr>
      </w:pPr>
    </w:p>
    <w:p>
      <w:pPr>
        <w:ind w:firstLine="1305"/>
        <w:spacing w:after="0" w:line="263" w:lineRule="auto"/>
        <w:tabs>
          <w:tab w:leader="none" w:pos="1826" w:val="left"/>
        </w:tabs>
        <w:numPr>
          <w:ilvl w:val="1"/>
          <w:numId w:val="48"/>
        </w:numPr>
        <w:rPr>
          <w:rFonts w:ascii="Arial" w:cs="Arial" w:eastAsia="Arial" w:hAnsi="Arial"/>
          <w:sz w:val="22"/>
          <w:szCs w:val="22"/>
          <w:color w:val="auto"/>
        </w:rPr>
      </w:pPr>
      <w:r>
        <w:rPr>
          <w:rFonts w:ascii="Arial" w:cs="Arial" w:eastAsia="Arial" w:hAnsi="Arial"/>
          <w:sz w:val="22"/>
          <w:szCs w:val="22"/>
          <w:color w:val="auto"/>
        </w:rPr>
        <w:t>Have Shares that otherwise would be delivered to such Participant as a result of the exercise of an Option or SAR converted into an equal number of Stock Units; or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1" w:right="239" w:bottom="1440" w:gutter="0" w:footer="0" w:header="0"/>
        </w:sectPr>
      </w:pPr>
    </w:p>
    <w:bookmarkStart w:id="69" w:name="page70"/>
    <w:bookmarkEnd w:id="69"/>
    <w:p>
      <w:pPr>
        <w:jc w:val="both"/>
        <w:ind w:firstLine="1305"/>
        <w:spacing w:after="0" w:line="302" w:lineRule="auto"/>
        <w:tabs>
          <w:tab w:leader="none" w:pos="1877" w:val="left"/>
        </w:tabs>
        <w:numPr>
          <w:ilvl w:val="1"/>
          <w:numId w:val="49"/>
        </w:numPr>
        <w:rPr>
          <w:rFonts w:ascii="Arial" w:cs="Arial" w:eastAsia="Arial" w:hAnsi="Arial"/>
          <w:sz w:val="19"/>
          <w:szCs w:val="19"/>
          <w:color w:val="auto"/>
        </w:rPr>
      </w:pPr>
      <w:r>
        <w:rPr>
          <w:rFonts w:ascii="Arial" w:cs="Arial" w:eastAsia="Arial" w:hAnsi="Arial"/>
          <w:sz w:val="19"/>
          <w:szCs w:val="19"/>
          <w:color w:val="auto"/>
        </w:rPr>
        <w:t>Have Shares that otherwise would be delivered to such Participant as a result of the exercise of an Option or SAR or the settlement of Stock Units converted into amounts credited to a deferred compensation account established for such Participant by the Committee as an entry on the Company’s books. Such amounts shall be determined by reference to the Fair Market Value of such Shares as of the date when they otherwise would have been delivered to such Participant.</w:t>
      </w:r>
    </w:p>
    <w:p>
      <w:pPr>
        <w:spacing w:after="0" w:line="183" w:lineRule="exact"/>
        <w:rPr>
          <w:rFonts w:ascii="Arial" w:cs="Arial" w:eastAsia="Arial" w:hAnsi="Arial"/>
          <w:sz w:val="19"/>
          <w:szCs w:val="19"/>
          <w:color w:val="auto"/>
        </w:rPr>
      </w:pPr>
    </w:p>
    <w:p>
      <w:pPr>
        <w:jc w:val="both"/>
        <w:ind w:firstLine="656"/>
        <w:spacing w:after="0" w:line="260" w:lineRule="auto"/>
        <w:tabs>
          <w:tab w:leader="none" w:pos="1184"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General Rules</w:t>
      </w:r>
      <w:r>
        <w:rPr>
          <w:rFonts w:ascii="Arial" w:cs="Arial" w:eastAsia="Arial" w:hAnsi="Arial"/>
          <w:sz w:val="21"/>
          <w:szCs w:val="21"/>
          <w:color w:val="auto"/>
        </w:rPr>
        <w:t>. A deferred compensation account established under this Section 13 may be credited with interest or other 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13.</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14. AWARDS UNDER OTHER PLANS.</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may grant awards under other plans or programs. Such awards may be settled in the form of Shares issued under this Plan. Such Shares shall be treated for all purposes under the Plan like Shares issued in settlement of Stock Units and shall, when issued, reduce the number of Shares available under Section 5.</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15. PAYMENT OF DIRECTOR’S FEES IN SECURITIES.</w:t>
      </w:r>
    </w:p>
    <w:p>
      <w:pPr>
        <w:spacing w:after="0" w:line="266" w:lineRule="exact"/>
        <w:rPr>
          <w:sz w:val="20"/>
          <w:szCs w:val="20"/>
          <w:color w:val="auto"/>
        </w:rPr>
      </w:pPr>
    </w:p>
    <w:p>
      <w:pPr>
        <w:ind w:firstLine="656"/>
        <w:spacing w:after="0" w:line="263" w:lineRule="auto"/>
        <w:tabs>
          <w:tab w:leader="none" w:pos="1239"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No provision of this Section 15 shall be effective unless and until the Board has determined to implement such provision.</w:t>
      </w:r>
    </w:p>
    <w:p>
      <w:pPr>
        <w:spacing w:after="0" w:line="215" w:lineRule="exact"/>
        <w:rPr>
          <w:rFonts w:ascii="Arial" w:cs="Arial" w:eastAsia="Arial" w:hAnsi="Arial"/>
          <w:sz w:val="22"/>
          <w:szCs w:val="22"/>
          <w:color w:val="auto"/>
        </w:rPr>
      </w:pPr>
    </w:p>
    <w:p>
      <w:pPr>
        <w:jc w:val="both"/>
        <w:ind w:firstLine="656"/>
        <w:spacing w:after="0" w:line="263" w:lineRule="auto"/>
        <w:tabs>
          <w:tab w:leader="none" w:pos="1143"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Elections to Receive NSOs, SARs, Restricted Shares or Stock Units</w:t>
      </w:r>
      <w:r>
        <w:rPr>
          <w:rFonts w:ascii="Arial" w:cs="Arial" w:eastAsia="Arial" w:hAnsi="Arial"/>
          <w:sz w:val="21"/>
          <w:szCs w:val="21"/>
          <w:color w:val="auto"/>
        </w:rPr>
        <w:t>. An Outside Director may elect to receive his or her annual retainer payments and/or meeting fees from the Company in the form of cash, NSOs, SARs, Restricted Shares or Stock Units, or a combination thereof, as determined by the Board. Alternatively, the Board may mandate payment in any of such alternative forms. Such NSOs, SARs, Restricted Shares and Stock Units shall be issued under the Plan. An election under this Section 15 shall be filed with the Company on the prescribed form.</w:t>
      </w:r>
    </w:p>
    <w:p>
      <w:pPr>
        <w:spacing w:after="0" w:line="216" w:lineRule="exact"/>
        <w:rPr>
          <w:rFonts w:ascii="Arial" w:cs="Arial" w:eastAsia="Arial" w:hAnsi="Arial"/>
          <w:sz w:val="21"/>
          <w:szCs w:val="21"/>
          <w:color w:val="auto"/>
        </w:rPr>
      </w:pPr>
    </w:p>
    <w:p>
      <w:pPr>
        <w:jc w:val="both"/>
        <w:ind w:firstLine="656"/>
        <w:spacing w:after="0" w:line="250" w:lineRule="auto"/>
        <w:tabs>
          <w:tab w:leader="none" w:pos="1118"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Number and Terms of NSOs, SARs, Restricted Shares or Stock Units</w:t>
      </w:r>
      <w:r>
        <w:rPr>
          <w:rFonts w:ascii="Arial" w:cs="Arial" w:eastAsia="Arial" w:hAnsi="Arial"/>
          <w:sz w:val="22"/>
          <w:szCs w:val="22"/>
          <w:color w:val="auto"/>
        </w:rPr>
        <w:t>. The number of NSOs, SARs, Restricted Shares or Stock Units to be granted to Outside Directors in lieu of annual retainers and meeting fees that would otherwise be paid in cash shall be calculated in a manner determined by the Board. The terms of such NSOs, SARs, Restricted Shares or Stock Units shall also be determined by the Board.</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 LEGAL AND REGULATORY REQUIREMENTS.</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Shares shall not be issued under the Plan unless the issuance and delivery of such Shares complies with (or is exempt from) all applicable requirements of law, including (without limitation) the Securities Act of 1933, as amended, the rules and regulations promulgated thereunder, state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1" w:right="239" w:bottom="1440" w:gutter="0" w:footer="0" w:header="0"/>
        </w:sectPr>
      </w:pPr>
    </w:p>
    <w:bookmarkStart w:id="70" w:name="page71"/>
    <w:bookmarkEnd w:id="70"/>
    <w:p>
      <w:pPr>
        <w:jc w:val="both"/>
        <w:spacing w:after="0" w:line="246" w:lineRule="auto"/>
        <w:rPr>
          <w:sz w:val="20"/>
          <w:szCs w:val="20"/>
          <w:color w:val="auto"/>
        </w:rPr>
      </w:pPr>
      <w:r>
        <w:rPr>
          <w:rFonts w:ascii="Arial" w:cs="Arial" w:eastAsia="Arial" w:hAnsi="Arial"/>
          <w:sz w:val="22"/>
          <w:szCs w:val="22"/>
          <w:color w:val="auto"/>
        </w:rPr>
        <w:t>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17. TAXES.</w:t>
      </w:r>
    </w:p>
    <w:p>
      <w:pPr>
        <w:spacing w:after="0" w:line="266" w:lineRule="exact"/>
        <w:rPr>
          <w:sz w:val="20"/>
          <w:szCs w:val="20"/>
          <w:color w:val="auto"/>
        </w:rPr>
      </w:pPr>
    </w:p>
    <w:p>
      <w:pPr>
        <w:jc w:val="both"/>
        <w:ind w:firstLine="656"/>
        <w:spacing w:after="0" w:line="250" w:lineRule="auto"/>
        <w:tabs>
          <w:tab w:leader="none" w:pos="1131"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 To the extent required by applicable federal, state, local or foreign law, a Participant or his or her successor shall make 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spacing w:after="0" w:line="228" w:lineRule="exact"/>
        <w:rPr>
          <w:rFonts w:ascii="Arial" w:cs="Arial" w:eastAsia="Arial" w:hAnsi="Arial"/>
          <w:sz w:val="22"/>
          <w:szCs w:val="22"/>
          <w:color w:val="auto"/>
        </w:rPr>
      </w:pPr>
    </w:p>
    <w:p>
      <w:pPr>
        <w:jc w:val="both"/>
        <w:ind w:firstLine="656"/>
        <w:spacing w:after="0" w:line="297" w:lineRule="auto"/>
        <w:tabs>
          <w:tab w:leader="none" w:pos="1143"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Share Withholding</w:t>
      </w:r>
      <w:r>
        <w:rPr>
          <w:rFonts w:ascii="Arial" w:cs="Arial" w:eastAsia="Arial" w:hAnsi="Arial"/>
          <w:sz w:val="19"/>
          <w:szCs w:val="19"/>
          <w:color w:val="auto"/>
        </w:rPr>
        <w:t>. The Committee may permit a Participant to satisfy all or part of his or her withholding or income tax obligations by having 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minimum legally required tax withholding.</w:t>
      </w:r>
    </w:p>
    <w:p>
      <w:pPr>
        <w:spacing w:after="0" w:line="187" w:lineRule="exact"/>
        <w:rPr>
          <w:rFonts w:ascii="Arial" w:cs="Arial" w:eastAsia="Arial" w:hAnsi="Arial"/>
          <w:sz w:val="19"/>
          <w:szCs w:val="19"/>
          <w:color w:val="auto"/>
        </w:rPr>
      </w:pPr>
    </w:p>
    <w:p>
      <w:pPr>
        <w:jc w:val="both"/>
        <w:ind w:firstLine="656"/>
        <w:spacing w:after="0" w:line="290" w:lineRule="auto"/>
        <w:tabs>
          <w:tab w:leader="none" w:pos="1199"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Each Award that provides for “nonqualified deferred compensation” within the meaning of Section 409A of the Code shall be subject 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18. TRANSFERABILITY.</w:t>
      </w:r>
    </w:p>
    <w:p>
      <w:pPr>
        <w:spacing w:after="0" w:line="26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Unless the agreement evidencing an Award (or an amendment thereto authorized by the Committee) expressly provides otherwise, no Award granted under this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18 shall be void and unenforceable against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1" w:right="23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color w:val="auto"/>
        </w:rPr>
        <w:t>SECTION 19. PERFORMANCE BASED AWARDS.</w:t>
      </w:r>
    </w:p>
    <w:p>
      <w:pPr>
        <w:spacing w:after="0" w:line="27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number of Shares or other benefits granted, issued, retainable and/or vested under an Award may be made subject to the attainment of performance goals. The Committee may utilize any performance criteria selected by it in its sole discretion to establish performance goals; provided, however, that in the case of any Performance Based Award, the following conditions shall apply:</w:t>
      </w:r>
    </w:p>
    <w:p>
      <w:pPr>
        <w:spacing w:after="0" w:line="188" w:lineRule="exact"/>
        <w:rPr>
          <w:sz w:val="20"/>
          <w:szCs w:val="20"/>
          <w:color w:val="auto"/>
        </w:rPr>
      </w:pPr>
    </w:p>
    <w:p>
      <w:pPr>
        <w:jc w:val="both"/>
        <w:ind w:firstLine="1386"/>
        <w:spacing w:after="0" w:line="286" w:lineRule="auto"/>
        <w:tabs>
          <w:tab w:leader="none" w:pos="1829"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amount potentially available under a Performance Based Award shall be subject to the attainment of pre-established, objective performance goals relating to a specified period of service based on one or more of the following performance criteria: (a) cash flow (including operating cash flow), (b) earnings per share, (c) earnings before any combination of interest, taxes, depreciation or amortization, (d) return on equity, (e) total stockholder return, (f) share price performance, (g) return on capital, (h) return on assets or net assets, (i) revenue, (j) income or net income, (k) operating income or net operating income, (l) operating profit or net operating profit, (m) operating margin or profit margin, (n) return on operating revenue, (o) return on invested capital, (p) market segment shares, (q) costs, (r) expenses, (s) achievement of target levels of discovery and/or development of products or services, including but not limited to research or regulatory achievements, (t) third party coverage and/or reimbursement objectives, or (u) test volume metrics (“Qualifying Performance Criteria”), any of which may be measured either individually, alternatively or in any combination, applied to either the Company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or index, in each case as specified by the Committee in the Award;</w:t>
      </w:r>
    </w:p>
    <w:p>
      <w:pPr>
        <w:spacing w:after="0" w:line="207" w:lineRule="exact"/>
        <w:rPr>
          <w:rFonts w:ascii="Arial" w:cs="Arial" w:eastAsia="Arial" w:hAnsi="Arial"/>
          <w:sz w:val="19"/>
          <w:szCs w:val="19"/>
          <w:color w:val="auto"/>
        </w:rPr>
      </w:pPr>
    </w:p>
    <w:p>
      <w:pPr>
        <w:jc w:val="both"/>
        <w:ind w:firstLine="1386"/>
        <w:spacing w:after="0" w:line="286" w:lineRule="auto"/>
        <w:tabs>
          <w:tab w:leader="none" w:pos="1906" w:val="left"/>
        </w:tabs>
        <w:numPr>
          <w:ilvl w:val="0"/>
          <w:numId w:val="53"/>
        </w:numPr>
        <w:rPr>
          <w:rFonts w:ascii="Arial" w:cs="Arial" w:eastAsia="Arial" w:hAnsi="Arial"/>
          <w:sz w:val="19"/>
          <w:szCs w:val="19"/>
          <w:color w:val="auto"/>
        </w:rPr>
      </w:pPr>
      <w:r>
        <w:rPr>
          <w:rFonts w:ascii="Arial" w:cs="Arial" w:eastAsia="Arial" w:hAnsi="Arial"/>
          <w:sz w:val="19"/>
          <w:szCs w:val="19"/>
          <w:color w:val="auto"/>
        </w:rPr>
        <w:t>Unless specified otherwise by the Committee at the time the performance goals are established or otherwise within the time prescribed by Section 162(m) of the Code, the Committee shall appropriately adjust the method of evaluating performance under a Qualifying Performance Criteria for a performance period as follows: (i) to exclude asset write-downs, (ii) to exclude litigation or claim judgments or settlements, (iii) to exclude the effect of changes in tax law, accounting principles or other such laws or provisions affecting reported results, (iv) to exclude accruals for reorganization and restructuring programs, (v) to exclude any extraordinary nonrecurring items as determined under generally accepted accounting principles and/or described in managements’ discussion and analysis of financial condition and results of operations appearing in the Company’s annual report to stockholders for the applicable year, (vi) to exclude the dilutive effects of acquisitions or joint ventures, (vii) to assume that any business divested by the Company achieved performance objectives at targeted levels during the balance of a performance period following such divestiture, (viii)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the Company’s bonus plans; and (x) to exclude costs incurred in connection with potential acquisitions or divestitures that are required to be expensed under generally accepted accounting principles, in each case in compliance with Section 162(m);</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72" w:name="page73"/>
    <w:bookmarkEnd w:id="72"/>
    <w:p>
      <w:pPr>
        <w:jc w:val="both"/>
        <w:ind w:firstLine="1386"/>
        <w:spacing w:after="0" w:line="248" w:lineRule="auto"/>
        <w:tabs>
          <w:tab w:leader="none" w:pos="2043"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Committee shall establish the applicable performance goals in writing and an objective method for determining the Award earned by a Participant if the goals are attained, while the outcome is substantially uncertain and not later than the 90th day of the performance period (but in no event after 25% of the period of service with respect to which the performance goals relate has elapsed), and shall determine and certify in writing, for each Participant, the extent to which the performance goals have been met prior to payment or vesting of the Award; and</w:t>
      </w:r>
    </w:p>
    <w:p>
      <w:pPr>
        <w:spacing w:after="0" w:line="232" w:lineRule="exact"/>
        <w:rPr>
          <w:rFonts w:ascii="Arial" w:cs="Arial" w:eastAsia="Arial" w:hAnsi="Arial"/>
          <w:sz w:val="22"/>
          <w:szCs w:val="22"/>
          <w:color w:val="auto"/>
        </w:rPr>
      </w:pPr>
    </w:p>
    <w:p>
      <w:pPr>
        <w:jc w:val="both"/>
        <w:ind w:firstLine="1386"/>
        <w:spacing w:after="0" w:line="253" w:lineRule="auto"/>
        <w:tabs>
          <w:tab w:leader="none" w:pos="1938"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Committee may not in any event increase the amount of compensation payable under the Plan upon the attainment of the pre-established performance goals to a Participant who is a “covered employee” within the meaning of Section 162(m) of the Code.</w:t>
      </w:r>
    </w:p>
    <w:p>
      <w:pPr>
        <w:spacing w:after="0" w:line="226" w:lineRule="exact"/>
        <w:rPr>
          <w:rFonts w:ascii="Arial" w:cs="Arial" w:eastAsia="Arial" w:hAnsi="Arial"/>
          <w:sz w:val="22"/>
          <w:szCs w:val="22"/>
          <w:color w:val="auto"/>
        </w:rPr>
      </w:pPr>
    </w:p>
    <w:p>
      <w:pPr>
        <w:jc w:val="both"/>
        <w:ind w:firstLine="1386"/>
        <w:spacing w:after="0" w:line="302" w:lineRule="auto"/>
        <w:tabs>
          <w:tab w:leader="none" w:pos="1912"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maximum aggregate number of Shares that may be subject to Performance Based Awards granted to a Participant in any calendar year is 1,000,000 Shares (subject to adjustment under Section 12), and no more than two times this amount in the first year of employment, and the maximum aggregate amount of cash that may be payable to a Participant under Performance Based Awards granted to a Participant in any calendar year that are Cash-Based Awards is $2,000,000.</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20. NO EMPLOYMENT RIGHTS.</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 provision of the Plan, nor any Award granted under the Plan, shall be construed to give any person any right to become, to be treated as, or to remain an Employee or Consultant. The Company and its Subsidiaries reserve the right to terminate any person’s Service at any time and for any reason, with or without notice.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21. DURATION AND AMENDMENTS.</w:t>
      </w:r>
    </w:p>
    <w:p>
      <w:pPr>
        <w:spacing w:after="0" w:line="266" w:lineRule="exact"/>
        <w:rPr>
          <w:sz w:val="20"/>
          <w:szCs w:val="20"/>
          <w:color w:val="auto"/>
        </w:rPr>
      </w:pPr>
    </w:p>
    <w:p>
      <w:pPr>
        <w:jc w:val="both"/>
        <w:ind w:firstLine="656"/>
        <w:spacing w:after="0" w:line="302" w:lineRule="auto"/>
        <w:tabs>
          <w:tab w:leader="none" w:pos="1145"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Term of the Plan</w:t>
      </w:r>
      <w:r>
        <w:rPr>
          <w:rFonts w:ascii="Arial" w:cs="Arial" w:eastAsia="Arial" w:hAnsi="Arial"/>
          <w:sz w:val="19"/>
          <w:szCs w:val="19"/>
          <w:color w:val="auto"/>
        </w:rPr>
        <w:t>. The Plan, as set forth herein, shall come into existence on the date of its adoption by the Board of Directors; provided, however, that no Award may be granted hereunder prior to the Effective Date. The Board of Directors may suspend or terminate the Plan at any time. No ISOs may be granted after the tenth anniversary of the earlier of (i) the date the Plan is adopted by the Board of Directors, or (ii) the date the Plan is approved the stockholders of the Company.</w:t>
      </w:r>
    </w:p>
    <w:p>
      <w:pPr>
        <w:spacing w:after="0" w:line="183" w:lineRule="exact"/>
        <w:rPr>
          <w:rFonts w:ascii="Arial" w:cs="Arial" w:eastAsia="Arial" w:hAnsi="Arial"/>
          <w:sz w:val="19"/>
          <w:szCs w:val="19"/>
          <w:color w:val="auto"/>
        </w:rPr>
      </w:pPr>
    </w:p>
    <w:p>
      <w:pPr>
        <w:jc w:val="both"/>
        <w:ind w:firstLine="656"/>
        <w:spacing w:after="0" w:line="250" w:lineRule="auto"/>
        <w:tabs>
          <w:tab w:leader="none" w:pos="1143"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Right to Amend the Plan</w:t>
      </w:r>
      <w:r>
        <w:rPr>
          <w:rFonts w:ascii="Arial" w:cs="Arial" w:eastAsia="Arial" w:hAnsi="Arial"/>
          <w:sz w:val="22"/>
          <w:szCs w:val="22"/>
          <w:color w:val="auto"/>
        </w:rPr>
        <w:t>. The Board of Directors may amend the Plan at any time and from time to time. Rights and obligations under any Award granted before amendment of the Plan shall not be materially impaired by such amendment, except with consent of the Participant. An amendment of the Plan shall be subject to the approval of the Company’s stockholders only to the extent required by applicable laws, regulations or rules.</w:t>
      </w:r>
    </w:p>
    <w:p>
      <w:pPr>
        <w:spacing w:after="0" w:line="228" w:lineRule="exact"/>
        <w:rPr>
          <w:rFonts w:ascii="Arial" w:cs="Arial" w:eastAsia="Arial" w:hAnsi="Arial"/>
          <w:sz w:val="22"/>
          <w:szCs w:val="22"/>
          <w:color w:val="auto"/>
        </w:rPr>
      </w:pPr>
    </w:p>
    <w:p>
      <w:pPr>
        <w:ind w:firstLine="656"/>
        <w:spacing w:after="0" w:line="263" w:lineRule="auto"/>
        <w:tabs>
          <w:tab w:leader="none" w:pos="1118"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Effect of Termination</w:t>
      </w:r>
      <w:r>
        <w:rPr>
          <w:rFonts w:ascii="Arial" w:cs="Arial" w:eastAsia="Arial" w:hAnsi="Arial"/>
          <w:sz w:val="22"/>
          <w:szCs w:val="22"/>
          <w:color w:val="auto"/>
        </w:rPr>
        <w:t>. No Awards shall be granted under the Plan after the termination thereof. The termination of the Plan shall not affect Awards previously granted under the Plan.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9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H. Anderson, certify that:</w:t>
      </w:r>
    </w:p>
    <w:p>
      <w:pPr>
        <w:spacing w:after="0" w:line="225" w:lineRule="exact"/>
        <w:rPr>
          <w:sz w:val="20"/>
          <w:szCs w:val="20"/>
          <w:color w:val="auto"/>
        </w:rPr>
      </w:pPr>
    </w:p>
    <w:p>
      <w:pPr>
        <w:ind w:left="1340" w:hanging="684"/>
        <w:spacing w:after="0"/>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June 30, 2017;</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31, 2017</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S. Kennedy, certify that:</w:t>
      </w:r>
    </w:p>
    <w:p>
      <w:pPr>
        <w:spacing w:after="0" w:line="225" w:lineRule="exact"/>
        <w:rPr>
          <w:sz w:val="20"/>
          <w:szCs w:val="20"/>
          <w:color w:val="auto"/>
        </w:rPr>
      </w:pPr>
    </w:p>
    <w:p>
      <w:pPr>
        <w:ind w:left="1340" w:hanging="684"/>
        <w:spacing w:after="0"/>
        <w:tabs>
          <w:tab w:leader="none" w:pos="1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June 30, 2017;</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31, 2017</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Keith S.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Keith S. Kennedy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4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June 30, 2017,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2000" w:hanging="695"/>
        <w:spacing w:after="0"/>
        <w:tabs>
          <w:tab w:leader="none" w:pos="2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2000" w:hanging="695"/>
        <w:spacing w:after="0"/>
        <w:tabs>
          <w:tab w:leader="none" w:pos="2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31, 2017</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4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June 30, 2017,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2000" w:hanging="695"/>
        <w:spacing w:after="0"/>
        <w:tabs>
          <w:tab w:leader="none" w:pos="2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2000" w:hanging="695"/>
        <w:spacing w:after="0"/>
        <w:tabs>
          <w:tab w:leader="none" w:pos="2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31, 2017</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Keith S.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Keith S. Kennedy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1)"/>
      <w:numFmt w:val="lowerRoman"/>
      <w:start w:val="2"/>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
    <w:nsid w:val="1D4ED43B"/>
    <w:multiLevelType w:val="hybridMultilevel"/>
    <w:lvl w:ilvl="0">
      <w:lvlJc w:val="left"/>
      <w:lvlText w:val="(%1)"/>
      <w:numFmt w:val="upperLetter"/>
      <w:start w:val="2"/>
    </w:lvl>
  </w:abstractNum>
  <w:abstractNum w:abstractNumId="18">
    <w:nsid w:val="725A06FB"/>
    <w:multiLevelType w:val="hybridMultilevel"/>
    <w:lvl w:ilvl="0">
      <w:lvlJc w:val="left"/>
      <w:lvlText w:val="(%1)"/>
      <w:numFmt w:val="lowerRoman"/>
      <w:start w:val="2"/>
    </w:lvl>
  </w:abstractNum>
  <w:abstractNum w:abstractNumId="19">
    <w:nsid w:val="2CD89A32"/>
    <w:multiLevelType w:val="hybridMultilevel"/>
    <w:lvl w:ilvl="0">
      <w:lvlJc w:val="left"/>
      <w:lvlText w:val="(%1)"/>
      <w:numFmt w:val="lowerLetter"/>
      <w:start w:val="7"/>
    </w:lvl>
    <w:lvl w:ilvl="1">
      <w:lvlJc w:val="left"/>
      <w:lvlText w:val="(%2)"/>
      <w:numFmt w:val="lowerRoman"/>
      <w:start w:val="1"/>
    </w:lvl>
  </w:abstractNum>
  <w:abstractNum w:abstractNumId="20">
    <w:nsid w:val="57E4CCAF"/>
    <w:multiLevelType w:val="hybridMultilevel"/>
    <w:lvl w:ilvl="0">
      <w:lvlJc w:val="left"/>
      <w:lvlText w:val="(%1)"/>
      <w:numFmt w:val="lowerLetter"/>
      <w:start w:val="15"/>
    </w:lvl>
  </w:abstractNum>
  <w:abstractNum w:abstractNumId="21">
    <w:nsid w:val="7A6D8D3C"/>
    <w:multiLevelType w:val="hybridMultilevel"/>
    <w:lvl w:ilvl="0">
      <w:lvlJc w:val="left"/>
      <w:lvlText w:val="(%1)"/>
      <w:numFmt w:val="lowerLetter"/>
      <w:start w:val="18"/>
    </w:lvl>
  </w:abstractNum>
  <w:abstractNum w:abstractNumId="22">
    <w:nsid w:val="4B588F54"/>
    <w:multiLevelType w:val="hybridMultilevel"/>
    <w:lvl w:ilvl="0">
      <w:lvlJc w:val="left"/>
      <w:lvlText w:val="(%1)"/>
      <w:numFmt w:val="lowerLetter"/>
      <w:start w:val="27"/>
    </w:lvl>
  </w:abstractNum>
  <w:abstractNum w:abstractNumId="23">
    <w:nsid w:val="542289EC"/>
    <w:multiLevelType w:val="hybridMultilevel"/>
    <w:lvl w:ilvl="0">
      <w:lvlJc w:val="left"/>
      <w:lvlText w:val="(%1)"/>
      <w:numFmt w:val="lowerLetter"/>
      <w:start w:val="1"/>
    </w:lvl>
  </w:abstractNum>
  <w:abstractNum w:abstractNumId="24">
    <w:nsid w:val="6DE91B18"/>
    <w:multiLevelType w:val="hybridMultilevel"/>
    <w:lvl w:ilvl="0">
      <w:lvlJc w:val="left"/>
      <w:lvlText w:val="(%1)"/>
      <w:numFmt w:val="lowerLetter"/>
      <w:start w:val="4"/>
    </w:lvl>
    <w:lvl w:ilvl="1">
      <w:lvlJc w:val="left"/>
      <w:lvlText w:val="(%2)"/>
      <w:numFmt w:val="lowerRoman"/>
      <w:start w:val="1"/>
    </w:lvl>
  </w:abstractNum>
  <w:abstractNum w:abstractNumId="25">
    <w:nsid w:val="38437FDB"/>
    <w:multiLevelType w:val="hybridMultilevel"/>
    <w:lvl w:ilvl="0">
      <w:lvlJc w:val="left"/>
      <w:lvlText w:val="(%1)"/>
      <w:numFmt w:val="lowerRoman"/>
      <w:start w:val="14"/>
    </w:lvl>
  </w:abstractNum>
  <w:abstractNum w:abstractNumId="26">
    <w:nsid w:val="7644A45C"/>
    <w:multiLevelType w:val="hybridMultilevel"/>
    <w:lvl w:ilvl="0">
      <w:lvlJc w:val="left"/>
      <w:lvlText w:val="(%1)"/>
      <w:numFmt w:val="lowerLetter"/>
      <w:start w:val="1"/>
    </w:lvl>
    <w:lvl w:ilvl="1">
      <w:lvlJc w:val="left"/>
      <w:lvlText w:val="(%2)"/>
      <w:numFmt w:val="lowerRoman"/>
      <w:start w:val="1"/>
    </w:lvl>
  </w:abstractNum>
  <w:abstractNum w:abstractNumId="27">
    <w:nsid w:val="32FFF902"/>
    <w:multiLevelType w:val="hybridMultilevel"/>
    <w:lvl w:ilvl="0">
      <w:lvlJc w:val="left"/>
      <w:lvlText w:val="%1"/>
      <w:numFmt w:val="lowerLetter"/>
      <w:start w:val="1"/>
    </w:lvl>
    <w:lvl w:ilvl="1">
      <w:lvlJc w:val="left"/>
      <w:lvlText w:val="(%2)"/>
      <w:numFmt w:val="lowerRoman"/>
      <w:start w:val="3"/>
    </w:lvl>
  </w:abstractNum>
  <w:abstractNum w:abstractNumId="28">
    <w:nsid w:val="684A481A"/>
    <w:multiLevelType w:val="hybridMultilevel"/>
    <w:lvl w:ilvl="0">
      <w:lvlJc w:val="left"/>
      <w:lvlText w:val="(%1)"/>
      <w:numFmt w:val="lowerLetter"/>
      <w:start w:val="3"/>
    </w:lvl>
    <w:lvl w:ilvl="1">
      <w:lvlJc w:val="left"/>
      <w:lvlText w:val="%2"/>
      <w:numFmt w:val="lowerRoman"/>
      <w:start w:val="1"/>
    </w:lvl>
  </w:abstractNum>
  <w:abstractNum w:abstractNumId="29">
    <w:nsid w:val="579478FE"/>
    <w:multiLevelType w:val="hybridMultilevel"/>
    <w:lvl w:ilvl="0">
      <w:lvlJc w:val="left"/>
      <w:lvlText w:val="(%1)"/>
      <w:numFmt w:val="lowerLetter"/>
      <w:start w:val="1"/>
    </w:lvl>
  </w:abstractNum>
  <w:abstractNum w:abstractNumId="30">
    <w:nsid w:val="749ABB43"/>
    <w:multiLevelType w:val="hybridMultilevel"/>
    <w:lvl w:ilvl="0">
      <w:lvlJc w:val="left"/>
      <w:lvlText w:val="(%1)"/>
      <w:numFmt w:val="lowerLetter"/>
      <w:start w:val="2"/>
    </w:lvl>
  </w:abstractNum>
  <w:abstractNum w:abstractNumId="31">
    <w:nsid w:val="3DC240FB"/>
    <w:multiLevelType w:val="hybridMultilevel"/>
    <w:lvl w:ilvl="0">
      <w:lvlJc w:val="left"/>
      <w:lvlText w:val="(%1)"/>
      <w:numFmt w:val="lowerLetter"/>
      <w:start w:val="1"/>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1)"/>
      <w:numFmt w:val="lowerLetter"/>
      <w:start w:val="2"/>
    </w:lvl>
  </w:abstractNum>
  <w:abstractNum w:abstractNumId="34">
    <w:nsid w:val="75C6C33A"/>
    <w:multiLevelType w:val="hybridMultilevel"/>
    <w:lvl w:ilvl="0">
      <w:lvlJc w:val="left"/>
      <w:lvlText w:val="(%1)"/>
      <w:numFmt w:val="lowerLetter"/>
      <w:start w:val="8"/>
    </w:lvl>
  </w:abstractNum>
  <w:abstractNum w:abstractNumId="35">
    <w:nsid w:val="12E685FB"/>
    <w:multiLevelType w:val="hybridMultilevel"/>
    <w:lvl w:ilvl="0">
      <w:lvlJc w:val="left"/>
      <w:lvlText w:val="(%1)"/>
      <w:numFmt w:val="lowerLetter"/>
      <w:start w:val="1"/>
    </w:lvl>
  </w:abstractNum>
  <w:abstractNum w:abstractNumId="36">
    <w:nsid w:val="70C6A529"/>
    <w:multiLevelType w:val="hybridMultilevel"/>
    <w:lvl w:ilvl="0">
      <w:lvlJc w:val="left"/>
      <w:lvlText w:val="(%1)"/>
      <w:numFmt w:val="lowerLetter"/>
      <w:start w:val="4"/>
    </w:lvl>
  </w:abstractNum>
  <w:abstractNum w:abstractNumId="37">
    <w:nsid w:val="520EEDD1"/>
    <w:multiLevelType w:val="hybridMultilevel"/>
    <w:lvl w:ilvl="0">
      <w:lvlJc w:val="left"/>
      <w:lvlText w:val="(%1)"/>
      <w:numFmt w:val="lowerLetter"/>
      <w:start w:val="1"/>
    </w:lvl>
  </w:abstractNum>
  <w:abstractNum w:abstractNumId="38">
    <w:nsid w:val="374A3FE6"/>
    <w:multiLevelType w:val="hybridMultilevel"/>
    <w:lvl w:ilvl="0">
      <w:lvlJc w:val="left"/>
      <w:lvlText w:val="(%1)"/>
      <w:numFmt w:val="lowerLetter"/>
      <w:start w:val="4"/>
    </w:lvl>
  </w:abstractNum>
  <w:abstractNum w:abstractNumId="39">
    <w:nsid w:val="4F4EF005"/>
    <w:multiLevelType w:val="hybridMultilevel"/>
    <w:lvl w:ilvl="0">
      <w:lvlJc w:val="left"/>
      <w:lvlText w:val="(%1)"/>
      <w:numFmt w:val="lowerLetter"/>
      <w:start w:val="1"/>
    </w:lvl>
  </w:abstractNum>
  <w:abstractNum w:abstractNumId="40">
    <w:nsid w:val="23F9C13C"/>
    <w:multiLevelType w:val="hybridMultilevel"/>
    <w:lvl w:ilvl="0">
      <w:lvlJc w:val="left"/>
      <w:lvlText w:val="%1"/>
      <w:numFmt w:val="lowerLetter"/>
      <w:start w:val="1"/>
    </w:lvl>
    <w:lvl w:ilvl="1">
      <w:lvlJc w:val="left"/>
      <w:lvlText w:val="(%2)"/>
      <w:numFmt w:val="lowerLetter"/>
      <w:start w:val="2"/>
    </w:lvl>
  </w:abstractNum>
  <w:abstractNum w:abstractNumId="41">
    <w:nsid w:val="649BB77C"/>
    <w:multiLevelType w:val="hybridMultilevel"/>
    <w:lvl w:ilvl="0">
      <w:lvlJc w:val="left"/>
      <w:lvlText w:val="(%1)"/>
      <w:numFmt w:val="lowerLetter"/>
      <w:start w:val="2"/>
    </w:lvl>
    <w:lvl w:ilvl="1">
      <w:lvlJc w:val="left"/>
      <w:lvlText w:val="%2"/>
      <w:numFmt w:val="lowerLetter"/>
      <w:start w:val="1"/>
    </w:lvl>
  </w:abstractNum>
  <w:abstractNum w:abstractNumId="42">
    <w:nsid w:val="275AC794"/>
    <w:multiLevelType w:val="hybridMultilevel"/>
    <w:lvl w:ilvl="0">
      <w:lvlJc w:val="left"/>
      <w:lvlText w:val="(%1)"/>
      <w:numFmt w:val="lowerLetter"/>
      <w:start w:val="6"/>
    </w:lvl>
  </w:abstractNum>
  <w:abstractNum w:abstractNumId="43">
    <w:nsid w:val="39386575"/>
    <w:multiLevelType w:val="hybridMultilevel"/>
    <w:lvl w:ilvl="0">
      <w:lvlJc w:val="left"/>
      <w:lvlText w:val="(%1)"/>
      <w:numFmt w:val="lowerLetter"/>
      <w:start w:val="1"/>
    </w:lvl>
    <w:lvl w:ilvl="1">
      <w:lvlJc w:val="left"/>
      <w:lvlText w:val="(%2)"/>
      <w:numFmt w:val="lowerRoman"/>
      <w:start w:val="1"/>
    </w:lvl>
  </w:abstractNum>
  <w:abstractNum w:abstractNumId="44">
    <w:nsid w:val="1CF10FD8"/>
    <w:multiLevelType w:val="hybridMultilevel"/>
    <w:lvl w:ilvl="0">
      <w:lvlJc w:val="left"/>
      <w:lvlText w:val="(%1)"/>
      <w:numFmt w:val="lowerRoman"/>
      <w:start w:val="3"/>
    </w:lvl>
  </w:abstractNum>
  <w:abstractNum w:abstractNumId="45">
    <w:nsid w:val="180115BE"/>
    <w:multiLevelType w:val="hybridMultilevel"/>
    <w:lvl w:ilvl="0">
      <w:lvlJc w:val="left"/>
      <w:lvlText w:val="(%1)"/>
      <w:numFmt w:val="lowerRoman"/>
      <w:start w:val="4"/>
    </w:lvl>
  </w:abstractNum>
  <w:abstractNum w:abstractNumId="46">
    <w:nsid w:val="235BA861"/>
    <w:multiLevelType w:val="hybridMultilevel"/>
    <w:lvl w:ilvl="0">
      <w:lvlJc w:val="left"/>
      <w:lvlText w:val="(%1)"/>
      <w:numFmt w:val="lowerLetter"/>
      <w:start w:val="4"/>
    </w:lvl>
  </w:abstractNum>
  <w:abstractNum w:abstractNumId="47">
    <w:nsid w:val="47398C89"/>
    <w:multiLevelType w:val="hybridMultilevel"/>
    <w:lvl w:ilvl="0">
      <w:lvlJc w:val="left"/>
      <w:lvlText w:val="(%1)"/>
      <w:numFmt w:val="lowerLetter"/>
      <w:start w:val="1"/>
    </w:lvl>
    <w:lvl w:ilvl="1">
      <w:lvlJc w:val="left"/>
      <w:lvlText w:val="(%2)"/>
      <w:numFmt w:val="lowerRoman"/>
      <w:start w:val="1"/>
    </w:lvl>
  </w:abstractNum>
  <w:abstractNum w:abstractNumId="48">
    <w:nsid w:val="354FE9F9"/>
    <w:multiLevelType w:val="hybridMultilevel"/>
    <w:lvl w:ilvl="0">
      <w:lvlJc w:val="left"/>
      <w:lvlText w:val="%1"/>
      <w:numFmt w:val="lowerLetter"/>
      <w:start w:val="1"/>
    </w:lvl>
    <w:lvl w:ilvl="1">
      <w:lvlJc w:val="left"/>
      <w:lvlText w:val="(%2)"/>
      <w:numFmt w:val="lowerLetter"/>
      <w:start w:val="61"/>
    </w:lvl>
  </w:abstractNum>
  <w:abstractNum w:abstractNumId="49">
    <w:nsid w:val="15B5AF5C"/>
    <w:multiLevelType w:val="hybridMultilevel"/>
    <w:lvl w:ilvl="0">
      <w:lvlJc w:val="left"/>
      <w:lvlText w:val="(%1)"/>
      <w:numFmt w:val="lowerLetter"/>
      <w:start w:val="2"/>
    </w:lvl>
    <w:lvl w:ilvl="1">
      <w:lvlJc w:val="left"/>
      <w:lvlText w:val="%2"/>
      <w:numFmt w:val="lowerLetter"/>
      <w:start w:val="1"/>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lowerLetter"/>
      <w:start w:val="1"/>
    </w:lvl>
  </w:abstractNum>
  <w:abstractNum w:abstractNumId="52">
    <w:nsid w:val="10233C99"/>
    <w:multiLevelType w:val="hybridMultilevel"/>
    <w:lvl w:ilvl="0">
      <w:lvlJc w:val="left"/>
      <w:lvlText w:val="(%1)"/>
      <w:numFmt w:val="lowerRoman"/>
      <w:start w:val="1"/>
    </w:lvl>
  </w:abstractNum>
  <w:abstractNum w:abstractNumId="53">
    <w:nsid w:val="3F6AB60F"/>
    <w:multiLevelType w:val="hybridMultilevel"/>
    <w:lvl w:ilvl="0">
      <w:lvlJc w:val="left"/>
      <w:lvlText w:val="(%1)"/>
      <w:numFmt w:val="lowerRoman"/>
      <w:start w:val="3"/>
    </w:lvl>
  </w:abstractNum>
  <w:abstractNum w:abstractNumId="54">
    <w:nsid w:val="61574095"/>
    <w:multiLevelType w:val="hybridMultilevel"/>
    <w:lvl w:ilvl="0">
      <w:lvlJc w:val="left"/>
      <w:lvlText w:val="(%1)"/>
      <w:numFmt w:val="lowerLetter"/>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3"/>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lowerLetter"/>
      <w:start w:val="2"/>
    </w:lvl>
  </w:abstractNum>
  <w:abstractNum w:abstractNumId="59">
    <w:nsid w:val="5FF87E05"/>
    <w:multiLevelType w:val="hybridMultilevel"/>
    <w:lvl w:ilvl="0">
      <w:lvlJc w:val="left"/>
      <w:lvlText w:val="%1)"/>
      <w:numFmt w:val="lowerLetter"/>
      <w:start w:val="3"/>
    </w:lvl>
  </w:abstractNum>
  <w:abstractNum w:abstractNumId="60">
    <w:nsid w:val="2F305DEF"/>
    <w:multiLevelType w:val="hybridMultilevel"/>
    <w:lvl w:ilvl="0">
      <w:lvlJc w:val="left"/>
      <w:lvlText w:val="%1."/>
      <w:numFmt w:val="decimal"/>
      <w:start w:val="5"/>
    </w:lvl>
    <w:lvl w:ilvl="1">
      <w:lvlJc w:val="left"/>
      <w:lvlText w:val="%2)"/>
      <w:numFmt w:val="lowerLetter"/>
      <w:start w:val="1"/>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decimal"/>
      <w:start w:val="3"/>
    </w:lvl>
  </w:abstractNum>
  <w:abstractNum w:abstractNumId="63">
    <w:nsid w:val="4AD084E9"/>
    <w:multiLevelType w:val="hybridMultilevel"/>
    <w:lvl w:ilvl="0">
      <w:lvlJc w:val="left"/>
      <w:lvlText w:val="%1)"/>
      <w:numFmt w:val="lowerLetter"/>
      <w:start w:val="1"/>
    </w:lvl>
  </w:abstractNum>
  <w:abstractNum w:abstractNumId="64">
    <w:nsid w:val="1F48EAA1"/>
    <w:multiLevelType w:val="hybridMultilevel"/>
    <w:lvl w:ilvl="0">
      <w:lvlJc w:val="left"/>
      <w:lvlText w:val="%1)"/>
      <w:numFmt w:val="lowerLetter"/>
      <w:start w:val="2"/>
    </w:lvl>
  </w:abstractNum>
  <w:abstractNum w:abstractNumId="65">
    <w:nsid w:val="1381823A"/>
    <w:multiLevelType w:val="hybridMultilevel"/>
    <w:lvl w:ilvl="0">
      <w:lvlJc w:val="left"/>
      <w:lvlText w:val="%1)"/>
      <w:numFmt w:val="lowerLetter"/>
      <w:start w:val="3"/>
    </w:lvl>
  </w:abstractNum>
  <w:abstractNum w:abstractNumId="66">
    <w:nsid w:val="5DB70AE5"/>
    <w:multiLevelType w:val="hybridMultilevel"/>
    <w:lvl w:ilvl="0">
      <w:lvlJc w:val="left"/>
      <w:lvlText w:val="%1."/>
      <w:numFmt w:val="decimal"/>
      <w:start w:val="5"/>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2019-12-29T05:43:05Z</dcterms:created>
  <dcterms:modified xsi:type="dcterms:W3CDTF">2019-12-29T05:43:05Z</dcterms:modified>
</cp:coreProperties>
</file>