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2464435</wp:posOffset>
            </wp:positionH>
            <wp:positionV relativeFrom="paragraph">
              <wp:posOffset>76200</wp:posOffset>
            </wp:positionV>
            <wp:extent cx="22218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865" cy="8255"/>
                    </a:xfrm>
                    <a:prstGeom prst="rect">
                      <a:avLst/>
                    </a:prstGeom>
                    <a:noFill/>
                  </pic:spPr>
                </pic:pic>
              </a:graphicData>
            </a:graphic>
          </wp:anchor>
        </w:drawing>
      </w:r>
    </w:p>
    <w:p>
      <w:pPr>
        <w:spacing w:after="0" w:line="31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143510</wp:posOffset>
            </wp:positionV>
            <wp:extent cx="22218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1865" cy="8255"/>
                    </a:xfrm>
                    <a:prstGeom prst="rect">
                      <a:avLst/>
                    </a:prstGeom>
                    <a:noFill/>
                  </pic:spPr>
                </pic:pic>
              </a:graphicData>
            </a:graphic>
          </wp:anchor>
        </w:drawing>
      </w:r>
    </w:p>
    <w:p>
      <w:pPr>
        <w:spacing w:after="0" w:line="291"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(Mark One)</w:t>
      </w:r>
    </w:p>
    <w:p>
      <w:pPr>
        <w:spacing w:after="0" w:line="71" w:lineRule="exact"/>
        <w:rPr>
          <w:sz w:val="24"/>
          <w:szCs w:val="24"/>
          <w:color w:val="auto"/>
        </w:rPr>
      </w:pPr>
    </w:p>
    <w:p>
      <w:pPr>
        <w:ind w:left="340" w:right="2640" w:hanging="322"/>
        <w:spacing w:after="0" w:line="235" w:lineRule="auto"/>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OR</w:t>
      </w:r>
    </w:p>
    <w:p>
      <w:pPr>
        <w:spacing w:after="0" w:line="156" w:lineRule="exact"/>
        <w:rPr>
          <w:sz w:val="24"/>
          <w:szCs w:val="24"/>
          <w:color w:val="auto"/>
        </w:rPr>
      </w:pPr>
    </w:p>
    <w:p>
      <w:pPr>
        <w:ind w:left="340" w:right="2620" w:hanging="322"/>
        <w:spacing w:after="0" w:line="235" w:lineRule="auto"/>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76" w:lineRule="exact"/>
        <w:rPr>
          <w:sz w:val="24"/>
          <w:szCs w:val="24"/>
          <w:color w:val="auto"/>
        </w:rPr>
      </w:pPr>
    </w:p>
    <w:tbl>
      <w:tblPr>
        <w:tblLayout w:type="fixed"/>
        <w:tblInd w:w="3880" w:type="dxa"/>
        <w:tblCellMar>
          <w:top w:w="0" w:type="dxa"/>
          <w:left w:w="0" w:type="dxa"/>
          <w:bottom w:w="0" w:type="dxa"/>
          <w:right w:w="0" w:type="dxa"/>
        </w:tblCellMar>
      </w:tblPr>
      <w:tr>
        <w:trPr>
          <w:trHeight w:val="219"/>
        </w:trPr>
        <w:tc>
          <w:tcPr>
            <w:tcW w:w="2560" w:type="dxa"/>
            <w:vAlign w:val="bottom"/>
          </w:tcPr>
          <w:p>
            <w:pPr>
              <w:ind w:left="120"/>
              <w:spacing w:after="0"/>
              <w:rPr>
                <w:sz w:val="20"/>
                <w:szCs w:val="20"/>
                <w:color w:val="auto"/>
              </w:rPr>
            </w:pPr>
            <w:r>
              <w:rPr>
                <w:rFonts w:ascii="Arial" w:cs="Arial" w:eastAsia="Arial" w:hAnsi="Arial"/>
                <w:sz w:val="17"/>
                <w:szCs w:val="17"/>
                <w:b w:val="1"/>
                <w:bCs w:val="1"/>
                <w:color w:val="auto"/>
              </w:rPr>
              <w:t>For the transition period from</w:t>
            </w:r>
          </w:p>
        </w:tc>
        <w:tc>
          <w:tcPr>
            <w:tcW w:w="940" w:type="dxa"/>
            <w:vAlign w:val="bottom"/>
          </w:tcPr>
          <w:p>
            <w:pPr>
              <w:ind w:left="280"/>
              <w:spacing w:after="0"/>
              <w:rPr>
                <w:sz w:val="20"/>
                <w:szCs w:val="20"/>
                <w:color w:val="auto"/>
              </w:rPr>
            </w:pPr>
            <w:r>
              <w:rPr>
                <w:rFonts w:ascii="Arial" w:cs="Arial" w:eastAsia="Arial" w:hAnsi="Arial"/>
                <w:sz w:val="17"/>
                <w:szCs w:val="17"/>
                <w:b w:val="1"/>
                <w:bCs w:val="1"/>
                <w:color w:val="auto"/>
              </w:rPr>
              <w:t>to</w:t>
            </w:r>
          </w:p>
        </w:tc>
      </w:tr>
      <w:tr>
        <w:trPr>
          <w:trHeight w:val="406"/>
        </w:trPr>
        <w:tc>
          <w:tcPr>
            <w:tcW w:w="3500" w:type="dxa"/>
            <w:vAlign w:val="bottom"/>
            <w:gridSpan w:val="2"/>
          </w:tcPr>
          <w:p>
            <w:pPr>
              <w:ind w:left="520"/>
              <w:spacing w:after="0"/>
              <w:rPr>
                <w:sz w:val="20"/>
                <w:szCs w:val="20"/>
                <w:color w:val="auto"/>
              </w:rPr>
            </w:pPr>
            <w:r>
              <w:rPr>
                <w:rFonts w:ascii="Arial" w:cs="Arial" w:eastAsia="Arial" w:hAnsi="Arial"/>
                <w:sz w:val="17"/>
                <w:szCs w:val="17"/>
                <w:b w:val="1"/>
                <w:bCs w:val="1"/>
                <w:color w:val="auto"/>
              </w:rPr>
              <w:t>Commission file number 001-36156</w:t>
            </w:r>
          </w:p>
        </w:tc>
      </w:tr>
      <w:tr>
        <w:trPr>
          <w:trHeight w:val="102"/>
        </w:trPr>
        <w:tc>
          <w:tcPr>
            <w:tcW w:w="25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198" w:lineRule="exact"/>
        <w:rPr>
          <w:sz w:val="24"/>
          <w:szCs w:val="24"/>
          <w:color w:val="auto"/>
        </w:rPr>
      </w:pPr>
    </w:p>
    <w:tbl>
      <w:tblPr>
        <w:tblLayout w:type="fixed"/>
        <w:tblInd w:w="420" w:type="dxa"/>
        <w:tblCellMar>
          <w:top w:w="0" w:type="dxa"/>
          <w:left w:w="0" w:type="dxa"/>
          <w:bottom w:w="0" w:type="dxa"/>
          <w:right w:w="0" w:type="dxa"/>
        </w:tblCellMar>
      </w:tblPr>
      <w:tr>
        <w:trPr>
          <w:trHeight w:val="335"/>
        </w:trPr>
        <w:tc>
          <w:tcPr>
            <w:tcW w:w="3460" w:type="dxa"/>
            <w:vAlign w:val="bottom"/>
          </w:tcPr>
          <w:p>
            <w:pPr>
              <w:spacing w:after="0"/>
              <w:rPr>
                <w:sz w:val="24"/>
                <w:szCs w:val="24"/>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27"/>
                <w:szCs w:val="27"/>
                <w:b w:val="1"/>
                <w:bCs w:val="1"/>
                <w:color w:val="auto"/>
              </w:rPr>
              <w:t>VERACYTE, INC.</w:t>
            </w:r>
          </w:p>
        </w:tc>
      </w:tr>
      <w:tr>
        <w:trPr>
          <w:trHeight w:val="215"/>
        </w:trPr>
        <w:tc>
          <w:tcPr>
            <w:tcW w:w="3460" w:type="dxa"/>
            <w:vAlign w:val="bottom"/>
          </w:tcPr>
          <w:p>
            <w:pPr>
              <w:spacing w:after="0"/>
              <w:rPr>
                <w:sz w:val="18"/>
                <w:szCs w:val="18"/>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color w:val="auto"/>
                <w:w w:val="89"/>
              </w:rPr>
              <w:t>(Exact name of registrant as specified in its charter)</w:t>
            </w:r>
          </w:p>
        </w:tc>
      </w:tr>
      <w:tr>
        <w:trPr>
          <w:trHeight w:val="267"/>
        </w:trPr>
        <w:tc>
          <w:tcPr>
            <w:tcW w:w="346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r>
      <w:tr>
        <w:trPr>
          <w:trHeight w:val="334"/>
        </w:trPr>
        <w:tc>
          <w:tcPr>
            <w:tcW w:w="3460" w:type="dxa"/>
            <w:vAlign w:val="bottom"/>
          </w:tcPr>
          <w:p>
            <w:pPr>
              <w:jc w:val="center"/>
              <w:ind w:right="1336"/>
              <w:spacing w:after="0"/>
              <w:rPr>
                <w:sz w:val="20"/>
                <w:szCs w:val="20"/>
                <w:color w:val="auto"/>
              </w:rPr>
            </w:pPr>
            <w:r>
              <w:rPr>
                <w:rFonts w:ascii="Arial" w:cs="Arial" w:eastAsia="Arial" w:hAnsi="Arial"/>
                <w:sz w:val="17"/>
                <w:szCs w:val="17"/>
                <w:b w:val="1"/>
                <w:bCs w:val="1"/>
                <w:color w:val="auto"/>
                <w:w w:val="91"/>
              </w:rPr>
              <w:t>Delaware</w:t>
            </w:r>
          </w:p>
        </w:tc>
        <w:tc>
          <w:tcPr>
            <w:tcW w:w="3940" w:type="dxa"/>
            <w:vAlign w:val="bottom"/>
            <w:gridSpan w:val="2"/>
          </w:tcPr>
          <w:p>
            <w:pPr>
              <w:jc w:val="center"/>
              <w:ind w:left="2590"/>
              <w:spacing w:after="0"/>
              <w:rPr>
                <w:sz w:val="20"/>
                <w:szCs w:val="20"/>
                <w:color w:val="auto"/>
              </w:rPr>
            </w:pPr>
            <w:r>
              <w:rPr>
                <w:rFonts w:ascii="Arial" w:cs="Arial" w:eastAsia="Arial" w:hAnsi="Arial"/>
                <w:sz w:val="17"/>
                <w:szCs w:val="17"/>
                <w:b w:val="1"/>
                <w:bCs w:val="1"/>
                <w:color w:val="auto"/>
                <w:w w:val="90"/>
              </w:rPr>
              <w:t>20-5455398</w:t>
            </w:r>
          </w:p>
        </w:tc>
      </w:tr>
      <w:tr>
        <w:trPr>
          <w:trHeight w:val="241"/>
        </w:trPr>
        <w:tc>
          <w:tcPr>
            <w:tcW w:w="3460" w:type="dxa"/>
            <w:vAlign w:val="bottom"/>
          </w:tcPr>
          <w:p>
            <w:pPr>
              <w:jc w:val="center"/>
              <w:ind w:right="1336"/>
              <w:spacing w:after="0"/>
              <w:rPr>
                <w:sz w:val="20"/>
                <w:szCs w:val="20"/>
                <w:color w:val="auto"/>
              </w:rPr>
            </w:pPr>
            <w:r>
              <w:rPr>
                <w:rFonts w:ascii="Arial" w:cs="Arial" w:eastAsia="Arial" w:hAnsi="Arial"/>
                <w:sz w:val="17"/>
                <w:szCs w:val="17"/>
                <w:color w:val="auto"/>
                <w:w w:val="92"/>
              </w:rPr>
              <w:t>(State or other jurisdiction of</w:t>
            </w:r>
          </w:p>
        </w:tc>
        <w:tc>
          <w:tcPr>
            <w:tcW w:w="3940" w:type="dxa"/>
            <w:vAlign w:val="bottom"/>
            <w:gridSpan w:val="2"/>
          </w:tcPr>
          <w:p>
            <w:pPr>
              <w:jc w:val="center"/>
              <w:ind w:left="2610"/>
              <w:spacing w:after="0"/>
              <w:rPr>
                <w:sz w:val="20"/>
                <w:szCs w:val="20"/>
                <w:color w:val="auto"/>
              </w:rPr>
            </w:pPr>
            <w:r>
              <w:rPr>
                <w:rFonts w:ascii="Arial" w:cs="Arial" w:eastAsia="Arial" w:hAnsi="Arial"/>
                <w:sz w:val="17"/>
                <w:szCs w:val="17"/>
                <w:color w:val="auto"/>
                <w:w w:val="92"/>
              </w:rPr>
              <w:t>(I.R.S. Employer</w:t>
            </w:r>
          </w:p>
        </w:tc>
      </w:tr>
      <w:tr>
        <w:trPr>
          <w:trHeight w:val="241"/>
        </w:trPr>
        <w:tc>
          <w:tcPr>
            <w:tcW w:w="3460" w:type="dxa"/>
            <w:vAlign w:val="bottom"/>
          </w:tcPr>
          <w:p>
            <w:pPr>
              <w:jc w:val="center"/>
              <w:ind w:right="1336"/>
              <w:spacing w:after="0"/>
              <w:rPr>
                <w:sz w:val="20"/>
                <w:szCs w:val="20"/>
                <w:color w:val="auto"/>
              </w:rPr>
            </w:pPr>
            <w:r>
              <w:rPr>
                <w:rFonts w:ascii="Arial" w:cs="Arial" w:eastAsia="Arial" w:hAnsi="Arial"/>
                <w:sz w:val="17"/>
                <w:szCs w:val="17"/>
                <w:color w:val="auto"/>
                <w:w w:val="92"/>
              </w:rPr>
              <w:t>incorporation or organization)</w:t>
            </w:r>
          </w:p>
        </w:tc>
        <w:tc>
          <w:tcPr>
            <w:tcW w:w="3940" w:type="dxa"/>
            <w:vAlign w:val="bottom"/>
            <w:gridSpan w:val="2"/>
          </w:tcPr>
          <w:p>
            <w:pPr>
              <w:jc w:val="center"/>
              <w:ind w:left="2590"/>
              <w:spacing w:after="0"/>
              <w:rPr>
                <w:sz w:val="20"/>
                <w:szCs w:val="20"/>
                <w:color w:val="auto"/>
              </w:rPr>
            </w:pPr>
            <w:r>
              <w:rPr>
                <w:rFonts w:ascii="Arial" w:cs="Arial" w:eastAsia="Arial" w:hAnsi="Arial"/>
                <w:sz w:val="17"/>
                <w:szCs w:val="17"/>
                <w:color w:val="auto"/>
                <w:w w:val="95"/>
              </w:rPr>
              <w:t>Identification No.)</w:t>
            </w:r>
          </w:p>
        </w:tc>
      </w:tr>
      <w:tr>
        <w:trPr>
          <w:trHeight w:val="479"/>
        </w:trPr>
        <w:tc>
          <w:tcPr>
            <w:tcW w:w="3460" w:type="dxa"/>
            <w:vAlign w:val="bottom"/>
          </w:tcPr>
          <w:p>
            <w:pPr>
              <w:spacing w:after="0"/>
              <w:rPr>
                <w:sz w:val="24"/>
                <w:szCs w:val="24"/>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6000 Shoreline Court, Suite 300</w:t>
            </w:r>
          </w:p>
        </w:tc>
      </w:tr>
      <w:tr>
        <w:trPr>
          <w:trHeight w:val="207"/>
        </w:trPr>
        <w:tc>
          <w:tcPr>
            <w:tcW w:w="3460" w:type="dxa"/>
            <w:vAlign w:val="bottom"/>
          </w:tcPr>
          <w:p>
            <w:pPr>
              <w:spacing w:after="0"/>
              <w:rPr>
                <w:sz w:val="17"/>
                <w:szCs w:val="17"/>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South San Francisco, California 94080</w:t>
            </w:r>
          </w:p>
        </w:tc>
      </w:tr>
      <w:tr>
        <w:trPr>
          <w:trHeight w:val="215"/>
        </w:trPr>
        <w:tc>
          <w:tcPr>
            <w:tcW w:w="3460" w:type="dxa"/>
            <w:vAlign w:val="bottom"/>
          </w:tcPr>
          <w:p>
            <w:pPr>
              <w:spacing w:after="0"/>
              <w:rPr>
                <w:sz w:val="18"/>
                <w:szCs w:val="18"/>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(Address of principal executive offices, zip code)</w:t>
            </w:r>
          </w:p>
        </w:tc>
      </w:tr>
      <w:tr>
        <w:trPr>
          <w:trHeight w:val="394"/>
        </w:trPr>
        <w:tc>
          <w:tcPr>
            <w:tcW w:w="3460" w:type="dxa"/>
            <w:vAlign w:val="bottom"/>
          </w:tcPr>
          <w:p>
            <w:pPr>
              <w:spacing w:after="0"/>
              <w:rPr>
                <w:sz w:val="24"/>
                <w:szCs w:val="24"/>
                <w:color w:val="auto"/>
              </w:rPr>
            </w:pPr>
          </w:p>
        </w:tc>
        <w:tc>
          <w:tcPr>
            <w:tcW w:w="3500" w:type="dxa"/>
            <w:vAlign w:val="bottom"/>
          </w:tcPr>
          <w:p>
            <w:pPr>
              <w:jc w:val="center"/>
              <w:ind w:left="30"/>
              <w:spacing w:after="0"/>
              <w:rPr>
                <w:sz w:val="20"/>
                <w:szCs w:val="20"/>
                <w:color w:val="auto"/>
              </w:rPr>
            </w:pPr>
            <w:r>
              <w:rPr>
                <w:rFonts w:ascii="Arial" w:cs="Arial" w:eastAsia="Arial" w:hAnsi="Arial"/>
                <w:sz w:val="17"/>
                <w:szCs w:val="17"/>
                <w:b w:val="1"/>
                <w:bCs w:val="1"/>
                <w:color w:val="auto"/>
                <w:w w:val="94"/>
              </w:rPr>
              <w:t>(650) 243-6300</w:t>
            </w:r>
          </w:p>
        </w:tc>
        <w:tc>
          <w:tcPr>
            <w:tcW w:w="440" w:type="dxa"/>
            <w:vAlign w:val="bottom"/>
          </w:tcPr>
          <w:p>
            <w:pPr>
              <w:spacing w:after="0"/>
              <w:rPr>
                <w:sz w:val="24"/>
                <w:szCs w:val="24"/>
                <w:color w:val="auto"/>
              </w:rPr>
            </w:pPr>
          </w:p>
        </w:tc>
      </w:tr>
      <w:tr>
        <w:trPr>
          <w:trHeight w:val="215"/>
        </w:trPr>
        <w:tc>
          <w:tcPr>
            <w:tcW w:w="3460" w:type="dxa"/>
            <w:vAlign w:val="bottom"/>
          </w:tcPr>
          <w:p>
            <w:pPr>
              <w:spacing w:after="0"/>
              <w:rPr>
                <w:sz w:val="18"/>
                <w:szCs w:val="18"/>
                <w:color w:val="auto"/>
              </w:rPr>
            </w:pPr>
          </w:p>
        </w:tc>
        <w:tc>
          <w:tcPr>
            <w:tcW w:w="394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2464435</wp:posOffset>
            </wp:positionH>
            <wp:positionV relativeFrom="paragraph">
              <wp:posOffset>169545</wp:posOffset>
            </wp:positionV>
            <wp:extent cx="2221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186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9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Title of each class</w:t>
            </w:r>
          </w:p>
        </w:tc>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Arial" w:cs="Arial" w:eastAsia="Arial" w:hAnsi="Arial"/>
                <w:sz w:val="17"/>
                <w:szCs w:val="17"/>
                <w:b w:val="1"/>
                <w:bCs w:val="1"/>
                <w:color w:val="auto"/>
                <w:w w:val="87"/>
              </w:rPr>
              <w:t>Name of each exchange on which</w:t>
            </w:r>
          </w:p>
        </w:tc>
      </w:tr>
      <w:tr>
        <w:trPr>
          <w:trHeight w:val="241"/>
        </w:trPr>
        <w:tc>
          <w:tcPr>
            <w:tcW w:w="2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Symbol(s)</w:t>
            </w:r>
          </w:p>
        </w:tc>
        <w:tc>
          <w:tcPr>
            <w:tcW w:w="14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registered</w:t>
            </w:r>
          </w:p>
        </w:tc>
      </w:tr>
      <w:tr>
        <w:trPr>
          <w:trHeight w:val="158"/>
        </w:trPr>
        <w:tc>
          <w:tcPr>
            <w:tcW w:w="2900" w:type="dxa"/>
            <w:vAlign w:val="bottom"/>
            <w:gridSpan w:val="2"/>
          </w:tcPr>
          <w:p>
            <w:pPr>
              <w:jc w:val="center"/>
              <w:ind w:right="140"/>
              <w:spacing w:after="0" w:line="159" w:lineRule="exact"/>
              <w:rPr>
                <w:sz w:val="20"/>
                <w:szCs w:val="20"/>
                <w:color w:val="auto"/>
              </w:rPr>
            </w:pPr>
            <w:r>
              <w:rPr>
                <w:rFonts w:ascii="Arial" w:cs="Arial" w:eastAsia="Arial" w:hAnsi="Arial"/>
                <w:sz w:val="17"/>
                <w:szCs w:val="17"/>
                <w:color w:val="auto"/>
                <w:w w:val="89"/>
              </w:rPr>
              <w:t>Common Stock, par value, $0.001 per</w:t>
            </w:r>
          </w:p>
        </w:tc>
        <w:tc>
          <w:tcPr>
            <w:tcW w:w="2940" w:type="dxa"/>
            <w:vAlign w:val="bottom"/>
            <w:gridSpan w:val="2"/>
          </w:tcPr>
          <w:p>
            <w:pPr>
              <w:jc w:val="center"/>
              <w:ind w:right="160"/>
              <w:spacing w:after="0" w:line="159" w:lineRule="exact"/>
              <w:rPr>
                <w:sz w:val="20"/>
                <w:szCs w:val="20"/>
                <w:color w:val="auto"/>
              </w:rPr>
            </w:pPr>
            <w:r>
              <w:rPr>
                <w:rFonts w:ascii="Arial" w:cs="Arial" w:eastAsia="Arial" w:hAnsi="Arial"/>
                <w:sz w:val="17"/>
                <w:szCs w:val="17"/>
                <w:color w:val="auto"/>
              </w:rPr>
              <w:t>VCYT</w:t>
            </w:r>
          </w:p>
        </w:tc>
        <w:tc>
          <w:tcPr>
            <w:tcW w:w="2840" w:type="dxa"/>
            <w:vAlign w:val="bottom"/>
          </w:tcPr>
          <w:p>
            <w:pPr>
              <w:jc w:val="center"/>
              <w:spacing w:after="0" w:line="159" w:lineRule="exact"/>
              <w:rPr>
                <w:sz w:val="20"/>
                <w:szCs w:val="20"/>
                <w:color w:val="auto"/>
              </w:rPr>
            </w:pPr>
            <w:r>
              <w:rPr>
                <w:rFonts w:ascii="Arial" w:cs="Arial" w:eastAsia="Arial" w:hAnsi="Arial"/>
                <w:sz w:val="17"/>
                <w:szCs w:val="17"/>
                <w:color w:val="auto"/>
                <w:w w:val="91"/>
              </w:rPr>
              <w:t>The Nasdaq Stock Market LLC</w:t>
            </w:r>
          </w:p>
        </w:tc>
      </w:tr>
      <w:tr>
        <w:trPr>
          <w:trHeight w:val="215"/>
        </w:trPr>
        <w:tc>
          <w:tcPr>
            <w:tcW w:w="2900" w:type="dxa"/>
            <w:vAlign w:val="bottom"/>
            <w:gridSpan w:val="2"/>
          </w:tcPr>
          <w:p>
            <w:pPr>
              <w:jc w:val="center"/>
              <w:ind w:right="140"/>
              <w:spacing w:after="0"/>
              <w:rPr>
                <w:sz w:val="20"/>
                <w:szCs w:val="20"/>
                <w:color w:val="auto"/>
              </w:rPr>
            </w:pPr>
            <w:r>
              <w:rPr>
                <w:rFonts w:ascii="Arial" w:cs="Arial" w:eastAsia="Arial" w:hAnsi="Arial"/>
                <w:sz w:val="17"/>
                <w:szCs w:val="17"/>
                <w:color w:val="auto"/>
                <w:w w:val="84"/>
              </w:rPr>
              <w:t>share</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r>
    </w:tbl>
    <w:p>
      <w:pPr>
        <w:spacing w:after="0" w:line="293" w:lineRule="exact"/>
        <w:rPr>
          <w:sz w:val="24"/>
          <w:szCs w:val="24"/>
          <w:color w:val="auto"/>
        </w:rPr>
      </w:pPr>
    </w:p>
    <w:p>
      <w:pPr>
        <w:ind w:firstLine="418"/>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74" w:lineRule="exact"/>
        <w:rPr>
          <w:sz w:val="24"/>
          <w:szCs w:val="24"/>
          <w:color w:val="auto"/>
        </w:rPr>
      </w:pPr>
    </w:p>
    <w:p>
      <w:pPr>
        <w:ind w:right="560" w:firstLine="418"/>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628650</wp:posOffset>
            </wp:positionV>
            <wp:extent cx="716597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228" w:right="39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120" w:firstLine="418"/>
        <w:spacing w:after="0" w:line="26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228"/>
        </w:trPr>
        <w:tc>
          <w:tcPr>
            <w:tcW w:w="1940" w:type="dxa"/>
            <w:vAlign w:val="bottom"/>
          </w:tcPr>
          <w:p>
            <w:pPr>
              <w:jc w:val="center"/>
              <w:ind w:right="336"/>
              <w:spacing w:after="0"/>
              <w:rPr>
                <w:sz w:val="20"/>
                <w:szCs w:val="20"/>
                <w:color w:val="auto"/>
              </w:rPr>
            </w:pPr>
            <w:r>
              <w:rPr>
                <w:rFonts w:ascii="Arial" w:cs="Arial" w:eastAsia="Arial" w:hAnsi="Arial"/>
                <w:sz w:val="17"/>
                <w:szCs w:val="17"/>
                <w:color w:val="auto"/>
                <w:w w:val="90"/>
              </w:rPr>
              <w:t>Large accelerated filer</w:t>
            </w:r>
          </w:p>
        </w:tc>
        <w:tc>
          <w:tcPr>
            <w:tcW w:w="1900" w:type="dxa"/>
            <w:vAlign w:val="bottom"/>
          </w:tcPr>
          <w:p>
            <w:pPr>
              <w:jc w:val="center"/>
              <w:ind w:right="816"/>
              <w:spacing w:after="0"/>
              <w:rPr>
                <w:sz w:val="20"/>
                <w:szCs w:val="20"/>
                <w:color w:val="auto"/>
              </w:rPr>
            </w:pPr>
            <w:r>
              <w:rPr>
                <w:rFonts w:ascii="Arial" w:cs="Arial" w:eastAsia="Arial" w:hAnsi="Arial"/>
                <w:sz w:val="17"/>
                <w:szCs w:val="17"/>
                <w:color w:val="auto"/>
                <w:w w:val="93"/>
              </w:rPr>
              <w:t>x</w:t>
            </w:r>
          </w:p>
        </w:tc>
        <w:tc>
          <w:tcPr>
            <w:tcW w:w="3520" w:type="dxa"/>
            <w:vAlign w:val="bottom"/>
          </w:tcPr>
          <w:p>
            <w:pPr>
              <w:jc w:val="center"/>
              <w:ind w:left="916"/>
              <w:spacing w:after="0"/>
              <w:rPr>
                <w:sz w:val="20"/>
                <w:szCs w:val="20"/>
                <w:color w:val="auto"/>
              </w:rPr>
            </w:pPr>
            <w:r>
              <w:rPr>
                <w:rFonts w:ascii="Arial" w:cs="Arial" w:eastAsia="Arial" w:hAnsi="Arial"/>
                <w:sz w:val="17"/>
                <w:szCs w:val="17"/>
                <w:color w:val="auto"/>
                <w:w w:val="91"/>
              </w:rPr>
              <w:t>Accelerated filer</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4"/>
        </w:trPr>
        <w:tc>
          <w:tcPr>
            <w:tcW w:w="1940" w:type="dxa"/>
            <w:vAlign w:val="bottom"/>
          </w:tcPr>
          <w:p>
            <w:pPr>
              <w:jc w:val="center"/>
              <w:ind w:right="296"/>
              <w:spacing w:after="0"/>
              <w:rPr>
                <w:sz w:val="20"/>
                <w:szCs w:val="20"/>
                <w:color w:val="auto"/>
              </w:rPr>
            </w:pPr>
            <w:r>
              <w:rPr>
                <w:rFonts w:ascii="Arial" w:cs="Arial" w:eastAsia="Arial" w:hAnsi="Arial"/>
                <w:sz w:val="17"/>
                <w:szCs w:val="17"/>
                <w:color w:val="auto"/>
                <w:w w:val="91"/>
              </w:rPr>
              <w:t>Non-accelerated filer</w:t>
            </w:r>
          </w:p>
        </w:tc>
        <w:tc>
          <w:tcPr>
            <w:tcW w:w="1900" w:type="dxa"/>
            <w:vAlign w:val="bottom"/>
          </w:tcPr>
          <w:p>
            <w:pPr>
              <w:jc w:val="center"/>
              <w:ind w:right="816"/>
              <w:spacing w:after="0" w:line="171" w:lineRule="exact"/>
              <w:rPr>
                <w:sz w:val="20"/>
                <w:szCs w:val="20"/>
                <w:color w:val="auto"/>
              </w:rPr>
            </w:pPr>
            <w:r>
              <w:rPr>
                <w:rFonts w:ascii="MS PGothic" w:cs="MS PGothic" w:eastAsia="MS PGothic" w:hAnsi="MS PGothic"/>
                <w:sz w:val="17"/>
                <w:szCs w:val="17"/>
                <w:color w:val="auto"/>
                <w:w w:val="93"/>
              </w:rPr>
              <w:t>☐</w:t>
            </w:r>
          </w:p>
        </w:tc>
        <w:tc>
          <w:tcPr>
            <w:tcW w:w="3520" w:type="dxa"/>
            <w:vAlign w:val="bottom"/>
          </w:tcPr>
          <w:p>
            <w:pPr>
              <w:jc w:val="center"/>
              <w:ind w:left="876"/>
              <w:spacing w:after="0"/>
              <w:rPr>
                <w:sz w:val="20"/>
                <w:szCs w:val="20"/>
                <w:color w:val="auto"/>
              </w:rPr>
            </w:pPr>
            <w:r>
              <w:rPr>
                <w:rFonts w:ascii="Arial" w:cs="Arial" w:eastAsia="Arial" w:hAnsi="Arial"/>
                <w:sz w:val="17"/>
                <w:szCs w:val="17"/>
                <w:color w:val="auto"/>
                <w:w w:val="90"/>
              </w:rPr>
              <w:t>Smaller reporting company</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5"/>
        </w:trPr>
        <w:tc>
          <w:tcPr>
            <w:tcW w:w="19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520" w:type="dxa"/>
            <w:vAlign w:val="bottom"/>
          </w:tcPr>
          <w:p>
            <w:pPr>
              <w:jc w:val="center"/>
              <w:ind w:left="876"/>
              <w:spacing w:after="0"/>
              <w:rPr>
                <w:sz w:val="20"/>
                <w:szCs w:val="20"/>
                <w:color w:val="auto"/>
              </w:rPr>
            </w:pPr>
            <w:r>
              <w:rPr>
                <w:rFonts w:ascii="Arial" w:cs="Arial" w:eastAsia="Arial" w:hAnsi="Arial"/>
                <w:sz w:val="17"/>
                <w:szCs w:val="17"/>
                <w:color w:val="auto"/>
                <w:w w:val="90"/>
              </w:rPr>
              <w:t>Emerging growth company</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49" w:lineRule="exact"/>
        <w:rPr>
          <w:sz w:val="20"/>
          <w:szCs w:val="20"/>
          <w:color w:val="auto"/>
        </w:rPr>
      </w:pPr>
    </w:p>
    <w:p>
      <w:pPr>
        <w:ind w:firstLine="342"/>
        <w:spacing w:after="0" w:line="21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1" w:lineRule="exact"/>
        <w:rPr>
          <w:sz w:val="20"/>
          <w:szCs w:val="20"/>
          <w:color w:val="auto"/>
        </w:rPr>
      </w:pPr>
    </w:p>
    <w:p>
      <w:pPr>
        <w:ind w:left="340" w:right="2420"/>
        <w:spacing w:after="0" w:line="22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November 3, 2021, there were 71,043,062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812800</wp:posOffset>
            </wp:positionV>
            <wp:extent cx="716597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920"/>
          </w:cols>
          <w:pgMar w:left="320" w:top="127"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7200" w:type="dxa"/>
            <w:vAlign w:val="bottom"/>
            <w:gridSpan w:val="23"/>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4"/>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7"/>
          </w:tcPr>
          <w:p>
            <w:pPr>
              <w:jc w:val="center"/>
              <w:ind w:right="580"/>
              <w:spacing w:after="0"/>
              <w:rPr>
                <w:sz w:val="20"/>
                <w:szCs w:val="20"/>
                <w:color w:val="auto"/>
              </w:rPr>
            </w:pPr>
            <w:r>
              <w:rPr>
                <w:rFonts w:ascii="Arial" w:cs="Arial" w:eastAsia="Arial" w:hAnsi="Arial"/>
                <w:sz w:val="17"/>
                <w:szCs w:val="17"/>
                <w:b w:val="1"/>
                <w:bCs w:val="1"/>
                <w:color w:val="auto"/>
              </w:rPr>
              <w:t>VERACYTE, INC.</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6"/>
          </w:tcPr>
          <w:p>
            <w:pPr>
              <w:jc w:val="center"/>
              <w:ind w:right="960"/>
              <w:spacing w:after="0"/>
              <w:rPr>
                <w:sz w:val="20"/>
                <w:szCs w:val="20"/>
                <w:color w:val="auto"/>
              </w:rPr>
            </w:pPr>
            <w:r>
              <w:rPr>
                <w:rFonts w:ascii="Arial" w:cs="Arial" w:eastAsia="Arial" w:hAnsi="Arial"/>
                <w:sz w:val="17"/>
                <w:szCs w:val="17"/>
                <w:b w:val="1"/>
                <w:bCs w:val="1"/>
                <w:color w:val="auto"/>
              </w:rPr>
              <w:t>INDEX</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gridSpan w:val="4"/>
          </w:tcPr>
          <w:p>
            <w:pPr>
              <w:jc w:val="right"/>
              <w:ind w:right="5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7"/>
                <w:szCs w:val="17"/>
                <w:b w:val="1"/>
                <w:bCs w:val="1"/>
                <w:color w:val="auto"/>
              </w:rPr>
              <w:t>No.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gridSpan w:val="22"/>
          </w:tcPr>
          <w:p>
            <w:pPr>
              <w:spacing w:after="0"/>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 — FINANCIAL INFORMATION</w:t>
              </w:r>
            </w:hyperlink>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13"/>
          </w:tcPr>
          <w:p>
            <w:pPr>
              <w:spacing w:after="0"/>
              <w:rPr>
                <w:rFonts w:ascii="Arial" w:cs="Arial" w:eastAsia="Arial" w:hAnsi="Arial"/>
                <w:sz w:val="17"/>
                <w:szCs w:val="17"/>
                <w:color w:val="0000FF"/>
                <w:w w:val="89"/>
              </w:rPr>
            </w:pPr>
            <w:hyperlink w:anchor="page4">
              <w:r>
                <w:rPr>
                  <w:rFonts w:ascii="Arial" w:cs="Arial" w:eastAsia="Arial" w:hAnsi="Arial"/>
                  <w:sz w:val="17"/>
                  <w:szCs w:val="17"/>
                  <w:color w:val="0000FF"/>
                  <w:w w:val="89"/>
                </w:rPr>
                <w:t>Item 1. Condensed Consolidated Financial Statements (Unaudited)</w:t>
              </w:r>
            </w:hyperlink>
          </w:p>
        </w:tc>
        <w:tc>
          <w:tcPr>
            <w:tcW w:w="2540" w:type="dxa"/>
            <w:vAlign w:val="bottom"/>
            <w:gridSpan w:val="8"/>
          </w:tcPr>
          <w:p>
            <w:pPr>
              <w:spacing w:after="0"/>
              <w:rPr>
                <w:sz w:val="20"/>
                <w:szCs w:val="20"/>
                <w:color w:val="auto"/>
              </w:rPr>
            </w:pPr>
          </w:p>
        </w:tc>
        <w:tc>
          <w:tcPr>
            <w:tcW w:w="146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80" w:type="dxa"/>
            <w:vAlign w:val="bottom"/>
            <w:gridSpan w:val="20"/>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Balance Sheets as of September 30, 2021 and</w:t>
              </w:r>
            </w:hyperlink>
          </w:p>
        </w:tc>
        <w:tc>
          <w:tcPr>
            <w:tcW w:w="1460" w:type="dxa"/>
            <w:vAlign w:val="bottom"/>
            <w:gridSpan w:val="4"/>
            <w:vMerge w:val="restart"/>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1</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Borders>
              <w:top w:val="single" w:sz="8" w:color="0000FF"/>
            </w:tcBorders>
            <w:gridSpan w:val="5"/>
          </w:tcPr>
          <w:p>
            <w:pPr>
              <w:spacing w:after="0" w:line="145"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December 31, 2020</w:t>
              </w:r>
            </w:hyperlink>
          </w:p>
        </w:tc>
        <w:tc>
          <w:tcPr>
            <w:tcW w:w="3500" w:type="dxa"/>
            <w:vAlign w:val="bottom"/>
            <w:tcBorders>
              <w:top w:val="single" w:sz="8" w:color="0000FF"/>
            </w:tcBorders>
            <w:gridSpan w:val="9"/>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80" w:type="dxa"/>
            <w:vAlign w:val="bottom"/>
            <w:gridSpan w:val="20"/>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Statements of Operations for the Three and Nine Month</w:t>
              </w:r>
            </w:hyperlink>
          </w:p>
        </w:tc>
        <w:tc>
          <w:tcPr>
            <w:tcW w:w="1460" w:type="dxa"/>
            <w:vAlign w:val="bottom"/>
            <w:gridSpan w:val="4"/>
            <w:vMerge w:val="restart"/>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2</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20" w:type="dxa"/>
            <w:vAlign w:val="bottom"/>
            <w:tcBorders>
              <w:top w:val="single" w:sz="8" w:color="0000FF"/>
            </w:tcBorders>
            <w:gridSpan w:val="16"/>
          </w:tcPr>
          <w:p>
            <w:pPr>
              <w:spacing w:after="0" w:line="145" w:lineRule="exact"/>
              <w:rPr>
                <w:rFonts w:ascii="Arial" w:cs="Arial" w:eastAsia="Arial" w:hAnsi="Arial"/>
                <w:sz w:val="16"/>
                <w:szCs w:val="16"/>
                <w:color w:val="0000FF"/>
              </w:rPr>
            </w:pPr>
            <w:hyperlink w:anchor="page4">
              <w:r>
                <w:rPr>
                  <w:rFonts w:ascii="Arial" w:cs="Arial" w:eastAsia="Arial" w:hAnsi="Arial"/>
                  <w:sz w:val="16"/>
                  <w:szCs w:val="16"/>
                  <w:color w:val="0000FF"/>
                </w:rPr>
                <w:t>Periods Ended September 30, 2021 and 2020</w:t>
              </w:r>
            </w:hyperlink>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80" w:type="dxa"/>
            <w:vAlign w:val="bottom"/>
            <w:gridSpan w:val="20"/>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Comprehensive Loss for the Three and Nine</w:t>
              </w:r>
            </w:hyperlink>
          </w:p>
        </w:tc>
        <w:tc>
          <w:tcPr>
            <w:tcW w:w="1460" w:type="dxa"/>
            <w:vAlign w:val="bottom"/>
            <w:gridSpan w:val="4"/>
            <w:vMerge w:val="restart"/>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40" w:type="dxa"/>
            <w:vAlign w:val="bottom"/>
            <w:tcBorders>
              <w:top w:val="single" w:sz="8" w:color="0000FF"/>
            </w:tcBorders>
            <w:gridSpan w:val="10"/>
          </w:tcPr>
          <w:p>
            <w:pPr>
              <w:spacing w:after="0" w:line="145" w:lineRule="exact"/>
              <w:rPr>
                <w:rFonts w:ascii="Arial" w:cs="Arial" w:eastAsia="Arial" w:hAnsi="Arial"/>
                <w:sz w:val="16"/>
                <w:szCs w:val="16"/>
                <w:color w:val="0000FF"/>
                <w:w w:val="93"/>
              </w:rPr>
            </w:pPr>
            <w:hyperlink w:anchor="page5">
              <w:r>
                <w:rPr>
                  <w:rFonts w:ascii="Arial" w:cs="Arial" w:eastAsia="Arial" w:hAnsi="Arial"/>
                  <w:sz w:val="16"/>
                  <w:szCs w:val="16"/>
                  <w:color w:val="0000FF"/>
                  <w:w w:val="93"/>
                </w:rPr>
                <w:t>Month Periods Ended September 30, 2021 and 2020</w:t>
              </w:r>
            </w:hyperlink>
          </w:p>
        </w:tc>
        <w:tc>
          <w:tcPr>
            <w:tcW w:w="2160" w:type="dxa"/>
            <w:vAlign w:val="bottom"/>
            <w:tcBorders>
              <w:top w:val="single" w:sz="8" w:color="0000FF"/>
            </w:tcBorders>
            <w:gridSpan w:val="9"/>
          </w:tcPr>
          <w:p>
            <w:pPr>
              <w:spacing w:after="0"/>
              <w:rPr>
                <w:sz w:val="12"/>
                <w:szCs w:val="12"/>
                <w:color w:val="auto"/>
              </w:rPr>
            </w:pPr>
          </w:p>
        </w:tc>
        <w:tc>
          <w:tcPr>
            <w:tcW w:w="11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80" w:type="dxa"/>
            <w:vAlign w:val="bottom"/>
            <w:gridSpan w:val="20"/>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Stockholders' Equity for the Three and Nine</w:t>
              </w:r>
            </w:hyperlink>
          </w:p>
        </w:tc>
        <w:tc>
          <w:tcPr>
            <w:tcW w:w="1460" w:type="dxa"/>
            <w:vAlign w:val="bottom"/>
            <w:gridSpan w:val="4"/>
            <w:vMerge w:val="restart"/>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80" w:type="dxa"/>
            <w:vAlign w:val="bottom"/>
            <w:tcBorders>
              <w:top w:val="single" w:sz="8" w:color="0000FF"/>
            </w:tcBorders>
            <w:gridSpan w:val="18"/>
          </w:tcPr>
          <w:p>
            <w:pPr>
              <w:spacing w:after="0" w:line="145" w:lineRule="exact"/>
              <w:rPr>
                <w:rFonts w:ascii="Arial" w:cs="Arial" w:eastAsia="Arial" w:hAnsi="Arial"/>
                <w:sz w:val="16"/>
                <w:szCs w:val="16"/>
                <w:color w:val="0000FF"/>
              </w:rPr>
            </w:pPr>
            <w:hyperlink w:anchor="page6">
              <w:r>
                <w:rPr>
                  <w:rFonts w:ascii="Arial" w:cs="Arial" w:eastAsia="Arial" w:hAnsi="Arial"/>
                  <w:sz w:val="16"/>
                  <w:szCs w:val="16"/>
                  <w:color w:val="0000FF"/>
                </w:rPr>
                <w:t>Month Periods Ended September 30, 2021 and 2020</w:t>
              </w:r>
            </w:hyperlink>
          </w:p>
        </w:tc>
        <w:tc>
          <w:tcPr>
            <w:tcW w:w="1200" w:type="dxa"/>
            <w:vAlign w:val="bottom"/>
            <w:gridSpan w:val="2"/>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80" w:type="dxa"/>
            <w:vAlign w:val="bottom"/>
            <w:gridSpan w:val="20"/>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Condensed Consolidated Statements of Cash Flows for the Nine Month Periods</w:t>
              </w:r>
            </w:hyperlink>
          </w:p>
        </w:tc>
        <w:tc>
          <w:tcPr>
            <w:tcW w:w="1460" w:type="dxa"/>
            <w:vAlign w:val="bottom"/>
            <w:gridSpan w:val="4"/>
            <w:vMerge w:val="restart"/>
          </w:tcPr>
          <w:p>
            <w:pPr>
              <w:jc w:val="right"/>
              <w:ind w:right="20"/>
              <w:spacing w:after="0"/>
              <w:rPr>
                <w:rFonts w:ascii="Arial" w:cs="Arial" w:eastAsia="Arial" w:hAnsi="Arial"/>
                <w:sz w:val="17"/>
                <w:szCs w:val="17"/>
                <w:color w:val="0000FF"/>
              </w:rPr>
            </w:pPr>
            <w:hyperlink w:anchor="page8">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tcBorders>
              <w:top w:val="single" w:sz="8" w:color="0000FF"/>
            </w:tcBorders>
            <w:gridSpan w:val="7"/>
          </w:tcPr>
          <w:p>
            <w:pPr>
              <w:spacing w:after="0" w:line="145" w:lineRule="exact"/>
              <w:rPr>
                <w:rFonts w:ascii="Arial" w:cs="Arial" w:eastAsia="Arial" w:hAnsi="Arial"/>
                <w:sz w:val="16"/>
                <w:szCs w:val="16"/>
                <w:color w:val="0000FF"/>
                <w:w w:val="92"/>
              </w:rPr>
            </w:pPr>
            <w:hyperlink w:anchor="page8">
              <w:r>
                <w:rPr>
                  <w:rFonts w:ascii="Arial" w:cs="Arial" w:eastAsia="Arial" w:hAnsi="Arial"/>
                  <w:sz w:val="16"/>
                  <w:szCs w:val="16"/>
                  <w:color w:val="0000FF"/>
                  <w:w w:val="92"/>
                </w:rPr>
                <w:t>Ended September 30, 2021 and 2020</w:t>
              </w:r>
            </w:hyperlink>
          </w:p>
        </w:tc>
        <w:tc>
          <w:tcPr>
            <w:tcW w:w="2900" w:type="dxa"/>
            <w:vAlign w:val="bottom"/>
            <w:tcBorders>
              <w:top w:val="single" w:sz="8" w:color="0000FF"/>
            </w:tcBorders>
            <w:gridSpan w:val="8"/>
          </w:tcPr>
          <w:p>
            <w:pPr>
              <w:spacing w:after="0"/>
              <w:rPr>
                <w:sz w:val="12"/>
                <w:szCs w:val="12"/>
                <w:color w:val="auto"/>
              </w:rPr>
            </w:pPr>
          </w:p>
        </w:tc>
        <w:tc>
          <w:tcPr>
            <w:tcW w:w="220" w:type="dxa"/>
            <w:vAlign w:val="bottom"/>
            <w:gridSpan w:val="2"/>
          </w:tcPr>
          <w:p>
            <w:pPr>
              <w:spacing w:after="0"/>
              <w:rPr>
                <w:sz w:val="12"/>
                <w:szCs w:val="12"/>
                <w:color w:val="auto"/>
              </w:rPr>
            </w:pPr>
          </w:p>
        </w:tc>
        <w:tc>
          <w:tcPr>
            <w:tcW w:w="1260" w:type="dxa"/>
            <w:vAlign w:val="bottom"/>
            <w:gridSpan w:val="3"/>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gridSpan w:val="11"/>
          </w:tcPr>
          <w:p>
            <w:pPr>
              <w:spacing w:after="0"/>
              <w:rPr>
                <w:rFonts w:ascii="Arial" w:cs="Arial" w:eastAsia="Arial" w:hAnsi="Arial"/>
                <w:sz w:val="17"/>
                <w:szCs w:val="17"/>
                <w:color w:val="0000FF"/>
                <w:w w:val="88"/>
              </w:rPr>
            </w:pPr>
            <w:hyperlink w:anchor="page9">
              <w:r>
                <w:rPr>
                  <w:rFonts w:ascii="Arial" w:cs="Arial" w:eastAsia="Arial" w:hAnsi="Arial"/>
                  <w:sz w:val="17"/>
                  <w:szCs w:val="17"/>
                  <w:color w:val="0000FF"/>
                  <w:w w:val="88"/>
                </w:rPr>
                <w:t>Notes to Condensed Consolidated Financial Statements</w:t>
              </w:r>
            </w:hyperlink>
          </w:p>
        </w:tc>
        <w:tc>
          <w:tcPr>
            <w:tcW w:w="3120" w:type="dxa"/>
            <w:vAlign w:val="bottom"/>
            <w:gridSpan w:val="9"/>
          </w:tcPr>
          <w:p>
            <w:pPr>
              <w:spacing w:after="0"/>
              <w:rPr>
                <w:sz w:val="20"/>
                <w:szCs w:val="20"/>
                <w:color w:val="auto"/>
              </w:rPr>
            </w:pPr>
          </w:p>
        </w:tc>
        <w:tc>
          <w:tcPr>
            <w:tcW w:w="1460" w:type="dxa"/>
            <w:vAlign w:val="bottom"/>
            <w:gridSpan w:val="4"/>
          </w:tcPr>
          <w:p>
            <w:pPr>
              <w:jc w:val="right"/>
              <w:ind w:right="20"/>
              <w:spacing w:after="0"/>
              <w:rPr>
                <w:rFonts w:ascii="Arial" w:cs="Arial" w:eastAsia="Arial" w:hAnsi="Arial"/>
                <w:sz w:val="17"/>
                <w:szCs w:val="17"/>
                <w:color w:val="0000FF"/>
              </w:rPr>
            </w:pPr>
            <w:hyperlink w:anchor="page9">
              <w:r>
                <w:rPr>
                  <w:rFonts w:ascii="Arial" w:cs="Arial" w:eastAsia="Arial" w:hAnsi="Arial"/>
                  <w:sz w:val="17"/>
                  <w:szCs w:val="17"/>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gridSpan w:val="21"/>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Item 2. Management’s Discussion and Analysis of Financial Condition and Results of</w:t>
              </w:r>
            </w:hyperlink>
          </w:p>
        </w:tc>
        <w:tc>
          <w:tcPr>
            <w:tcW w:w="1440" w:type="dxa"/>
            <w:vAlign w:val="bottom"/>
            <w:gridSpan w:val="3"/>
            <w:vMerge w:val="restart"/>
          </w:tcPr>
          <w:p>
            <w:pPr>
              <w:jc w:val="right"/>
              <w:spacing w:after="0"/>
              <w:rPr>
                <w:rFonts w:ascii="Arial" w:cs="Arial" w:eastAsia="Arial" w:hAnsi="Arial"/>
                <w:sz w:val="17"/>
                <w:szCs w:val="17"/>
                <w:color w:val="0000FF"/>
              </w:rPr>
            </w:pPr>
            <w:hyperlink w:anchor="page27">
              <w:r>
                <w:rPr>
                  <w:rFonts w:ascii="Arial" w:cs="Arial" w:eastAsia="Arial" w:hAnsi="Arial"/>
                  <w:sz w:val="17"/>
                  <w:szCs w:val="17"/>
                  <w:color w:val="0000FF"/>
                </w:rPr>
                <w:t>25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0000FF"/>
            </w:tcBorders>
            <w:gridSpan w:val="3"/>
          </w:tcPr>
          <w:p>
            <w:pPr>
              <w:spacing w:after="0" w:line="145" w:lineRule="exact"/>
              <w:rPr>
                <w:rFonts w:ascii="Arial" w:cs="Arial" w:eastAsia="Arial" w:hAnsi="Arial"/>
                <w:sz w:val="16"/>
                <w:szCs w:val="16"/>
                <w:color w:val="0000FF"/>
              </w:rPr>
            </w:pPr>
            <w:hyperlink w:anchor="page27">
              <w:r>
                <w:rPr>
                  <w:rFonts w:ascii="Arial" w:cs="Arial" w:eastAsia="Arial" w:hAnsi="Arial"/>
                  <w:sz w:val="16"/>
                  <w:szCs w:val="16"/>
                  <w:color w:val="0000FF"/>
                </w:rPr>
                <w:t>Operations</w:t>
              </w:r>
            </w:hyperlink>
          </w:p>
        </w:tc>
        <w:tc>
          <w:tcPr>
            <w:tcW w:w="4880" w:type="dxa"/>
            <w:vAlign w:val="bottom"/>
            <w:tcBorders>
              <w:top w:val="single" w:sz="8" w:color="0000FF"/>
            </w:tcBorders>
            <w:gridSpan w:val="15"/>
          </w:tcPr>
          <w:p>
            <w:pPr>
              <w:spacing w:after="0"/>
              <w:rPr>
                <w:sz w:val="12"/>
                <w:szCs w:val="12"/>
                <w:color w:val="auto"/>
              </w:rPr>
            </w:pPr>
          </w:p>
        </w:tc>
        <w:tc>
          <w:tcPr>
            <w:tcW w:w="1260" w:type="dxa"/>
            <w:vAlign w:val="bottom"/>
            <w:gridSpan w:val="3"/>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60" w:type="dxa"/>
            <w:vAlign w:val="bottom"/>
            <w:gridSpan w:val="21"/>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Item 3. Quantitative and Qualitative Disclosures About Market Risk</w:t>
              </w:r>
            </w:hyperlink>
          </w:p>
        </w:tc>
        <w:tc>
          <w:tcPr>
            <w:tcW w:w="1440" w:type="dxa"/>
            <w:vAlign w:val="bottom"/>
            <w:gridSpan w:val="3"/>
          </w:tcPr>
          <w:p>
            <w:pPr>
              <w:jc w:val="right"/>
              <w:spacing w:after="0"/>
              <w:rPr>
                <w:rFonts w:ascii="Arial" w:cs="Arial" w:eastAsia="Arial" w:hAnsi="Arial"/>
                <w:sz w:val="17"/>
                <w:szCs w:val="17"/>
                <w:color w:val="0000FF"/>
              </w:rPr>
            </w:pPr>
            <w:hyperlink w:anchor="page46">
              <w:r>
                <w:rPr>
                  <w:rFonts w:ascii="Arial" w:cs="Arial" w:eastAsia="Arial" w:hAnsi="Arial"/>
                  <w:sz w:val="17"/>
                  <w:szCs w:val="17"/>
                  <w:color w:val="0000FF"/>
                </w:rPr>
                <w:t>43</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380" w:type="dxa"/>
            <w:vAlign w:val="bottom"/>
            <w:gridSpan w:val="1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7"/>
          </w:tcPr>
          <w:p>
            <w:pPr>
              <w:spacing w:after="0"/>
              <w:rPr>
                <w:rFonts w:ascii="Arial" w:cs="Arial" w:eastAsia="Arial" w:hAnsi="Arial"/>
                <w:sz w:val="17"/>
                <w:szCs w:val="17"/>
                <w:color w:val="0000FF"/>
                <w:w w:val="88"/>
              </w:rPr>
            </w:pPr>
            <w:hyperlink w:anchor="page46">
              <w:r>
                <w:rPr>
                  <w:rFonts w:ascii="Arial" w:cs="Arial" w:eastAsia="Arial" w:hAnsi="Arial"/>
                  <w:sz w:val="17"/>
                  <w:szCs w:val="17"/>
                  <w:color w:val="0000FF"/>
                  <w:w w:val="88"/>
                </w:rPr>
                <w:t>Item 4. Controls and Procedures</w:t>
              </w:r>
            </w:hyperlink>
          </w:p>
        </w:tc>
        <w:tc>
          <w:tcPr>
            <w:tcW w:w="4880" w:type="dxa"/>
            <w:vAlign w:val="bottom"/>
            <w:gridSpan w:val="14"/>
          </w:tcPr>
          <w:p>
            <w:pPr>
              <w:spacing w:after="0"/>
              <w:rPr>
                <w:sz w:val="20"/>
                <w:szCs w:val="20"/>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46">
              <w:r>
                <w:rPr>
                  <w:rFonts w:ascii="Arial" w:cs="Arial" w:eastAsia="Arial" w:hAnsi="Arial"/>
                  <w:sz w:val="17"/>
                  <w:szCs w:val="17"/>
                  <w:color w:val="0000FF"/>
                </w:rPr>
                <w:t>43</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gridSpan w:val="22"/>
          </w:tcPr>
          <w:p>
            <w:pPr>
              <w:spacing w:after="0"/>
              <w:rPr>
                <w:rFonts w:ascii="Arial" w:cs="Arial" w:eastAsia="Arial" w:hAnsi="Arial"/>
                <w:sz w:val="17"/>
                <w:szCs w:val="17"/>
                <w:b w:val="1"/>
                <w:bCs w:val="1"/>
                <w:color w:val="0000FF"/>
              </w:rPr>
            </w:pPr>
            <w:hyperlink w:anchor="page46">
              <w:r>
                <w:rPr>
                  <w:rFonts w:ascii="Arial" w:cs="Arial" w:eastAsia="Arial" w:hAnsi="Arial"/>
                  <w:sz w:val="17"/>
                  <w:szCs w:val="17"/>
                  <w:b w:val="1"/>
                  <w:bCs w:val="1"/>
                  <w:color w:val="0000FF"/>
                </w:rPr>
                <w:t>PART II. — OTHER INFORMATION</w:t>
              </w:r>
            </w:hyperlink>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680" w:type="dxa"/>
            <w:vAlign w:val="bottom"/>
            <w:tcBorders>
              <w:top w:val="single" w:sz="8" w:color="0000FF"/>
            </w:tcBorders>
            <w:gridSpan w:val="8"/>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Item 1A. Risk Factors</w:t>
              </w:r>
            </w:hyperlink>
          </w:p>
        </w:tc>
        <w:tc>
          <w:tcPr>
            <w:tcW w:w="4380" w:type="dxa"/>
            <w:vAlign w:val="bottom"/>
            <w:gridSpan w:val="13"/>
          </w:tcPr>
          <w:p>
            <w:pPr>
              <w:spacing w:after="0"/>
              <w:rPr>
                <w:sz w:val="20"/>
                <w:szCs w:val="20"/>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44</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58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5"/>
          </w:tcPr>
          <w:p>
            <w:pPr>
              <w:spacing w:after="0"/>
              <w:rPr>
                <w:rFonts w:ascii="Arial" w:cs="Arial" w:eastAsia="Arial" w:hAnsi="Arial"/>
                <w:sz w:val="17"/>
                <w:szCs w:val="17"/>
                <w:color w:val="0000FF"/>
                <w:w w:val="91"/>
              </w:rPr>
            </w:pPr>
            <w:hyperlink w:anchor="page85">
              <w:r>
                <w:rPr>
                  <w:rFonts w:ascii="Arial" w:cs="Arial" w:eastAsia="Arial" w:hAnsi="Arial"/>
                  <w:sz w:val="17"/>
                  <w:szCs w:val="17"/>
                  <w:color w:val="0000FF"/>
                  <w:w w:val="91"/>
                </w:rPr>
                <w:t>Item 6. Exhibits</w:t>
              </w:r>
            </w:hyperlink>
          </w:p>
        </w:tc>
        <w:tc>
          <w:tcPr>
            <w:tcW w:w="400" w:type="dxa"/>
            <w:vAlign w:val="bottom"/>
          </w:tcPr>
          <w:p>
            <w:pPr>
              <w:spacing w:after="0"/>
              <w:rPr>
                <w:sz w:val="20"/>
                <w:szCs w:val="20"/>
                <w:color w:val="auto"/>
              </w:rPr>
            </w:pPr>
          </w:p>
        </w:tc>
        <w:tc>
          <w:tcPr>
            <w:tcW w:w="5580" w:type="dxa"/>
            <w:vAlign w:val="bottom"/>
            <w:gridSpan w:val="15"/>
          </w:tcPr>
          <w:p>
            <w:pPr>
              <w:spacing w:after="0"/>
              <w:rPr>
                <w:sz w:val="20"/>
                <w:szCs w:val="20"/>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85">
              <w:r>
                <w:rPr>
                  <w:rFonts w:ascii="Arial" w:cs="Arial" w:eastAsia="Arial" w:hAnsi="Arial"/>
                  <w:sz w:val="17"/>
                  <w:szCs w:val="17"/>
                  <w:color w:val="0000FF"/>
                </w:rPr>
                <w:t>83</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98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gridSpan w:val="4"/>
          </w:tcPr>
          <w:p>
            <w:pPr>
              <w:spacing w:after="0"/>
              <w:rPr>
                <w:rFonts w:ascii="Arial" w:cs="Arial" w:eastAsia="Arial" w:hAnsi="Arial"/>
                <w:sz w:val="17"/>
                <w:szCs w:val="17"/>
                <w:color w:val="0000FF"/>
                <w:w w:val="92"/>
              </w:rPr>
            </w:pPr>
            <w:hyperlink w:anchor="page86">
              <w:r>
                <w:rPr>
                  <w:rFonts w:ascii="Arial" w:cs="Arial" w:eastAsia="Arial" w:hAnsi="Arial"/>
                  <w:sz w:val="17"/>
                  <w:szCs w:val="17"/>
                  <w:color w:val="0000FF"/>
                  <w:w w:val="92"/>
                </w:rPr>
                <w:t>SIGNATURES</w:t>
              </w:r>
            </w:hyperlink>
          </w:p>
        </w:tc>
        <w:tc>
          <w:tcPr>
            <w:tcW w:w="6140" w:type="dxa"/>
            <w:vAlign w:val="bottom"/>
            <w:gridSpan w:val="18"/>
          </w:tcPr>
          <w:p>
            <w:pPr>
              <w:spacing w:after="0"/>
              <w:rPr>
                <w:sz w:val="20"/>
                <w:szCs w:val="20"/>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86">
              <w:r>
                <w:rPr>
                  <w:rFonts w:ascii="Arial" w:cs="Arial" w:eastAsia="Arial" w:hAnsi="Arial"/>
                  <w:sz w:val="17"/>
                  <w:szCs w:val="17"/>
                  <w:color w:val="0000FF"/>
                </w:rPr>
                <w:t>84</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139"/>
          </w:cols>
          <w:pgMar w:left="320" w:top="109" w:right="1440"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PART I. — FINANCIAL INFORMATION</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1. Condensed Consolidated Financial Statements-(Unaudited)</w:t>
      </w: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December 31, 2020</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(See Note 1)</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349,364</w:t>
            </w:r>
          </w:p>
        </w:tc>
        <w:tc>
          <w:tcPr>
            <w:tcW w:w="0" w:type="dxa"/>
            <w:vAlign w:val="bottom"/>
          </w:tcPr>
          <w:p>
            <w:pPr>
              <w:spacing w:after="0"/>
              <w:rPr>
                <w:sz w:val="1"/>
                <w:szCs w:val="1"/>
                <w:color w:val="auto"/>
              </w:rPr>
            </w:pPr>
          </w:p>
        </w:tc>
      </w:tr>
      <w:tr>
        <w:trPr>
          <w:trHeight w:val="199"/>
        </w:trPr>
        <w:tc>
          <w:tcPr>
            <w:tcW w:w="7400" w:type="dxa"/>
            <w:vAlign w:val="bottom"/>
          </w:tcPr>
          <w:p>
            <w:pPr>
              <w:ind w:left="140"/>
              <w:spacing w:after="0"/>
              <w:rPr>
                <w:sz w:val="20"/>
                <w:szCs w:val="20"/>
                <w:color w:val="auto"/>
              </w:rPr>
            </w:pPr>
            <w:r>
              <w:rPr>
                <w:rFonts w:ascii="Arial" w:cs="Arial" w:eastAsia="Arial" w:hAnsi="Arial"/>
                <w:sz w:val="15"/>
                <w:szCs w:val="15"/>
                <w:color w:val="auto"/>
              </w:rPr>
              <w:t>Accounts receivable</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40,309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18,461</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Supplies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4,657</w:t>
            </w:r>
          </w:p>
        </w:tc>
        <w:tc>
          <w:tcPr>
            <w:tcW w:w="0" w:type="dxa"/>
            <w:vAlign w:val="bottom"/>
          </w:tcPr>
          <w:p>
            <w:pPr>
              <w:spacing w:after="0"/>
              <w:rPr>
                <w:sz w:val="1"/>
                <w:szCs w:val="1"/>
                <w:color w:val="auto"/>
              </w:rPr>
            </w:pPr>
          </w:p>
        </w:tc>
      </w:tr>
      <w:tr>
        <w:trPr>
          <w:trHeight w:val="199"/>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3,197</w:t>
            </w:r>
          </w:p>
        </w:tc>
        <w:tc>
          <w:tcPr>
            <w:tcW w:w="0" w:type="dxa"/>
            <w:vAlign w:val="bottom"/>
          </w:tcPr>
          <w:p>
            <w:pPr>
              <w:spacing w:after="0"/>
              <w:rPr>
                <w:sz w:val="1"/>
                <w:szCs w:val="1"/>
                <w:color w:val="auto"/>
              </w:rPr>
            </w:pPr>
          </w:p>
        </w:tc>
      </w:tr>
      <w:tr>
        <w:trPr>
          <w:trHeight w:val="199"/>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229,308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375,679</w:t>
            </w: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14,868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8,990</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Right-of-use assets, operating lease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7,843</w:t>
            </w: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209,521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59,924</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714,273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2,725</w:t>
            </w: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603</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1,399</w:t>
            </w:r>
          </w:p>
        </w:tc>
        <w:tc>
          <w:tcPr>
            <w:tcW w:w="0" w:type="dxa"/>
            <w:vAlign w:val="bottom"/>
          </w:tcPr>
          <w:p>
            <w:pPr>
              <w:spacing w:after="0"/>
              <w:rPr>
                <w:sz w:val="1"/>
                <w:szCs w:val="1"/>
                <w:color w:val="auto"/>
              </w:rPr>
            </w:pPr>
          </w:p>
        </w:tc>
      </w:tr>
      <w:tr>
        <w:trPr>
          <w:trHeight w:val="199"/>
        </w:trPr>
        <w:tc>
          <w:tcPr>
            <w:tcW w:w="7400" w:type="dxa"/>
            <w:vAlign w:val="bottom"/>
          </w:tcPr>
          <w:p>
            <w:pPr>
              <w:ind w:left="32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1,186,356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457,163</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4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3,116</w:t>
            </w:r>
          </w:p>
        </w:tc>
        <w:tc>
          <w:tcPr>
            <w:tcW w:w="0" w:type="dxa"/>
            <w:vAlign w:val="bottom"/>
          </w:tcPr>
          <w:p>
            <w:pPr>
              <w:spacing w:after="0"/>
              <w:rPr>
                <w:sz w:val="1"/>
                <w:szCs w:val="1"/>
                <w:color w:val="auto"/>
              </w:rPr>
            </w:pPr>
          </w:p>
        </w:tc>
      </w:tr>
      <w:tr>
        <w:trPr>
          <w:trHeight w:val="199"/>
        </w:trPr>
        <w:tc>
          <w:tcPr>
            <w:tcW w:w="7400" w:type="dxa"/>
            <w:vAlign w:val="bottom"/>
          </w:tcPr>
          <w:p>
            <w:pPr>
              <w:ind w:left="140"/>
              <w:spacing w:after="0"/>
              <w:rPr>
                <w:sz w:val="20"/>
                <w:szCs w:val="20"/>
                <w:color w:val="auto"/>
              </w:rPr>
            </w:pPr>
            <w:r>
              <w:rPr>
                <w:rFonts w:ascii="Arial" w:cs="Arial" w:eastAsia="Arial" w:hAnsi="Arial"/>
                <w:sz w:val="15"/>
                <w:szCs w:val="15"/>
                <w:color w:val="auto"/>
              </w:rPr>
              <w:t>Accrued liabilities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29,044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11,705</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portion of deferred revenue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0" w:type="dxa"/>
            <w:vAlign w:val="bottom"/>
          </w:tcPr>
          <w:p>
            <w:pPr>
              <w:spacing w:after="0"/>
              <w:rPr>
                <w:sz w:val="1"/>
                <w:szCs w:val="1"/>
                <w:color w:val="auto"/>
              </w:rPr>
            </w:pPr>
          </w:p>
        </w:tc>
      </w:tr>
      <w:tr>
        <w:trPr>
          <w:trHeight w:val="199"/>
        </w:trPr>
        <w:tc>
          <w:tcPr>
            <w:tcW w:w="7400" w:type="dxa"/>
            <w:vAlign w:val="bottom"/>
          </w:tcPr>
          <w:p>
            <w:pPr>
              <w:ind w:left="140"/>
              <w:spacing w:after="0"/>
              <w:rPr>
                <w:sz w:val="20"/>
                <w:szCs w:val="20"/>
                <w:color w:val="auto"/>
              </w:rPr>
            </w:pPr>
            <w:r>
              <w:rPr>
                <w:rFonts w:ascii="Arial" w:cs="Arial" w:eastAsia="Arial" w:hAnsi="Arial"/>
                <w:sz w:val="15"/>
                <w:szCs w:val="15"/>
                <w:color w:val="auto"/>
              </w:rPr>
              <w:t>Current portion of acquisition-related contingent consideration</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2,646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portion of operating lease liability</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1,589</w:t>
            </w:r>
          </w:p>
        </w:tc>
        <w:tc>
          <w:tcPr>
            <w:tcW w:w="0" w:type="dxa"/>
            <w:vAlign w:val="bottom"/>
          </w:tcPr>
          <w:p>
            <w:pPr>
              <w:spacing w:after="0"/>
              <w:rPr>
                <w:sz w:val="1"/>
                <w:szCs w:val="1"/>
                <w:color w:val="auto"/>
              </w:rPr>
            </w:pPr>
          </w:p>
        </w:tc>
      </w:tr>
      <w:tr>
        <w:trPr>
          <w:trHeight w:val="199"/>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Current portion of other liabilities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16,781</w:t>
            </w: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810</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revenue, net of current portion</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w:t>
            </w: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Deferred tax liability</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6,234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Acquisition-related contingent consideration, net of current portion</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7,594</w:t>
            </w: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Operating lease liability, net of current portion</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14,236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9,917</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74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79,276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35,931</w:t>
            </w:r>
          </w:p>
        </w:tc>
        <w:tc>
          <w:tcPr>
            <w:tcW w:w="0" w:type="dxa"/>
            <w:vAlign w:val="bottom"/>
          </w:tcPr>
          <w:p>
            <w:pPr>
              <w:spacing w:after="0"/>
              <w:rPr>
                <w:sz w:val="1"/>
                <w:szCs w:val="1"/>
                <w:color w:val="auto"/>
              </w:rPr>
            </w:pPr>
          </w:p>
        </w:tc>
      </w:tr>
      <w:tr>
        <w:trPr>
          <w:trHeight w:val="18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00" w:type="dxa"/>
            <w:vAlign w:val="bottom"/>
            <w:shd w:val="clear" w:color="auto" w:fill="CCEEFF"/>
          </w:tcPr>
          <w:p>
            <w:pPr>
              <w:ind w:left="180"/>
              <w:spacing w:after="0" w:line="160" w:lineRule="exact"/>
              <w:rPr>
                <w:sz w:val="20"/>
                <w:szCs w:val="20"/>
                <w:color w:val="auto"/>
              </w:rPr>
            </w:pPr>
            <w:r>
              <w:rPr>
                <w:rFonts w:ascii="Arial" w:cs="Arial" w:eastAsia="Arial" w:hAnsi="Arial"/>
                <w:sz w:val="15"/>
                <w:szCs w:val="15"/>
                <w:color w:val="auto"/>
                <w:w w:val="91"/>
              </w:rPr>
              <w:t>Preferred stock, $0.001 par value; 5,000,000 shares authorized, 0 shares issued and outstanding as of September 30,</w:t>
            </w:r>
          </w:p>
        </w:tc>
        <w:tc>
          <w:tcPr>
            <w:tcW w:w="200" w:type="dxa"/>
            <w:vAlign w:val="bottom"/>
            <w:shd w:val="clear" w:color="auto" w:fill="CCEEFF"/>
          </w:tcPr>
          <w:p>
            <w:pPr>
              <w:spacing w:after="0"/>
              <w:rPr>
                <w:sz w:val="13"/>
                <w:szCs w:val="13"/>
                <w:color w:val="auto"/>
              </w:rPr>
            </w:pPr>
          </w:p>
        </w:tc>
        <w:tc>
          <w:tcPr>
            <w:tcW w:w="1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2021 and December 31, 2020</w:t>
            </w:r>
          </w:p>
        </w:tc>
        <w:tc>
          <w:tcPr>
            <w:tcW w:w="200" w:type="dxa"/>
            <w:vAlign w:val="bottom"/>
            <w:shd w:val="clear" w:color="auto" w:fill="CCEEFF"/>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400" w:type="dxa"/>
            <w:vAlign w:val="bottom"/>
          </w:tcPr>
          <w:p>
            <w:pPr>
              <w:ind w:left="180"/>
              <w:spacing w:after="0" w:line="157" w:lineRule="exact"/>
              <w:rPr>
                <w:sz w:val="20"/>
                <w:szCs w:val="20"/>
                <w:color w:val="auto"/>
              </w:rPr>
            </w:pPr>
            <w:r>
              <w:rPr>
                <w:rFonts w:ascii="Arial" w:cs="Arial" w:eastAsia="Arial" w:hAnsi="Arial"/>
                <w:sz w:val="15"/>
                <w:szCs w:val="15"/>
                <w:color w:val="auto"/>
                <w:w w:val="95"/>
              </w:rPr>
              <w:t>Common stock, $0.001 par value; 125,000,000 shares authorized, 71,032,336 and 58,200,526 shares issued and</w:t>
            </w: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5"/>
                <w:szCs w:val="15"/>
                <w:color w:val="auto"/>
              </w:rPr>
              <w:t>outstanding as of September 30, 2021 and December 31, 2020, respectively</w:t>
            </w:r>
          </w:p>
        </w:tc>
        <w:tc>
          <w:tcPr>
            <w:tcW w:w="2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1,461,778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702,768</w:t>
            </w:r>
          </w:p>
        </w:tc>
        <w:tc>
          <w:tcPr>
            <w:tcW w:w="0" w:type="dxa"/>
            <w:vAlign w:val="bottom"/>
          </w:tcPr>
          <w:p>
            <w:pPr>
              <w:spacing w:after="0"/>
              <w:rPr>
                <w:sz w:val="1"/>
                <w:szCs w:val="1"/>
                <w:color w:val="auto"/>
              </w:rPr>
            </w:pPr>
          </w:p>
        </w:tc>
      </w:tr>
      <w:tr>
        <w:trPr>
          <w:trHeight w:val="199"/>
        </w:trPr>
        <w:tc>
          <w:tcPr>
            <w:tcW w:w="7400" w:type="dxa"/>
            <w:vAlign w:val="bottom"/>
          </w:tcPr>
          <w:p>
            <w:pPr>
              <w:ind w:left="140"/>
              <w:spacing w:after="0"/>
              <w:rPr>
                <w:sz w:val="20"/>
                <w:szCs w:val="20"/>
                <w:color w:val="auto"/>
              </w:rPr>
            </w:pPr>
            <w:r>
              <w:rPr>
                <w:rFonts w:ascii="Arial" w:cs="Arial" w:eastAsia="Arial" w:hAnsi="Arial"/>
                <w:sz w:val="15"/>
                <w:szCs w:val="15"/>
                <w:color w:val="auto"/>
              </w:rPr>
              <w:t>Accumulated deficit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(346,629)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(281,594)</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(8,140)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stockholders’ equity</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1,107,080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421,232</w:t>
            </w:r>
          </w:p>
        </w:tc>
        <w:tc>
          <w:tcPr>
            <w:tcW w:w="0" w:type="dxa"/>
            <w:vAlign w:val="bottom"/>
          </w:tcPr>
          <w:p>
            <w:pPr>
              <w:spacing w:after="0"/>
              <w:rPr>
                <w:sz w:val="1"/>
                <w:szCs w:val="1"/>
                <w:color w:val="auto"/>
              </w:rPr>
            </w:pPr>
          </w:p>
        </w:tc>
      </w:tr>
      <w:tr>
        <w:trPr>
          <w:trHeight w:val="22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1,186,356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457,163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gridSpan w:val="5"/>
          </w:tcPr>
          <w:p>
            <w:pPr>
              <w:ind w:left="220"/>
              <w:spacing w:after="0"/>
              <w:rPr>
                <w:sz w:val="20"/>
                <w:szCs w:val="20"/>
                <w:color w:val="auto"/>
              </w:rPr>
            </w:pPr>
            <w:r>
              <w:rPr>
                <w:rFonts w:ascii="Arial" w:cs="Arial" w:eastAsia="Arial" w:hAnsi="Arial"/>
                <w:sz w:val="15"/>
                <w:szCs w:val="15"/>
                <w:b w:val="1"/>
                <w:bCs w:val="1"/>
                <w:color w:val="auto"/>
              </w:rPr>
              <w:t>Three Months Ended September 30,</w:t>
            </w:r>
          </w:p>
        </w:tc>
        <w:tc>
          <w:tcPr>
            <w:tcW w:w="320" w:type="dxa"/>
            <w:vAlign w:val="bottom"/>
          </w:tcPr>
          <w:p>
            <w:pPr>
              <w:spacing w:after="0"/>
              <w:rPr>
                <w:sz w:val="17"/>
                <w:szCs w:val="17"/>
                <w:color w:val="auto"/>
              </w:rPr>
            </w:pPr>
          </w:p>
        </w:tc>
        <w:tc>
          <w:tcPr>
            <w:tcW w:w="3040" w:type="dxa"/>
            <w:vAlign w:val="bottom"/>
            <w:gridSpan w:val="4"/>
          </w:tcPr>
          <w:p>
            <w:pPr>
              <w:jc w:val="right"/>
              <w:ind w:right="46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44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2020</w:t>
            </w:r>
          </w:p>
        </w:tc>
      </w:tr>
      <w:tr>
        <w:trPr>
          <w:trHeight w:val="199"/>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9"/>
        </w:trPr>
        <w:tc>
          <w:tcPr>
            <w:tcW w:w="4400" w:type="dxa"/>
            <w:vAlign w:val="bottom"/>
          </w:tcPr>
          <w:p>
            <w:pPr>
              <w:ind w:left="140"/>
              <w:spacing w:after="0"/>
              <w:rPr>
                <w:sz w:val="20"/>
                <w:szCs w:val="20"/>
                <w:color w:val="auto"/>
              </w:rPr>
            </w:pPr>
            <w:r>
              <w:rPr>
                <w:rFonts w:ascii="Arial" w:cs="Arial" w:eastAsia="Arial" w:hAnsi="Arial"/>
                <w:sz w:val="15"/>
                <w:szCs w:val="15"/>
                <w:color w:val="auto"/>
              </w:rPr>
              <w:t>Testing revenue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50,897</w:t>
            </w:r>
          </w:p>
        </w:tc>
        <w:tc>
          <w:tcPr>
            <w:tcW w:w="10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28,270</w:t>
            </w:r>
          </w:p>
        </w:tc>
        <w:tc>
          <w:tcPr>
            <w:tcW w:w="10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134,768</w:t>
            </w:r>
          </w:p>
        </w:tc>
        <w:tc>
          <w:tcPr>
            <w:tcW w:w="12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70,473</w:t>
            </w:r>
          </w:p>
        </w:tc>
      </w:tr>
      <w:tr>
        <w:trPr>
          <w:trHeight w:val="206"/>
        </w:trPr>
        <w:tc>
          <w:tcPr>
            <w:tcW w:w="4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Product revenue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7,149</w:t>
            </w:r>
          </w:p>
        </w:tc>
      </w:tr>
      <w:tr>
        <w:trPr>
          <w:trHeight w:val="19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Biopharmaceutical and other revenue</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8,704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5,325</w:t>
            </w:r>
          </w:p>
        </w:tc>
      </w:tr>
      <w:tr>
        <w:trPr>
          <w:trHeight w:val="199"/>
        </w:trPr>
        <w:tc>
          <w:tcPr>
            <w:tcW w:w="4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revenue</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60,370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31,121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152,178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82,947</w:t>
            </w:r>
          </w:p>
        </w:tc>
      </w:tr>
      <w:tr>
        <w:trPr>
          <w:trHeight w:val="179"/>
        </w:trPr>
        <w:tc>
          <w:tcPr>
            <w:tcW w:w="440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6"/>
        </w:trPr>
        <w:tc>
          <w:tcPr>
            <w:tcW w:w="4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testing revenue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16,073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42,494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26,157</w:t>
            </w:r>
          </w:p>
        </w:tc>
      </w:tr>
      <w:tr>
        <w:trPr>
          <w:trHeight w:val="199"/>
        </w:trPr>
        <w:tc>
          <w:tcPr>
            <w:tcW w:w="4400" w:type="dxa"/>
            <w:vAlign w:val="bottom"/>
          </w:tcPr>
          <w:p>
            <w:pPr>
              <w:ind w:left="140"/>
              <w:spacing w:after="0"/>
              <w:rPr>
                <w:sz w:val="20"/>
                <w:szCs w:val="20"/>
                <w:color w:val="auto"/>
              </w:rPr>
            </w:pPr>
            <w:r>
              <w:rPr>
                <w:rFonts w:ascii="Arial" w:cs="Arial" w:eastAsia="Arial" w:hAnsi="Arial"/>
                <w:sz w:val="15"/>
                <w:szCs w:val="15"/>
                <w:color w:val="auto"/>
              </w:rPr>
              <w:t>Cost of product revenue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1,048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4,304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3,539</w:t>
            </w:r>
          </w:p>
        </w:tc>
      </w:tr>
      <w:tr>
        <w:trPr>
          <w:trHeight w:val="206"/>
        </w:trPr>
        <w:tc>
          <w:tcPr>
            <w:tcW w:w="4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biopharmaceutical and other revenue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w:t>
            </w:r>
          </w:p>
        </w:tc>
      </w:tr>
      <w:tr>
        <w:trPr>
          <w:trHeight w:val="199"/>
        </w:trPr>
        <w:tc>
          <w:tcPr>
            <w:tcW w:w="440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8,006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4,042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19,591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12,618</w:t>
            </w:r>
          </w:p>
        </w:tc>
      </w:tr>
      <w:tr>
        <w:trPr>
          <w:trHeight w:val="206"/>
        </w:trPr>
        <w:tc>
          <w:tcPr>
            <w:tcW w:w="4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Selling and marketing</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57,628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39,240</w:t>
            </w:r>
          </w:p>
        </w:tc>
      </w:tr>
      <w:tr>
        <w:trPr>
          <w:trHeight w:val="199"/>
        </w:trPr>
        <w:tc>
          <w:tcPr>
            <w:tcW w:w="440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20,749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8,546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82,504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24,316</w:t>
            </w:r>
          </w:p>
        </w:tc>
      </w:tr>
      <w:tr>
        <w:trPr>
          <w:trHeight w:val="206"/>
        </w:trPr>
        <w:tc>
          <w:tcPr>
            <w:tcW w:w="4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asset amortization</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1,274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10,507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3,822</w:t>
            </w:r>
          </w:p>
        </w:tc>
      </w:tr>
      <w:tr>
        <w:trPr>
          <w:trHeight w:val="192"/>
        </w:trPr>
        <w:tc>
          <w:tcPr>
            <w:tcW w:w="44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operating expenses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77,051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35,187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221,748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110,264</w:t>
            </w:r>
          </w:p>
        </w:tc>
      </w:tr>
      <w:tr>
        <w:trPr>
          <w:trHeight w:val="199"/>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(69,570)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(27,317)</w:t>
            </w:r>
          </w:p>
        </w:tc>
      </w:tr>
      <w:tr>
        <w:trPr>
          <w:trHeight w:val="19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(loss), net</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w:t>
            </w:r>
          </w:p>
        </w:tc>
      </w:tr>
      <w:tr>
        <w:trPr>
          <w:trHeight w:val="199"/>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before income tax benefit</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(70,332)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(26,865)</w:t>
            </w:r>
          </w:p>
        </w:tc>
      </w:tr>
      <w:tr>
        <w:trPr>
          <w:trHeight w:val="199"/>
        </w:trPr>
        <w:tc>
          <w:tcPr>
            <w:tcW w:w="4400" w:type="dxa"/>
            <w:vAlign w:val="bottom"/>
          </w:tcPr>
          <w:p>
            <w:pPr>
              <w:ind w:left="20"/>
              <w:spacing w:after="0"/>
              <w:rPr>
                <w:sz w:val="20"/>
                <w:szCs w:val="20"/>
                <w:color w:val="auto"/>
              </w:rPr>
            </w:pPr>
            <w:r>
              <w:rPr>
                <w:rFonts w:ascii="Arial" w:cs="Arial" w:eastAsia="Arial" w:hAnsi="Arial"/>
                <w:sz w:val="15"/>
                <w:szCs w:val="15"/>
                <w:color w:val="auto"/>
              </w:rPr>
              <w:t>Income tax benefit</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(1,350)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(5,297)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3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(26,865)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4400" w:type="dxa"/>
            <w:vAlign w:val="bottom"/>
          </w:tcPr>
          <w:p>
            <w:pPr>
              <w:ind w:left="20"/>
              <w:spacing w:after="0"/>
              <w:rPr>
                <w:sz w:val="20"/>
                <w:szCs w:val="20"/>
                <w:color w:val="auto"/>
              </w:rPr>
            </w:pPr>
            <w:r>
              <w:rPr>
                <w:rFonts w:ascii="Arial" w:cs="Arial" w:eastAsia="Arial" w:hAnsi="Arial"/>
                <w:sz w:val="15"/>
                <w:szCs w:val="15"/>
                <w:color w:val="auto"/>
              </w:rPr>
              <w:t>Net loss per common share, basic and diluted</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(0.20)</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(0.97)</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(0.52)</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3"/>
              </w:rPr>
              <w:t>Shares used to compute net loss per common share, 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69,743,733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54,858,052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66,820,654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51,632,750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loss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Other comprehensive loss:</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Change in currency translation adjustments</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400"/>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Condensed Consolidated Statements of Comprehensive Loss</w:t>
      </w:r>
    </w:p>
    <w:p>
      <w:pPr>
        <w:spacing w:after="0" w:line="42" w:lineRule="exact"/>
        <w:rPr>
          <w:sz w:val="20"/>
          <w:szCs w:val="20"/>
          <w:color w:val="auto"/>
        </w:rPr>
      </w:pPr>
    </w:p>
    <w:p>
      <w:pPr>
        <w:jc w:val="center"/>
        <w:ind w:right="3360"/>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3360"/>
        <w:spacing w:after="0"/>
        <w:rPr>
          <w:sz w:val="20"/>
          <w:szCs w:val="20"/>
          <w:color w:val="auto"/>
        </w:rPr>
      </w:pPr>
      <w:r>
        <w:rPr>
          <w:rFonts w:ascii="Arial" w:cs="Arial" w:eastAsia="Arial" w:hAnsi="Arial"/>
          <w:sz w:val="17"/>
          <w:szCs w:val="17"/>
          <w:b w:val="1"/>
          <w:bCs w:val="1"/>
          <w:color w:val="auto"/>
        </w:rPr>
        <w:t>(In thousands)</w:t>
      </w:r>
    </w:p>
    <w:p>
      <w:pPr>
        <w:spacing w:after="0" w:line="351" w:lineRule="exact"/>
        <w:rPr>
          <w:sz w:val="20"/>
          <w:szCs w:val="20"/>
          <w:color w:val="auto"/>
        </w:rPr>
      </w:pPr>
    </w:p>
    <w:tbl>
      <w:tblPr>
        <w:tblLayout w:type="fixed"/>
        <w:tblInd w:w="880" w:type="dxa"/>
        <w:tblCellMar>
          <w:top w:w="0" w:type="dxa"/>
          <w:left w:w="0" w:type="dxa"/>
          <w:bottom w:w="0" w:type="dxa"/>
          <w:right w:w="0" w:type="dxa"/>
        </w:tblCellMar>
      </w:tblPr>
      <w:tr>
        <w:trPr>
          <w:trHeight w:val="199"/>
        </w:trPr>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2020</w:t>
            </w:r>
          </w:p>
        </w:tc>
      </w:tr>
      <w:tr>
        <w:trPr>
          <w:trHeight w:val="192"/>
        </w:trPr>
        <w:tc>
          <w:tcPr>
            <w:tcW w:w="1040" w:type="dxa"/>
            <w:vAlign w:val="bottom"/>
          </w:tcPr>
          <w:p>
            <w:pPr>
              <w:jc w:val="right"/>
              <w:ind w:right="86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(14,129)</w:t>
            </w:r>
          </w:p>
        </w:tc>
        <w:tc>
          <w:tcPr>
            <w:tcW w:w="100" w:type="dxa"/>
            <w:vAlign w:val="bottom"/>
          </w:tcPr>
          <w:p>
            <w:pPr>
              <w:spacing w:after="0"/>
              <w:rPr>
                <w:sz w:val="16"/>
                <w:szCs w:val="16"/>
                <w:color w:val="auto"/>
              </w:rPr>
            </w:pPr>
          </w:p>
        </w:tc>
        <w:tc>
          <w:tcPr>
            <w:tcW w:w="1140" w:type="dxa"/>
            <w:vAlign w:val="bottom"/>
          </w:tcPr>
          <w:p>
            <w:pPr>
              <w:jc w:val="right"/>
              <w:ind w:right="964"/>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2"/>
              </w:rPr>
              <w:t>(4,124)</w:t>
            </w:r>
          </w:p>
        </w:tc>
        <w:tc>
          <w:tcPr>
            <w:tcW w:w="10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(65,035)</w:t>
            </w:r>
          </w:p>
        </w:tc>
        <w:tc>
          <w:tcPr>
            <w:tcW w:w="120" w:type="dxa"/>
            <w:vAlign w:val="bottom"/>
          </w:tcPr>
          <w:p>
            <w:pPr>
              <w:spacing w:after="0"/>
              <w:rPr>
                <w:sz w:val="16"/>
                <w:szCs w:val="16"/>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(26,865)</w:t>
            </w:r>
          </w:p>
        </w:tc>
      </w:tr>
      <w:tr>
        <w:trPr>
          <w:trHeight w:val="406"/>
        </w:trPr>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(8,140)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gridSpan w:val="2"/>
          </w:tcPr>
          <w:p>
            <w:pPr>
              <w:ind w:lef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(8,140)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8"/>
        </w:trPr>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192"/>
        </w:trPr>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(22,269)</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964"/>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(4,124)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(73,175)</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(26,865)</w:t>
            </w: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-715645</wp:posOffset>
            </wp:positionV>
            <wp:extent cx="71405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3716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-450215</wp:posOffset>
            </wp:positionV>
            <wp:extent cx="714057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2890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-168275</wp:posOffset>
            </wp:positionV>
            <wp:extent cx="7140575"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53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660"/>
            <w:col w:w="7720"/>
          </w:cols>
          <w:pgMar w:left="320" w:top="127" w:right="339" w:bottom="1440" w:gutter="0" w:footer="0" w:header="0"/>
        </w:sectPr>
      </w:pPr>
    </w:p>
    <w:p>
      <w:pPr>
        <w:spacing w:after="0" w:line="6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4"/>
                <w:szCs w:val="14"/>
                <w:color w:val="auto"/>
              </w:rPr>
            </w:pPr>
          </w:p>
        </w:tc>
        <w:tc>
          <w:tcPr>
            <w:tcW w:w="2040" w:type="dxa"/>
            <w:vAlign w:val="bottom"/>
            <w:gridSpan w:val="3"/>
            <w:vMerge w:val="restart"/>
          </w:tcPr>
          <w:p>
            <w:pPr>
              <w:jc w:val="right"/>
              <w:ind w:right="324"/>
              <w:spacing w:after="0"/>
              <w:rPr>
                <w:sz w:val="20"/>
                <w:szCs w:val="20"/>
                <w:color w:val="auto"/>
              </w:rPr>
            </w:pPr>
            <w:r>
              <w:rPr>
                <w:rFonts w:ascii="Arial" w:cs="Arial" w:eastAsia="Arial" w:hAnsi="Arial"/>
                <w:sz w:val="15"/>
                <w:szCs w:val="15"/>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Additional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0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39"/>
        </w:trPr>
        <w:tc>
          <w:tcPr>
            <w:tcW w:w="326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32" w:lineRule="exact"/>
              <w:rPr>
                <w:sz w:val="20"/>
                <w:szCs w:val="20"/>
                <w:color w:val="auto"/>
              </w:rPr>
            </w:pPr>
            <w:r>
              <w:rPr>
                <w:rFonts w:ascii="Arial" w:cs="Arial" w:eastAsia="Arial" w:hAnsi="Arial"/>
                <w:sz w:val="15"/>
                <w:szCs w:val="15"/>
                <w:b w:val="1"/>
                <w:bCs w:val="1"/>
                <w:color w:val="auto"/>
                <w:w w:val="95"/>
              </w:rPr>
              <w:t>Paid-in</w:t>
            </w:r>
          </w:p>
        </w:tc>
        <w:tc>
          <w:tcPr>
            <w:tcW w:w="140" w:type="dxa"/>
            <w:vAlign w:val="bottom"/>
          </w:tcPr>
          <w:p>
            <w:pPr>
              <w:spacing w:after="0"/>
              <w:rPr>
                <w:sz w:val="12"/>
                <w:szCs w:val="12"/>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5"/>
                <w:szCs w:val="15"/>
                <w:b w:val="1"/>
                <w:bCs w:val="1"/>
                <w:color w:val="auto"/>
              </w:rPr>
              <w:t>Accumulated</w:t>
            </w:r>
          </w:p>
        </w:tc>
        <w:tc>
          <w:tcPr>
            <w:tcW w:w="1540" w:type="dxa"/>
            <w:vAlign w:val="bottom"/>
            <w:gridSpan w:val="3"/>
          </w:tcPr>
          <w:p>
            <w:pPr>
              <w:jc w:val="center"/>
              <w:ind w:right="100"/>
              <w:spacing w:after="0" w:line="132" w:lineRule="exact"/>
              <w:rPr>
                <w:sz w:val="20"/>
                <w:szCs w:val="20"/>
                <w:color w:val="auto"/>
              </w:rPr>
            </w:pPr>
            <w:r>
              <w:rPr>
                <w:rFonts w:ascii="Arial" w:cs="Arial" w:eastAsia="Arial" w:hAnsi="Arial"/>
                <w:sz w:val="15"/>
                <w:szCs w:val="15"/>
                <w:b w:val="1"/>
                <w:bCs w:val="1"/>
                <w:color w:val="auto"/>
                <w:w w:val="92"/>
              </w:rPr>
              <w:t>Accumulated Other</w:t>
            </w:r>
          </w:p>
        </w:tc>
        <w:tc>
          <w:tcPr>
            <w:tcW w:w="180" w:type="dxa"/>
            <w:vAlign w:val="bottom"/>
          </w:tcPr>
          <w:p>
            <w:pPr>
              <w:spacing w:after="0"/>
              <w:rPr>
                <w:sz w:val="12"/>
                <w:szCs w:val="12"/>
                <w:color w:val="auto"/>
              </w:rPr>
            </w:pPr>
          </w:p>
        </w:tc>
        <w:tc>
          <w:tcPr>
            <w:tcW w:w="1220" w:type="dxa"/>
            <w:vAlign w:val="bottom"/>
          </w:tcPr>
          <w:p>
            <w:pPr>
              <w:jc w:val="center"/>
              <w:ind w:right="104"/>
              <w:spacing w:after="0" w:line="132"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5"/>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Comprehensive 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June 30, 2021</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67,472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4"/>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1,303,610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(332,500)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971,177</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5"/>
                <w:szCs w:val="15"/>
                <w:color w:val="auto"/>
              </w:rPr>
              <w:t>Issuance of common stock for acquisition</w:t>
            </w:r>
          </w:p>
        </w:tc>
        <w:tc>
          <w:tcPr>
            <w:tcW w:w="1080" w:type="dxa"/>
            <w:vAlign w:val="bottom"/>
          </w:tcPr>
          <w:p>
            <w:pPr>
              <w:jc w:val="right"/>
              <w:spacing w:after="0"/>
              <w:rPr>
                <w:sz w:val="20"/>
                <w:szCs w:val="20"/>
                <w:color w:val="auto"/>
              </w:rPr>
            </w:pPr>
            <w:r>
              <w:rPr>
                <w:rFonts w:ascii="Arial" w:cs="Arial" w:eastAsia="Arial" w:hAnsi="Arial"/>
                <w:sz w:val="15"/>
                <w:szCs w:val="15"/>
                <w:color w:val="auto"/>
              </w:rPr>
              <w:t>3,347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147,086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147,089</w:t>
            </w:r>
          </w:p>
        </w:tc>
        <w:tc>
          <w:tcPr>
            <w:tcW w:w="0" w:type="dxa"/>
            <w:vAlign w:val="bottom"/>
          </w:tcPr>
          <w:p>
            <w:pPr>
              <w:spacing w:after="0"/>
              <w:rPr>
                <w:sz w:val="1"/>
                <w:szCs w:val="1"/>
                <w:color w:val="auto"/>
              </w:rPr>
            </w:pPr>
          </w:p>
        </w:tc>
      </w:tr>
      <w:tr>
        <w:trPr>
          <w:trHeight w:val="160"/>
        </w:trPr>
        <w:tc>
          <w:tcPr>
            <w:tcW w:w="3260" w:type="dxa"/>
            <w:vAlign w:val="bottom"/>
            <w:shd w:val="clear" w:color="auto" w:fill="CCEEFF"/>
          </w:tcPr>
          <w:p>
            <w:pPr>
              <w:ind w:left="20"/>
              <w:spacing w:after="0" w:line="160" w:lineRule="exact"/>
              <w:rPr>
                <w:sz w:val="20"/>
                <w:szCs w:val="20"/>
                <w:color w:val="auto"/>
              </w:rPr>
            </w:pPr>
            <w:r>
              <w:rPr>
                <w:rFonts w:ascii="Arial" w:cs="Arial" w:eastAsia="Arial" w:hAnsi="Arial"/>
                <w:sz w:val="15"/>
                <w:szCs w:val="15"/>
                <w:color w:val="auto"/>
              </w:rPr>
              <w:t>Issuance of common stock on exercise of stock</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2,844</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options and vesting of restricted stock units</w:t>
            </w: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260" w:type="dxa"/>
            <w:vAlign w:val="bottom"/>
          </w:tcPr>
          <w:p>
            <w:pPr>
              <w:ind w:left="20"/>
              <w:spacing w:after="0" w:line="157" w:lineRule="exact"/>
              <w:rPr>
                <w:sz w:val="20"/>
                <w:szCs w:val="20"/>
                <w:color w:val="auto"/>
              </w:rPr>
            </w:pPr>
            <w:r>
              <w:rPr>
                <w:rFonts w:ascii="Arial" w:cs="Arial" w:eastAsia="Arial" w:hAnsi="Arial"/>
                <w:sz w:val="15"/>
                <w:szCs w:val="15"/>
                <w:color w:val="auto"/>
                <w:w w:val="98"/>
              </w:rPr>
              <w:t>Issuance of common stock under employee stock</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1,195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1,195</w:t>
            </w:r>
          </w:p>
        </w:tc>
        <w:tc>
          <w:tcPr>
            <w:tcW w:w="0" w:type="dxa"/>
            <w:vAlign w:val="bottom"/>
          </w:tcPr>
          <w:p>
            <w:pPr>
              <w:spacing w:after="0"/>
              <w:rPr>
                <w:sz w:val="1"/>
                <w:szCs w:val="1"/>
                <w:color w:val="auto"/>
              </w:rPr>
            </w:pPr>
          </w:p>
        </w:tc>
      </w:tr>
      <w:tr>
        <w:trPr>
          <w:trHeight w:val="195"/>
        </w:trPr>
        <w:tc>
          <w:tcPr>
            <w:tcW w:w="3260" w:type="dxa"/>
            <w:vAlign w:val="bottom"/>
          </w:tcPr>
          <w:p>
            <w:pPr>
              <w:ind w:left="100"/>
              <w:spacing w:after="0"/>
              <w:rPr>
                <w:sz w:val="20"/>
                <w:szCs w:val="20"/>
                <w:color w:val="auto"/>
              </w:rPr>
            </w:pPr>
            <w:r>
              <w:rPr>
                <w:rFonts w:ascii="Arial" w:cs="Arial" w:eastAsia="Arial" w:hAnsi="Arial"/>
                <w:sz w:val="15"/>
                <w:szCs w:val="15"/>
                <w:color w:val="auto"/>
              </w:rPr>
              <w:t>purchase plan (ESPP)</w:t>
            </w: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5"/>
                <w:szCs w:val="15"/>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7,359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7,359</w:t>
            </w: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1"/>
              </w:rPr>
              <w:t>Stock-based compensation expense (non-employee)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5"/>
                <w:szCs w:val="15"/>
                <w:color w:val="auto"/>
              </w:rPr>
              <w:t>Stock-based compensation expense (ESPP)</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(14,129)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(14,129)</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5"/>
                <w:szCs w:val="15"/>
                <w:color w:val="auto"/>
              </w:rPr>
              <w:t>Comprehensive loss</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900" w:type="dxa"/>
            <w:vAlign w:val="bottom"/>
          </w:tcPr>
          <w:p>
            <w:pPr>
              <w:ind w:left="420"/>
              <w:spacing w:after="0"/>
              <w:rPr>
                <w:sz w:val="20"/>
                <w:szCs w:val="20"/>
                <w:color w:val="auto"/>
              </w:rPr>
            </w:pPr>
            <w:r>
              <w:rPr>
                <w:rFonts w:ascii="Arial" w:cs="Arial" w:eastAsia="Arial" w:hAnsi="Arial"/>
                <w:sz w:val="15"/>
                <w:szCs w:val="15"/>
                <w:color w:val="auto"/>
                <w:w w:val="96"/>
              </w:rPr>
              <w:t>(8,140)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(8,140)</w:t>
            </w:r>
          </w:p>
        </w:tc>
        <w:tc>
          <w:tcPr>
            <w:tcW w:w="0" w:type="dxa"/>
            <w:vAlign w:val="bottom"/>
          </w:tcPr>
          <w:p>
            <w:pPr>
              <w:spacing w:after="0"/>
              <w:rPr>
                <w:sz w:val="1"/>
                <w:szCs w:val="1"/>
                <w:color w:val="auto"/>
              </w:rPr>
            </w:pPr>
          </w:p>
        </w:tc>
      </w:tr>
      <w:tr>
        <w:trPr>
          <w:trHeight w:val="224"/>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September 30,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1,461,778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(346,629)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5"/>
                <w:szCs w:val="15"/>
                <w:color w:val="auto"/>
                <w:w w:val="96"/>
              </w:rPr>
              <w:t>(8,140)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1,107,080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58,201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4"/>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702,768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(281,594)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421,232</w:t>
            </w:r>
          </w:p>
        </w:tc>
        <w:tc>
          <w:tcPr>
            <w:tcW w:w="0" w:type="dxa"/>
            <w:vAlign w:val="bottom"/>
          </w:tcPr>
          <w:p>
            <w:pPr>
              <w:spacing w:after="0"/>
              <w:rPr>
                <w:sz w:val="1"/>
                <w:szCs w:val="1"/>
                <w:color w:val="auto"/>
              </w:rPr>
            </w:pPr>
          </w:p>
        </w:tc>
      </w:tr>
      <w:tr>
        <w:trPr>
          <w:trHeight w:val="157"/>
        </w:trPr>
        <w:tc>
          <w:tcPr>
            <w:tcW w:w="3260" w:type="dxa"/>
            <w:vAlign w:val="bottom"/>
          </w:tcPr>
          <w:p>
            <w:pPr>
              <w:ind w:left="20"/>
              <w:spacing w:after="0" w:line="157" w:lineRule="exact"/>
              <w:rPr>
                <w:sz w:val="20"/>
                <w:szCs w:val="20"/>
                <w:color w:val="auto"/>
              </w:rPr>
            </w:pPr>
            <w:r>
              <w:rPr>
                <w:rFonts w:ascii="Arial" w:cs="Arial" w:eastAsia="Arial" w:hAnsi="Arial"/>
                <w:sz w:val="15"/>
                <w:szCs w:val="15"/>
                <w:color w:val="auto"/>
              </w:rPr>
              <w:t>Sale of common stock in a public offering, net of</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8,547</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593,812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593,821</w:t>
            </w:r>
          </w:p>
        </w:tc>
        <w:tc>
          <w:tcPr>
            <w:tcW w:w="0" w:type="dxa"/>
            <w:vAlign w:val="bottom"/>
          </w:tcPr>
          <w:p>
            <w:pPr>
              <w:spacing w:after="0"/>
              <w:rPr>
                <w:sz w:val="1"/>
                <w:szCs w:val="1"/>
                <w:color w:val="auto"/>
              </w:rPr>
            </w:pPr>
          </w:p>
        </w:tc>
      </w:tr>
      <w:tr>
        <w:trPr>
          <w:trHeight w:val="195"/>
        </w:trPr>
        <w:tc>
          <w:tcPr>
            <w:tcW w:w="3260" w:type="dxa"/>
            <w:vAlign w:val="bottom"/>
          </w:tcPr>
          <w:p>
            <w:pPr>
              <w:ind w:left="100"/>
              <w:spacing w:after="0"/>
              <w:rPr>
                <w:sz w:val="20"/>
                <w:szCs w:val="20"/>
                <w:color w:val="auto"/>
              </w:rPr>
            </w:pPr>
            <w:r>
              <w:rPr>
                <w:rFonts w:ascii="Arial" w:cs="Arial" w:eastAsia="Arial" w:hAnsi="Arial"/>
                <w:sz w:val="15"/>
                <w:szCs w:val="15"/>
                <w:color w:val="auto"/>
              </w:rPr>
              <w:t>offering costs of $38,677</w:t>
            </w: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common stock for acquisition</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3,347</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147,086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147,089</w:t>
            </w:r>
          </w:p>
        </w:tc>
        <w:tc>
          <w:tcPr>
            <w:tcW w:w="0" w:type="dxa"/>
            <w:vAlign w:val="bottom"/>
          </w:tcPr>
          <w:p>
            <w:pPr>
              <w:spacing w:after="0"/>
              <w:rPr>
                <w:sz w:val="1"/>
                <w:szCs w:val="1"/>
                <w:color w:val="auto"/>
              </w:rPr>
            </w:pPr>
          </w:p>
        </w:tc>
      </w:tr>
      <w:tr>
        <w:trPr>
          <w:trHeight w:val="157"/>
        </w:trPr>
        <w:tc>
          <w:tcPr>
            <w:tcW w:w="3260" w:type="dxa"/>
            <w:vAlign w:val="bottom"/>
          </w:tcPr>
          <w:p>
            <w:pPr>
              <w:ind w:left="20"/>
              <w:spacing w:after="0" w:line="157" w:lineRule="exact"/>
              <w:rPr>
                <w:sz w:val="20"/>
                <w:szCs w:val="20"/>
                <w:color w:val="auto"/>
              </w:rPr>
            </w:pPr>
            <w:r>
              <w:rPr>
                <w:rFonts w:ascii="Arial" w:cs="Arial" w:eastAsia="Arial" w:hAnsi="Arial"/>
                <w:sz w:val="15"/>
                <w:szCs w:val="15"/>
                <w:color w:val="auto"/>
                <w:w w:val="97"/>
              </w:rPr>
              <w:t>Issuance of common stock upon exercise of stock</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856</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8,279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8,280</w:t>
            </w:r>
          </w:p>
        </w:tc>
        <w:tc>
          <w:tcPr>
            <w:tcW w:w="0" w:type="dxa"/>
            <w:vAlign w:val="bottom"/>
          </w:tcPr>
          <w:p>
            <w:pPr>
              <w:spacing w:after="0"/>
              <w:rPr>
                <w:sz w:val="1"/>
                <w:szCs w:val="1"/>
                <w:color w:val="auto"/>
              </w:rPr>
            </w:pPr>
          </w:p>
        </w:tc>
      </w:tr>
      <w:tr>
        <w:trPr>
          <w:trHeight w:val="195"/>
        </w:trPr>
        <w:tc>
          <w:tcPr>
            <w:tcW w:w="3260" w:type="dxa"/>
            <w:vAlign w:val="bottom"/>
          </w:tcPr>
          <w:p>
            <w:pPr>
              <w:ind w:left="100"/>
              <w:spacing w:after="0"/>
              <w:rPr>
                <w:sz w:val="20"/>
                <w:szCs w:val="20"/>
                <w:color w:val="auto"/>
              </w:rPr>
            </w:pPr>
            <w:r>
              <w:rPr>
                <w:rFonts w:ascii="Arial" w:cs="Arial" w:eastAsia="Arial" w:hAnsi="Arial"/>
                <w:sz w:val="15"/>
                <w:szCs w:val="15"/>
                <w:color w:val="auto"/>
              </w:rPr>
              <w:t>options and vesting of restricted stock units</w:t>
            </w: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60" w:type="dxa"/>
            <w:vAlign w:val="bottom"/>
            <w:shd w:val="clear" w:color="auto" w:fill="CCEEFF"/>
          </w:tcPr>
          <w:p>
            <w:pPr>
              <w:ind w:left="20"/>
              <w:spacing w:after="0" w:line="160" w:lineRule="exact"/>
              <w:rPr>
                <w:sz w:val="20"/>
                <w:szCs w:val="20"/>
                <w:color w:val="auto"/>
              </w:rPr>
            </w:pPr>
            <w:r>
              <w:rPr>
                <w:rFonts w:ascii="Arial" w:cs="Arial" w:eastAsia="Arial" w:hAnsi="Arial"/>
                <w:sz w:val="15"/>
                <w:szCs w:val="15"/>
                <w:color w:val="auto"/>
                <w:w w:val="98"/>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2,353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2,353</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purchase plan (ESPP)</w:t>
            </w: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5"/>
                <w:szCs w:val="15"/>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(8,307)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(8,307)</w:t>
            </w: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14,687</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5"/>
                <w:szCs w:val="15"/>
                <w:color w:val="auto"/>
                <w:w w:val="91"/>
              </w:rPr>
              <w:t>Stock-based compensation expense (non-employee)</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5"/>
                <w:szCs w:val="15"/>
                <w:color w:val="auto"/>
              </w:rPr>
              <w:t>Net loss</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(65,035)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(65,035)</w:t>
            </w: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5"/>
                <w:szCs w:val="15"/>
                <w:color w:val="auto"/>
                <w:w w:val="96"/>
              </w:rPr>
              <w:t>(8,140)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(8,140)</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5"/>
                <w:szCs w:val="15"/>
                <w:color w:val="auto"/>
              </w:rPr>
              <w:t>Balance at September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71,032</w:t>
            </w:r>
          </w:p>
        </w:tc>
        <w:tc>
          <w:tcPr>
            <w:tcW w:w="1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71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1,461,778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(346,629)</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color w:val="auto"/>
                <w:w w:val="96"/>
              </w:rPr>
              <w:t>(8,140)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1,107,080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Condensed Consolidated Statements of Stockholders' Equity (Continued)</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5"/>
                <w:szCs w:val="15"/>
                <w:b w:val="1"/>
                <w:bCs w:val="1"/>
                <w:color w:val="auto"/>
                <w:w w:val="92"/>
              </w:rPr>
              <w:t>Common Stock</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5"/>
                <w:szCs w:val="15"/>
                <w:b w:val="1"/>
                <w:bCs w:val="1"/>
                <w:color w:val="auto"/>
              </w:rPr>
              <w:t>Additional Paid-in</w:t>
            </w:r>
          </w:p>
        </w:tc>
        <w:tc>
          <w:tcPr>
            <w:tcW w:w="20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b w:val="1"/>
                <w:bCs w:val="1"/>
                <w:color w:val="auto"/>
              </w:rPr>
              <w:t>Accumulated</w:t>
            </w:r>
          </w:p>
        </w:tc>
        <w:tc>
          <w:tcPr>
            <w:tcW w:w="144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w w:val="96"/>
              </w:rPr>
              <w:t>Total Stockholders'</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ind w:left="500"/>
              <w:spacing w:after="0"/>
              <w:rPr>
                <w:sz w:val="20"/>
                <w:szCs w:val="20"/>
                <w:color w:val="auto"/>
              </w:rPr>
            </w:pPr>
            <w:r>
              <w:rPr>
                <w:rFonts w:ascii="Arial" w:cs="Arial" w:eastAsia="Arial" w:hAnsi="Arial"/>
                <w:sz w:val="15"/>
                <w:szCs w:val="15"/>
                <w:b w:val="1"/>
                <w:bCs w:val="1"/>
                <w:color w:val="auto"/>
                <w:w w:val="83"/>
              </w:rPr>
              <w:t>Shares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Amount</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June 30, 2020</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50,446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495,523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(269,426)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226,147</w:t>
            </w:r>
          </w:p>
        </w:tc>
        <w:tc>
          <w:tcPr>
            <w:tcW w:w="0" w:type="dxa"/>
            <w:vAlign w:val="bottom"/>
          </w:tcPr>
          <w:p>
            <w:pPr>
              <w:spacing w:after="0"/>
              <w:rPr>
                <w:sz w:val="1"/>
                <w:szCs w:val="1"/>
                <w:color w:val="auto"/>
              </w:rPr>
            </w:pPr>
          </w:p>
        </w:tc>
      </w:tr>
      <w:tr>
        <w:trPr>
          <w:trHeight w:val="157"/>
        </w:trPr>
        <w:tc>
          <w:tcPr>
            <w:tcW w:w="464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Sale of common stock in a public offering, net of offering</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6,900</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193,824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ind w:left="10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193,831</w:t>
            </w:r>
          </w:p>
        </w:tc>
        <w:tc>
          <w:tcPr>
            <w:tcW w:w="0" w:type="dxa"/>
            <w:vAlign w:val="bottom"/>
          </w:tcPr>
          <w:p>
            <w:pPr>
              <w:spacing w:after="0"/>
              <w:rPr>
                <w:sz w:val="1"/>
                <w:szCs w:val="1"/>
                <w:color w:val="auto"/>
              </w:rPr>
            </w:pPr>
          </w:p>
        </w:tc>
      </w:tr>
      <w:tr>
        <w:trPr>
          <w:trHeight w:val="195"/>
        </w:trPr>
        <w:tc>
          <w:tcPr>
            <w:tcW w:w="4640" w:type="dxa"/>
            <w:vAlign w:val="bottom"/>
            <w:gridSpan w:val="2"/>
          </w:tcPr>
          <w:p>
            <w:pPr>
              <w:ind w:left="100"/>
              <w:spacing w:after="0"/>
              <w:rPr>
                <w:sz w:val="20"/>
                <w:szCs w:val="20"/>
                <w:color w:val="auto"/>
              </w:rPr>
            </w:pPr>
            <w:r>
              <w:rPr>
                <w:rFonts w:ascii="Arial" w:cs="Arial" w:eastAsia="Arial" w:hAnsi="Arial"/>
                <w:sz w:val="15"/>
                <w:szCs w:val="15"/>
                <w:color w:val="auto"/>
              </w:rPr>
              <w:t>costs of $13,169</w:t>
            </w: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640" w:type="dxa"/>
            <w:vAlign w:val="bottom"/>
            <w:gridSpan w:val="2"/>
            <w:shd w:val="clear" w:color="auto" w:fill="CCEEFF"/>
          </w:tcPr>
          <w:p>
            <w:pPr>
              <w:ind w:left="20"/>
              <w:spacing w:after="0" w:line="160" w:lineRule="exact"/>
              <w:rPr>
                <w:sz w:val="20"/>
                <w:szCs w:val="20"/>
                <w:color w:val="auto"/>
              </w:rPr>
            </w:pPr>
            <w:r>
              <w:rPr>
                <w:rFonts w:ascii="Arial" w:cs="Arial" w:eastAsia="Arial" w:hAnsi="Arial"/>
                <w:sz w:val="15"/>
                <w:szCs w:val="15"/>
                <w:color w:val="auto"/>
              </w:rPr>
              <w:t>Issuance of common stock on exercise of stock options and</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427</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3,328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3,329</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vesting of restricted stock units</w:t>
            </w: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Issuance of common stock under ESPP</w:t>
            </w:r>
          </w:p>
        </w:tc>
        <w:tc>
          <w:tcPr>
            <w:tcW w:w="48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935</w:t>
            </w:r>
          </w:p>
        </w:tc>
        <w:tc>
          <w:tcPr>
            <w:tcW w:w="0" w:type="dxa"/>
            <w:vAlign w:val="bottom"/>
          </w:tcPr>
          <w:p>
            <w:pPr>
              <w:spacing w:after="0"/>
              <w:rPr>
                <w:sz w:val="1"/>
                <w:szCs w:val="1"/>
                <w:color w:val="auto"/>
              </w:rPr>
            </w:pPr>
          </w:p>
        </w:tc>
      </w:tr>
      <w:tr>
        <w:trPr>
          <w:trHeight w:val="20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Tax portion of vested restricted stock units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Stock-based compensation expense (employee)</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3,032</w:t>
            </w:r>
          </w:p>
        </w:tc>
        <w:tc>
          <w:tcPr>
            <w:tcW w:w="0" w:type="dxa"/>
            <w:vAlign w:val="bottom"/>
          </w:tcPr>
          <w:p>
            <w:pPr>
              <w:spacing w:after="0"/>
              <w:rPr>
                <w:sz w:val="1"/>
                <w:szCs w:val="1"/>
                <w:color w:val="auto"/>
              </w:rPr>
            </w:pPr>
          </w:p>
        </w:tc>
      </w:tr>
      <w:tr>
        <w:trPr>
          <w:trHeight w:val="20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 (non-employee)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Stock-based compensation expense (ESPP)</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and comprehensive loss</w:t>
            </w:r>
          </w:p>
        </w:tc>
        <w:tc>
          <w:tcPr>
            <w:tcW w:w="9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(4,124)</w:t>
            </w: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Balance at September 30, 2020</w:t>
            </w:r>
          </w:p>
        </w:tc>
        <w:tc>
          <w:tcPr>
            <w:tcW w:w="480" w:type="dxa"/>
            <w:vAlign w:val="bottom"/>
          </w:tcPr>
          <w:p>
            <w:pPr>
              <w:jc w:val="right"/>
              <w:spacing w:after="0"/>
              <w:rPr>
                <w:sz w:val="20"/>
                <w:szCs w:val="20"/>
                <w:color w:val="auto"/>
              </w:rPr>
            </w:pPr>
            <w:r>
              <w:rPr>
                <w:rFonts w:ascii="Arial" w:cs="Arial" w:eastAsia="Arial" w:hAnsi="Arial"/>
                <w:sz w:val="15"/>
                <w:szCs w:val="15"/>
                <w:color w:val="auto"/>
                <w:w w:val="87"/>
              </w:rPr>
              <w:t>57,814</w:t>
            </w:r>
          </w:p>
        </w:tc>
        <w:tc>
          <w:tcPr>
            <w:tcW w:w="100" w:type="dxa"/>
            <w:vAlign w:val="bottom"/>
          </w:tcPr>
          <w:p>
            <w:pPr>
              <w:spacing w:after="0"/>
              <w:rPr>
                <w:sz w:val="17"/>
                <w:szCs w:val="17"/>
                <w:color w:val="auto"/>
              </w:rPr>
            </w:pPr>
          </w:p>
        </w:tc>
        <w:tc>
          <w:tcPr>
            <w:tcW w:w="1100" w:type="dxa"/>
            <w:vAlign w:val="bottom"/>
          </w:tcPr>
          <w:p>
            <w:pPr>
              <w:jc w:val="right"/>
              <w:ind w:right="924"/>
              <w:spacing w:after="0"/>
              <w:rPr>
                <w:sz w:val="20"/>
                <w:szCs w:val="20"/>
                <w:color w:val="auto"/>
              </w:rPr>
            </w:pPr>
            <w:r>
              <w:rPr>
                <w:rFonts w:ascii="Arial" w:cs="Arial" w:eastAsia="Arial" w:hAnsi="Arial"/>
                <w:sz w:val="15"/>
                <w:szCs w:val="15"/>
                <w:color w:val="auto"/>
                <w:w w:val="95"/>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696,217</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(273,550)</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422,725</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Balance at December 31, 2019</w:t>
            </w:r>
          </w:p>
        </w:tc>
        <w:tc>
          <w:tcPr>
            <w:tcW w:w="480" w:type="dxa"/>
            <w:vAlign w:val="bottom"/>
          </w:tcPr>
          <w:p>
            <w:pPr>
              <w:jc w:val="right"/>
              <w:spacing w:after="0"/>
              <w:rPr>
                <w:sz w:val="20"/>
                <w:szCs w:val="20"/>
                <w:color w:val="auto"/>
              </w:rPr>
            </w:pPr>
            <w:r>
              <w:rPr>
                <w:rFonts w:ascii="Arial" w:cs="Arial" w:eastAsia="Arial" w:hAnsi="Arial"/>
                <w:sz w:val="15"/>
                <w:szCs w:val="15"/>
                <w:color w:val="auto"/>
                <w:w w:val="87"/>
              </w:rPr>
              <w:t>49,625</w:t>
            </w:r>
          </w:p>
        </w:tc>
        <w:tc>
          <w:tcPr>
            <w:tcW w:w="100" w:type="dxa"/>
            <w:vAlign w:val="bottom"/>
          </w:tcPr>
          <w:p>
            <w:pPr>
              <w:spacing w:after="0"/>
              <w:rPr>
                <w:sz w:val="17"/>
                <w:szCs w:val="17"/>
                <w:color w:val="auto"/>
              </w:rPr>
            </w:pPr>
          </w:p>
        </w:tc>
        <w:tc>
          <w:tcPr>
            <w:tcW w:w="1100" w:type="dxa"/>
            <w:vAlign w:val="bottom"/>
          </w:tcPr>
          <w:p>
            <w:pPr>
              <w:jc w:val="right"/>
              <w:ind w:right="924"/>
              <w:spacing w:after="0"/>
              <w:rPr>
                <w:sz w:val="20"/>
                <w:szCs w:val="20"/>
                <w:color w:val="auto"/>
              </w:rPr>
            </w:pPr>
            <w:r>
              <w:rPr>
                <w:rFonts w:ascii="Arial" w:cs="Arial" w:eastAsia="Arial" w:hAnsi="Arial"/>
                <w:sz w:val="15"/>
                <w:szCs w:val="15"/>
                <w:color w:val="auto"/>
                <w:w w:val="95"/>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486,090</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(246,685)</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239,455</w:t>
            </w:r>
          </w:p>
        </w:tc>
        <w:tc>
          <w:tcPr>
            <w:tcW w:w="0" w:type="dxa"/>
            <w:vAlign w:val="bottom"/>
          </w:tcPr>
          <w:p>
            <w:pPr>
              <w:spacing w:after="0"/>
              <w:rPr>
                <w:sz w:val="1"/>
                <w:szCs w:val="1"/>
                <w:color w:val="auto"/>
              </w:rPr>
            </w:pPr>
          </w:p>
        </w:tc>
      </w:tr>
      <w:tr>
        <w:trPr>
          <w:trHeight w:val="160"/>
        </w:trPr>
        <w:tc>
          <w:tcPr>
            <w:tcW w:w="4640" w:type="dxa"/>
            <w:vAlign w:val="bottom"/>
            <w:gridSpan w:val="2"/>
            <w:shd w:val="clear" w:color="auto" w:fill="CCEEFF"/>
          </w:tcPr>
          <w:p>
            <w:pPr>
              <w:ind w:left="20"/>
              <w:spacing w:after="0" w:line="160" w:lineRule="exact"/>
              <w:rPr>
                <w:sz w:val="20"/>
                <w:szCs w:val="20"/>
                <w:color w:val="auto"/>
              </w:rPr>
            </w:pPr>
            <w:r>
              <w:rPr>
                <w:rFonts w:ascii="Arial" w:cs="Arial" w:eastAsia="Arial" w:hAnsi="Arial"/>
                <w:sz w:val="15"/>
                <w:szCs w:val="15"/>
                <w:color w:val="auto"/>
              </w:rPr>
              <w:t>Sale of common stock in a public offering, net of offering</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6,900</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193,824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193,831</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costs of $13,169</w:t>
            </w: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4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Issuance of common stock upon exercise of stock options</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1,187</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8,073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ind w:left="10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8,074</w:t>
            </w:r>
          </w:p>
        </w:tc>
        <w:tc>
          <w:tcPr>
            <w:tcW w:w="0" w:type="dxa"/>
            <w:vAlign w:val="bottom"/>
          </w:tcPr>
          <w:p>
            <w:pPr>
              <w:spacing w:after="0"/>
              <w:rPr>
                <w:sz w:val="1"/>
                <w:szCs w:val="1"/>
                <w:color w:val="auto"/>
              </w:rPr>
            </w:pPr>
          </w:p>
        </w:tc>
      </w:tr>
      <w:tr>
        <w:trPr>
          <w:trHeight w:val="195"/>
        </w:trPr>
        <w:tc>
          <w:tcPr>
            <w:tcW w:w="4640" w:type="dxa"/>
            <w:vAlign w:val="bottom"/>
            <w:gridSpan w:val="2"/>
          </w:tcPr>
          <w:p>
            <w:pPr>
              <w:ind w:left="100"/>
              <w:spacing w:after="0"/>
              <w:rPr>
                <w:sz w:val="20"/>
                <w:szCs w:val="20"/>
                <w:color w:val="auto"/>
              </w:rPr>
            </w:pPr>
            <w:r>
              <w:rPr>
                <w:rFonts w:ascii="Arial" w:cs="Arial" w:eastAsia="Arial" w:hAnsi="Arial"/>
                <w:sz w:val="15"/>
                <w:szCs w:val="15"/>
                <w:color w:val="auto"/>
              </w:rPr>
              <w:t>and vesting of restricted stock units</w:t>
            </w: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Issuance of common stock under ESPP</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2,037</w:t>
            </w: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Tax portion of vested restricted stock units</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(3,161)</w:t>
            </w:r>
          </w:p>
        </w:tc>
        <w:tc>
          <w:tcPr>
            <w:tcW w:w="0" w:type="dxa"/>
            <w:vAlign w:val="bottom"/>
          </w:tcPr>
          <w:p>
            <w:pPr>
              <w:spacing w:after="0"/>
              <w:rPr>
                <w:sz w:val="1"/>
                <w:szCs w:val="1"/>
                <w:color w:val="auto"/>
              </w:rPr>
            </w:pPr>
          </w:p>
        </w:tc>
      </w:tr>
      <w:tr>
        <w:trPr>
          <w:trHeight w:val="20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 (employee)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8,591</w:t>
            </w:r>
          </w:p>
        </w:tc>
        <w:tc>
          <w:tcPr>
            <w:tcW w:w="0" w:type="dxa"/>
            <w:vAlign w:val="bottom"/>
          </w:tcPr>
          <w:p>
            <w:pPr>
              <w:spacing w:after="0"/>
              <w:rPr>
                <w:sz w:val="1"/>
                <w:szCs w:val="1"/>
                <w:color w:val="auto"/>
              </w:rPr>
            </w:pPr>
          </w:p>
        </w:tc>
      </w:tr>
      <w:tr>
        <w:trPr>
          <w:trHeight w:val="199"/>
        </w:trPr>
        <w:tc>
          <w:tcPr>
            <w:tcW w:w="4640" w:type="dxa"/>
            <w:vAlign w:val="bottom"/>
            <w:gridSpan w:val="2"/>
          </w:tcPr>
          <w:p>
            <w:pPr>
              <w:ind w:left="20"/>
              <w:spacing w:after="0"/>
              <w:rPr>
                <w:sz w:val="20"/>
                <w:szCs w:val="20"/>
                <w:color w:val="auto"/>
              </w:rPr>
            </w:pPr>
            <w:r>
              <w:rPr>
                <w:rFonts w:ascii="Arial" w:cs="Arial" w:eastAsia="Arial" w:hAnsi="Arial"/>
                <w:sz w:val="15"/>
                <w:szCs w:val="15"/>
                <w:color w:val="auto"/>
              </w:rPr>
              <w:t>Stock-based compensation expense (non-employee)</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 (ESPP)</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w:t>
            </w:r>
          </w:p>
        </w:tc>
        <w:tc>
          <w:tcPr>
            <w:tcW w:w="0" w:type="dxa"/>
            <w:vAlign w:val="bottom"/>
          </w:tcPr>
          <w:p>
            <w:pPr>
              <w:spacing w:after="0"/>
              <w:rPr>
                <w:sz w:val="1"/>
                <w:szCs w:val="1"/>
                <w:color w:val="auto"/>
              </w:rPr>
            </w:pPr>
          </w:p>
        </w:tc>
      </w:tr>
      <w:tr>
        <w:trPr>
          <w:trHeight w:val="19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loss and comprehensive loss</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(26,865)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(26,865)</w:t>
            </w:r>
          </w:p>
        </w:tc>
        <w:tc>
          <w:tcPr>
            <w:tcW w:w="0" w:type="dxa"/>
            <w:vAlign w:val="bottom"/>
          </w:tcPr>
          <w:p>
            <w:pPr>
              <w:spacing w:after="0"/>
              <w:rPr>
                <w:sz w:val="1"/>
                <w:szCs w:val="1"/>
                <w:color w:val="auto"/>
              </w:rPr>
            </w:pPr>
          </w:p>
        </w:tc>
      </w:tr>
      <w:tr>
        <w:trPr>
          <w:trHeight w:val="21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September 30, 2020</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57,814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422,725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24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5"/>
                <w:szCs w:val="15"/>
                <w:color w:val="auto"/>
              </w:rPr>
            </w:pPr>
          </w:p>
        </w:tc>
      </w:tr>
      <w:tr>
        <w:trPr>
          <w:trHeight w:val="174"/>
        </w:trPr>
        <w:tc>
          <w:tcPr>
            <w:tcW w:w="72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172"/>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Operating activities</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5"/>
        </w:trPr>
        <w:tc>
          <w:tcPr>
            <w:tcW w:w="72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280" w:type="dxa"/>
            <w:vAlign w:val="bottom"/>
          </w:tcPr>
          <w:p>
            <w:pPr>
              <w:jc w:val="right"/>
              <w:ind w:right="101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(65,035)</w:t>
            </w:r>
          </w:p>
        </w:tc>
        <w:tc>
          <w:tcPr>
            <w:tcW w:w="100" w:type="dxa"/>
            <w:vAlign w:val="bottom"/>
          </w:tcPr>
          <w:p>
            <w:pPr>
              <w:spacing w:after="0"/>
              <w:rPr>
                <w:sz w:val="15"/>
                <w:szCs w:val="15"/>
                <w:color w:val="auto"/>
              </w:rPr>
            </w:pPr>
          </w:p>
        </w:tc>
        <w:tc>
          <w:tcPr>
            <w:tcW w:w="1280" w:type="dxa"/>
            <w:vAlign w:val="bottom"/>
          </w:tcPr>
          <w:p>
            <w:pPr>
              <w:jc w:val="right"/>
              <w:ind w:right="10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(26,865)</w:t>
            </w:r>
          </w:p>
        </w:tc>
      </w:tr>
      <w:tr>
        <w:trPr>
          <w:trHeight w:val="180"/>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13,189</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5,919</w:t>
            </w: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Stock-based compensation</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9,354</w:t>
            </w: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Benefit from income taxes</w:t>
            </w: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(5,297)</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Interest on end-of-term debt obligation</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Write-down of excess supplies</w:t>
            </w:r>
          </w:p>
        </w:tc>
        <w:tc>
          <w:tcPr>
            <w:tcW w:w="12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1,088</w:t>
            </w: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Noncash lease expense</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Revaluation of acquisition-related contingent consideration</w:t>
            </w: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332</w:t>
            </w: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Effect of foreign currency on operations</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75"/>
        </w:trPr>
        <w:tc>
          <w:tcPr>
            <w:tcW w:w="724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receivable</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(6,285)</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w:t>
            </w: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Supplies</w:t>
            </w: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1,262</w:t>
            </w: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Operating lease liability</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r>
      <w:tr>
        <w:trPr>
          <w:trHeight w:val="175"/>
        </w:trPr>
        <w:tc>
          <w:tcPr>
            <w:tcW w:w="7240" w:type="dxa"/>
            <w:vAlign w:val="bottom"/>
          </w:tcPr>
          <w:p>
            <w:pPr>
              <w:ind w:left="440"/>
              <w:spacing w:after="0"/>
              <w:rPr>
                <w:sz w:val="20"/>
                <w:szCs w:val="20"/>
                <w:color w:val="auto"/>
              </w:rPr>
            </w:pPr>
            <w:r>
              <w:rPr>
                <w:rFonts w:ascii="Arial" w:cs="Arial" w:eastAsia="Arial" w:hAnsi="Arial"/>
                <w:sz w:val="14"/>
                <w:szCs w:val="14"/>
                <w:color w:val="auto"/>
              </w:rPr>
              <w:t>Accounts payable</w:t>
            </w: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3,872</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(534)</w:t>
            </w:r>
          </w:p>
        </w:tc>
      </w:tr>
      <w:tr>
        <w:trPr>
          <w:trHeight w:val="180"/>
        </w:trPr>
        <w:tc>
          <w:tcPr>
            <w:tcW w:w="7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liabilities and deferred revenue</w:t>
            </w:r>
          </w:p>
        </w:tc>
        <w:tc>
          <w:tcPr>
            <w:tcW w:w="1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3,329</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r>
      <w:tr>
        <w:trPr>
          <w:trHeight w:val="168"/>
        </w:trPr>
        <w:tc>
          <w:tcPr>
            <w:tcW w:w="7240" w:type="dxa"/>
            <w:vAlign w:val="bottom"/>
            <w:tcBorders>
              <w:bottom w:val="single" w:sz="8" w:color="CCEEFF"/>
            </w:tcBorders>
          </w:tcPr>
          <w:p>
            <w:pPr>
              <w:ind w:left="120"/>
              <w:spacing w:after="0" w:line="159" w:lineRule="exact"/>
              <w:rPr>
                <w:sz w:val="20"/>
                <w:szCs w:val="20"/>
                <w:color w:val="auto"/>
              </w:rPr>
            </w:pPr>
            <w:r>
              <w:rPr>
                <w:rFonts w:ascii="Arial" w:cs="Arial" w:eastAsia="Arial" w:hAnsi="Arial"/>
                <w:sz w:val="14"/>
                <w:szCs w:val="14"/>
                <w:color w:val="auto"/>
              </w:rPr>
              <w:t>Net cash used in operating activities</w:t>
            </w:r>
          </w:p>
        </w:tc>
        <w:tc>
          <w:tcPr>
            <w:tcW w:w="1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(40,067)</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(11,972)</w:t>
            </w:r>
          </w:p>
        </w:tc>
      </w:tr>
      <w:tr>
        <w:trPr>
          <w:trHeight w:val="160"/>
        </w:trPr>
        <w:tc>
          <w:tcPr>
            <w:tcW w:w="7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b w:val="1"/>
                <w:bCs w:val="1"/>
                <w:color w:val="auto"/>
              </w:rPr>
              <w:t>Investing activities</w:t>
            </w:r>
          </w:p>
        </w:tc>
        <w:tc>
          <w:tcPr>
            <w:tcW w:w="1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75"/>
        </w:trPr>
        <w:tc>
          <w:tcPr>
            <w:tcW w:w="7240" w:type="dxa"/>
            <w:vAlign w:val="bottom"/>
          </w:tcPr>
          <w:p>
            <w:pPr>
              <w:ind w:left="120"/>
              <w:spacing w:after="0"/>
              <w:rPr>
                <w:sz w:val="20"/>
                <w:szCs w:val="20"/>
                <w:color w:val="auto"/>
              </w:rPr>
            </w:pPr>
            <w:r>
              <w:rPr>
                <w:rFonts w:ascii="Arial" w:cs="Arial" w:eastAsia="Arial" w:hAnsi="Arial"/>
                <w:sz w:val="14"/>
                <w:szCs w:val="14"/>
                <w:color w:val="auto"/>
              </w:rPr>
              <w:t>Acquisition of Decipher Biosciences, net of cash acquired</w:t>
            </w: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(574,411)</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HalioDx, net of cash acquired</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(163,645)</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7240" w:type="dxa"/>
            <w:vAlign w:val="bottom"/>
          </w:tcPr>
          <w:p>
            <w:pPr>
              <w:ind w:left="120"/>
              <w:spacing w:after="0"/>
              <w:rPr>
                <w:sz w:val="20"/>
                <w:szCs w:val="20"/>
                <w:color w:val="auto"/>
              </w:rPr>
            </w:pPr>
            <w:r>
              <w:rPr>
                <w:rFonts w:ascii="Arial" w:cs="Arial" w:eastAsia="Arial" w:hAnsi="Arial"/>
                <w:sz w:val="14"/>
                <w:szCs w:val="14"/>
                <w:color w:val="auto"/>
              </w:rPr>
              <w:t>Proceeds from sale of equity securities</w:t>
            </w: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 of equity securities</w:t>
            </w:r>
          </w:p>
        </w:tc>
        <w:tc>
          <w:tcPr>
            <w:tcW w:w="1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75"/>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Purchases of property and equipment</w:t>
            </w:r>
          </w:p>
        </w:tc>
        <w:tc>
          <w:tcPr>
            <w:tcW w:w="1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(4,535)</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(1,949)</w:t>
            </w:r>
          </w:p>
        </w:tc>
      </w:tr>
      <w:tr>
        <w:trPr>
          <w:trHeight w:val="173"/>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investing activities</w:t>
            </w:r>
          </w:p>
        </w:tc>
        <w:tc>
          <w:tcPr>
            <w:tcW w:w="1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(739,591)</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(2,949)</w:t>
            </w:r>
          </w:p>
        </w:tc>
      </w:tr>
      <w:tr>
        <w:trPr>
          <w:trHeight w:val="156"/>
        </w:trPr>
        <w:tc>
          <w:tcPr>
            <w:tcW w:w="72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Financing activities</w:t>
            </w: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9"/>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the issuance of common stock in a public offering, net of issuance costs</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593,821</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193,831</w:t>
            </w:r>
          </w:p>
        </w:tc>
      </w:tr>
      <w:tr>
        <w:trPr>
          <w:trHeight w:val="175"/>
        </w:trPr>
        <w:tc>
          <w:tcPr>
            <w:tcW w:w="7240" w:type="dxa"/>
            <w:vAlign w:val="bottom"/>
          </w:tcPr>
          <w:p>
            <w:pPr>
              <w:ind w:left="120"/>
              <w:spacing w:after="0"/>
              <w:rPr>
                <w:sz w:val="20"/>
                <w:szCs w:val="20"/>
                <w:color w:val="auto"/>
              </w:rPr>
            </w:pPr>
            <w:r>
              <w:rPr>
                <w:rFonts w:ascii="Arial" w:cs="Arial" w:eastAsia="Arial" w:hAnsi="Arial"/>
                <w:sz w:val="14"/>
                <w:szCs w:val="14"/>
                <w:color w:val="auto"/>
              </w:rPr>
              <w:t>Payment of long-term debt</w:t>
            </w:r>
          </w:p>
        </w:tc>
        <w:tc>
          <w:tcPr>
            <w:tcW w:w="12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 of taxes on vested restricted stock units</w:t>
            </w: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w:t>
            </w:r>
          </w:p>
        </w:tc>
      </w:tr>
      <w:tr>
        <w:trPr>
          <w:trHeight w:val="175"/>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Proceeds from the exercise of common stock options and employee stock purchases</w:t>
            </w:r>
          </w:p>
        </w:tc>
        <w:tc>
          <w:tcPr>
            <w:tcW w:w="1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10,633</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10,114</w:t>
            </w:r>
          </w:p>
        </w:tc>
      </w:tr>
      <w:tr>
        <w:trPr>
          <w:trHeight w:val="173"/>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provided by financing activities</w:t>
            </w:r>
          </w:p>
        </w:tc>
        <w:tc>
          <w:tcPr>
            <w:tcW w:w="1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596,147</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200,684</w:t>
            </w:r>
          </w:p>
        </w:tc>
      </w:tr>
      <w:tr>
        <w:trPr>
          <w:trHeight w:val="168"/>
        </w:trPr>
        <w:tc>
          <w:tcPr>
            <w:tcW w:w="724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(Decrease) increase in cash, cash equivalents and restricted cash</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(183,511)</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185,763</w:t>
            </w:r>
          </w:p>
        </w:tc>
      </w:tr>
      <w:tr>
        <w:trPr>
          <w:trHeight w:val="180"/>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Effect of foreign currency on cash, cash equivalents and restricted cash</w:t>
            </w:r>
          </w:p>
        </w:tc>
        <w:tc>
          <w:tcPr>
            <w:tcW w:w="1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724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(185,189)</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185,763</w:t>
            </w:r>
          </w:p>
        </w:tc>
      </w:tr>
      <w:tr>
        <w:trPr>
          <w:trHeight w:val="178"/>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1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349,967</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159,920</w:t>
            </w:r>
          </w:p>
        </w:tc>
      </w:tr>
      <w:tr>
        <w:trPr>
          <w:trHeight w:val="172"/>
        </w:trPr>
        <w:tc>
          <w:tcPr>
            <w:tcW w:w="7240" w:type="dxa"/>
            <w:vAlign w:val="bottom"/>
          </w:tcPr>
          <w:p>
            <w:pPr>
              <w:ind w:left="1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1280" w:type="dxa"/>
            <w:vAlign w:val="bottom"/>
            <w:tcBorders>
              <w:bottom w:val="single" w:sz="8" w:color="auto"/>
            </w:tcBorders>
          </w:tcPr>
          <w:p>
            <w:pPr>
              <w:jc w:val="right"/>
              <w:ind w:right="10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164,778</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right"/>
              <w:ind w:right="1012"/>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345,683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43"/>
        </w:trPr>
        <w:tc>
          <w:tcPr>
            <w:tcW w:w="724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b w:val="1"/>
                <w:bCs w:val="1"/>
                <w:color w:val="auto"/>
              </w:rPr>
              <w:t>Supplementary cash flow information:</w:t>
            </w:r>
          </w:p>
        </w:tc>
        <w:tc>
          <w:tcPr>
            <w:tcW w:w="1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75"/>
        </w:trPr>
        <w:tc>
          <w:tcPr>
            <w:tcW w:w="7240" w:type="dxa"/>
            <w:vAlign w:val="bottom"/>
          </w:tcPr>
          <w:p>
            <w:pPr>
              <w:ind w:left="120"/>
              <w:spacing w:after="0"/>
              <w:rPr>
                <w:sz w:val="20"/>
                <w:szCs w:val="20"/>
                <w:color w:val="auto"/>
              </w:rPr>
            </w:pPr>
            <w:r>
              <w:rPr>
                <w:rFonts w:ascii="Arial" w:cs="Arial" w:eastAsia="Arial" w:hAnsi="Arial"/>
                <w:sz w:val="14"/>
                <w:szCs w:val="14"/>
                <w:color w:val="auto"/>
              </w:rPr>
              <w:t>Purchases of property and equipment included in accounts payable and accrued liability</w:t>
            </w:r>
          </w:p>
        </w:tc>
        <w:tc>
          <w:tcPr>
            <w:tcW w:w="1280" w:type="dxa"/>
            <w:vAlign w:val="bottom"/>
          </w:tcPr>
          <w:p>
            <w:pPr>
              <w:jc w:val="right"/>
              <w:ind w:right="101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280" w:type="dxa"/>
            <w:vAlign w:val="bottom"/>
          </w:tcPr>
          <w:p>
            <w:pPr>
              <w:jc w:val="right"/>
              <w:ind w:right="10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180"/>
        </w:trPr>
        <w:tc>
          <w:tcPr>
            <w:tcW w:w="7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paid on debt</w:t>
            </w:r>
          </w:p>
        </w:tc>
        <w:tc>
          <w:tcPr>
            <w:tcW w:w="1280" w:type="dxa"/>
            <w:vAlign w:val="bottom"/>
            <w:shd w:val="clear" w:color="auto" w:fill="CCEEFF"/>
          </w:tcPr>
          <w:p>
            <w:pPr>
              <w:jc w:val="right"/>
              <w:ind w:right="10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01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2"/>
        </w:trPr>
        <w:tc>
          <w:tcPr>
            <w:tcW w:w="7240" w:type="dxa"/>
            <w:vAlign w:val="bottom"/>
          </w:tcPr>
          <w:p>
            <w:pPr>
              <w:ind w:left="120"/>
              <w:spacing w:after="0"/>
              <w:rPr>
                <w:sz w:val="20"/>
                <w:szCs w:val="20"/>
                <w:color w:val="auto"/>
              </w:rPr>
            </w:pPr>
            <w:r>
              <w:rPr>
                <w:rFonts w:ascii="Arial" w:cs="Arial" w:eastAsia="Arial" w:hAnsi="Arial"/>
                <w:sz w:val="14"/>
                <w:szCs w:val="14"/>
                <w:color w:val="auto"/>
              </w:rPr>
              <w:t>Issuance of common stock for acquisition of HalioDx</w:t>
            </w:r>
          </w:p>
        </w:tc>
        <w:tc>
          <w:tcPr>
            <w:tcW w:w="1280" w:type="dxa"/>
            <w:vAlign w:val="bottom"/>
          </w:tcPr>
          <w:p>
            <w:pPr>
              <w:jc w:val="right"/>
              <w:ind w:right="101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147,089</w:t>
            </w:r>
          </w:p>
        </w:tc>
        <w:tc>
          <w:tcPr>
            <w:tcW w:w="100" w:type="dxa"/>
            <w:vAlign w:val="bottom"/>
          </w:tcPr>
          <w:p>
            <w:pPr>
              <w:spacing w:after="0"/>
              <w:rPr>
                <w:sz w:val="14"/>
                <w:szCs w:val="14"/>
                <w:color w:val="auto"/>
              </w:rPr>
            </w:pPr>
          </w:p>
        </w:tc>
        <w:tc>
          <w:tcPr>
            <w:tcW w:w="1280" w:type="dxa"/>
            <w:vAlign w:val="bottom"/>
          </w:tcPr>
          <w:p>
            <w:pPr>
              <w:jc w:val="right"/>
              <w:ind w:right="10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r>
        <w:rPr>
          <w:rFonts w:ascii="Arial" w:cs="Arial" w:eastAsia="Arial" w:hAnsi="Arial"/>
          <w:sz w:val="17"/>
          <w:szCs w:val="17"/>
          <w:color w:val="auto"/>
        </w:rPr>
        <w: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5"/>
                <w:szCs w:val="15"/>
                <w:color w:val="auto"/>
              </w:rPr>
            </w:pPr>
          </w:p>
        </w:tc>
        <w:tc>
          <w:tcPr>
            <w:tcW w:w="1620" w:type="dxa"/>
            <w:vAlign w:val="bottom"/>
          </w:tcPr>
          <w:p>
            <w:pPr>
              <w:jc w:val="right"/>
              <w:ind w:right="312"/>
              <w:spacing w:after="0"/>
              <w:rPr>
                <w:sz w:val="20"/>
                <w:szCs w:val="20"/>
                <w:color w:val="auto"/>
              </w:rPr>
            </w:pPr>
            <w:r>
              <w:rPr>
                <w:rFonts w:ascii="Arial" w:cs="Arial" w:eastAsia="Arial" w:hAnsi="Arial"/>
                <w:sz w:val="14"/>
                <w:szCs w:val="14"/>
                <w:b w:val="1"/>
                <w:bCs w:val="1"/>
                <w:color w:val="auto"/>
                <w:w w:val="96"/>
              </w:rPr>
              <w:t>December 31, 2020</w:t>
            </w:r>
          </w:p>
        </w:tc>
      </w:tr>
      <w:tr>
        <w:trPr>
          <w:trHeight w:val="17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164,029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349,364</w:t>
            </w:r>
          </w:p>
        </w:tc>
      </w:tr>
      <w:tr>
        <w:trPr>
          <w:trHeight w:val="17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w:t>
            </w:r>
          </w:p>
        </w:tc>
      </w:tr>
      <w:tr>
        <w:trPr>
          <w:trHeight w:val="19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164,778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349,967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Description of Business and Summary of Significant Accounting Policies</w:t>
      </w:r>
    </w:p>
    <w:p>
      <w:pPr>
        <w:spacing w:after="0" w:line="214" w:lineRule="exact"/>
        <w:rPr>
          <w:sz w:val="20"/>
          <w:szCs w:val="20"/>
          <w:color w:val="auto"/>
        </w:rPr>
      </w:pPr>
    </w:p>
    <w:p>
      <w:pPr>
        <w:jc w:val="both"/>
        <w:ind w:firstLine="304"/>
        <w:spacing w:after="0" w:line="270" w:lineRule="auto"/>
        <w:rPr>
          <w:sz w:val="20"/>
          <w:szCs w:val="20"/>
          <w:color w:val="auto"/>
        </w:rPr>
      </w:pPr>
      <w:r>
        <w:rPr>
          <w:rFonts w:ascii="Arial" w:cs="Arial" w:eastAsia="Arial" w:hAnsi="Arial"/>
          <w:sz w:val="16"/>
          <w:szCs w:val="16"/>
          <w:color w:val="auto"/>
        </w:rPr>
        <w:t>Veracyte, Inc., or Veracyte, or the Company, is a global diagnostics company that improves patient care by answering important clinical questions to inform diagnosis and treatment decisions throughout the patient journey in cancer and other diseases. The Company’s growing menu of tests leverage advances in genomic science and machine learning technology to change care for patients, enabling them to avoid unnecessary and potentially harmful procedures and interventions, and accelerate time to more appropriate treatment. In addition to making its tests available in the United States through its central laboratories, the Company believes its exclusive access to the nCounter Analysis System, a best-in-class diagnostics platform, positions the company to deliver its tests to patients worldwide through laboratories and hospitals that can perform them locally. In August 2021, Veracyte acquired HalioDx SAS, giving Veracyte the ability to manufacture its own in vitro diagnostic tests for use on the nCounter, while also deepening Veracyte’s scientific capabilities into immuno-oncology and expanding its presence into eight of the ten most common cancers by incidence in the United States that impact patients globally.</w:t>
      </w:r>
    </w:p>
    <w:p>
      <w:pPr>
        <w:spacing w:after="0" w:line="195" w:lineRule="exact"/>
        <w:rPr>
          <w:sz w:val="20"/>
          <w:szCs w:val="20"/>
          <w:color w:val="auto"/>
        </w:rPr>
      </w:pPr>
    </w:p>
    <w:p>
      <w:pPr>
        <w:jc w:val="both"/>
        <w:ind w:firstLine="304"/>
        <w:spacing w:after="0" w:line="277" w:lineRule="auto"/>
        <w:rPr>
          <w:sz w:val="20"/>
          <w:szCs w:val="20"/>
          <w:color w:val="auto"/>
        </w:rPr>
      </w:pPr>
      <w:r>
        <w:rPr>
          <w:rFonts w:ascii="Arial" w:cs="Arial" w:eastAsia="Arial" w:hAnsi="Arial"/>
          <w:sz w:val="16"/>
          <w:szCs w:val="16"/>
          <w:color w:val="auto"/>
        </w:rPr>
        <w:t>Veracyte was incorporated in the state of Delaware on August 15, 2006, as Calderome, Inc. Calderome operated as an incubator until early 2008. On March 4, 2008, the Company changed its name to Veracyte, Inc. The Company’s headquarters are in South San Francisco, California, and it also has operations in San Diego, California; Austin, Texas; Richmond, Virginia; Vancouver, Canada; and Marseille, France. It performs diagnostic testing in its Clinical Laboratory Improvement Amendments of 1988, or CLIA, certified laboratories in South San Francisco, San Diego, Austin, Richmond and Marseille.</w:t>
      </w:r>
    </w:p>
    <w:p>
      <w:pPr>
        <w:spacing w:after="0" w:line="190" w:lineRule="exact"/>
        <w:rPr>
          <w:sz w:val="20"/>
          <w:szCs w:val="20"/>
          <w:color w:val="auto"/>
        </w:rPr>
      </w:pPr>
    </w:p>
    <w:p>
      <w:pPr>
        <w:jc w:val="both"/>
        <w:ind w:firstLine="304"/>
        <w:spacing w:after="0" w:line="301" w:lineRule="auto"/>
        <w:rPr>
          <w:sz w:val="20"/>
          <w:szCs w:val="20"/>
          <w:color w:val="auto"/>
        </w:rPr>
      </w:pPr>
      <w:r>
        <w:rPr>
          <w:rFonts w:ascii="Arial" w:cs="Arial" w:eastAsia="Arial" w:hAnsi="Arial"/>
          <w:sz w:val="15"/>
          <w:szCs w:val="15"/>
          <w:color w:val="auto"/>
        </w:rPr>
        <w:t>Veracyte’s foundational approach for its tests, or classifiers, begins with determining what clinical questions need to be answered in order to inform what happens next for the patient. The Company deploys rigorous science and technology to develop and validate its tests and collects extensive clinical utility data to demonstrate the tests’ ability to influence care. This approach has enabled the Company to obtain Medicare reimbursement for its genomic classifiers in each of its clinical indications. The Company positions its tests to integrate seamlessly into the way physicians currently evaluate patients, to facilitate adoption.</w:t>
      </w:r>
    </w:p>
    <w:p>
      <w:pPr>
        <w:spacing w:after="0" w:line="174" w:lineRule="exact"/>
        <w:rPr>
          <w:sz w:val="20"/>
          <w:szCs w:val="20"/>
          <w:color w:val="auto"/>
        </w:rPr>
      </w:pPr>
    </w:p>
    <w:p>
      <w:pPr>
        <w:jc w:val="both"/>
        <w:ind w:firstLine="304"/>
        <w:spacing w:after="0" w:line="256" w:lineRule="auto"/>
        <w:rPr>
          <w:sz w:val="20"/>
          <w:szCs w:val="20"/>
          <w:color w:val="auto"/>
        </w:rPr>
      </w:pPr>
      <w:r>
        <w:rPr>
          <w:rFonts w:ascii="Arial" w:cs="Arial" w:eastAsia="Arial" w:hAnsi="Arial"/>
          <w:sz w:val="17"/>
          <w:szCs w:val="17"/>
          <w:color w:val="auto"/>
        </w:rPr>
        <w:t>Veracyte currently offers genomic tests, which it believes are changing patient care in lung cancer (Percepta); prostate and bladder urologic cancers (Decipher); thyroid cancer (Afirma); breast cancer (Prosigna); and interstitial lung diseases, or ILD, including idiopathic pulmonary fibrosis, or IPF (Envisia). The Company’s genomic classifiers in each of these indications are covered by Medicare. Additionally, through its acquisition of HalioDx, the Company also offers a clinically validated immuno-oncology test in colon cancer (Immunoscore).</w:t>
      </w:r>
    </w:p>
    <w:p>
      <w:pPr>
        <w:spacing w:after="0" w:line="206" w:lineRule="exact"/>
        <w:rPr>
          <w:sz w:val="20"/>
          <w:szCs w:val="20"/>
          <w:color w:val="auto"/>
        </w:rPr>
      </w:pPr>
    </w:p>
    <w:p>
      <w:pPr>
        <w:jc w:val="both"/>
        <w:ind w:firstLine="304"/>
        <w:spacing w:after="0" w:line="271" w:lineRule="auto"/>
        <w:rPr>
          <w:sz w:val="20"/>
          <w:szCs w:val="20"/>
          <w:color w:val="auto"/>
        </w:rPr>
      </w:pPr>
      <w:r>
        <w:rPr>
          <w:rFonts w:ascii="Arial" w:cs="Arial" w:eastAsia="Arial" w:hAnsi="Arial"/>
          <w:sz w:val="16"/>
          <w:szCs w:val="16"/>
          <w:color w:val="auto"/>
        </w:rPr>
        <w:t>The Company performs its genomic tests for thyroid cancer, lung cancer and IPF in its CLIA-certified laboratory in South San Francisco, California, and its genomic tests for prostate and bladder cancer in its College of American Pathologists, or CAP, accredited and CLIA-certified laboratory in San Diego, California. In 2019, the Company acquired from NanoString, Inc. the exclusive global diagnostics license to the nCounter Analysis System and the Prosigna Breast Cancer Prognostic Gene Signature Assay, which is commercially available, along with the LymphMark lymphoma subtyping assay, which is in development for use as a companion diagnostic with Acerta Pharma’s and AstraZeneca’s Calquence. Both tests are designed for use on the nCounter Analysis System. The Prosigna test kits and associated products are sold to laboratories and hospitals globally. Additionally, the Company’s Immunoscore Colon Cancer test is performed in Veracyte’s CLIA-certified laboratories in Marseille, France, and Richmond, Virginia.</w:t>
      </w:r>
    </w:p>
    <w:p>
      <w:pPr>
        <w:spacing w:after="0" w:line="194" w:lineRule="exact"/>
        <w:rPr>
          <w:sz w:val="20"/>
          <w:szCs w:val="20"/>
          <w:color w:val="auto"/>
        </w:rPr>
      </w:pPr>
    </w:p>
    <w:p>
      <w:pPr>
        <w:jc w:val="both"/>
        <w:ind w:firstLine="304"/>
        <w:spacing w:after="0" w:line="256" w:lineRule="auto"/>
        <w:rPr>
          <w:sz w:val="20"/>
          <w:szCs w:val="20"/>
          <w:color w:val="auto"/>
        </w:rPr>
      </w:pPr>
      <w:r>
        <w:rPr>
          <w:rFonts w:ascii="Arial" w:cs="Arial" w:eastAsia="Arial" w:hAnsi="Arial"/>
          <w:sz w:val="17"/>
          <w:szCs w:val="17"/>
          <w:color w:val="auto"/>
        </w:rPr>
        <w:t>Veracyte’s scientific approach and capabilities in genomics and immuno-oncology also provide multiple opportunities for partnerships with biopharmaceutical and diagnostic testing companies. In developing and commercializing its products, the Company has built or gained access to unique data and sample biorepositories, and proprietary technology and bioinformatics that it believes are important to the development of new targeted therapies, determining clinical trial eligibility and guiding treatment selection.</w:t>
      </w:r>
    </w:p>
    <w:p>
      <w:pPr>
        <w:spacing w:after="0" w:line="206" w:lineRule="exact"/>
        <w:rPr>
          <w:sz w:val="20"/>
          <w:szCs w:val="20"/>
          <w:color w:val="auto"/>
        </w:rPr>
      </w:pPr>
    </w:p>
    <w:p>
      <w:pPr>
        <w:jc w:val="both"/>
        <w:ind w:firstLine="304"/>
        <w:spacing w:after="0" w:line="254" w:lineRule="auto"/>
        <w:rPr>
          <w:sz w:val="20"/>
          <w:szCs w:val="20"/>
          <w:color w:val="auto"/>
        </w:rPr>
      </w:pPr>
      <w:r>
        <w:rPr>
          <w:rFonts w:ascii="Arial" w:cs="Arial" w:eastAsia="Arial" w:hAnsi="Arial"/>
          <w:sz w:val="17"/>
          <w:szCs w:val="17"/>
          <w:color w:val="auto"/>
        </w:rPr>
        <w:t>On August 2, 2021, Veracyte acquired HalioDx SAS, a French société par actions simplifiée, or HalioDx, an immuno-oncology diagnostics company providing oncologists and drug development organizations with diagnostic products and biopharmaceutical services to guide cancer care and contribute to precision medicine. Veracyte believes the acquisition provides three strategic benefits to the company: 1.) it provides Veracyte with the expertise to develop and manufacture IVD test kits for the nCounter diagnostics platform; 2.) it deepens the company’s scientific capabilities into immuno-oncology; and 3.) it expands Veracyte’s cancer diagnostic scope to eight of the top 10 cancers by U.S. incidence. Veracyte paid $321 million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in total consideration to HalioDx security holders, consisting of $170 million in cash, $147 million in stock and $4 million in incurred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10" w:lineRule="exact"/>
        <w:rPr>
          <w:sz w:val="20"/>
          <w:szCs w:val="20"/>
          <w:color w:val="auto"/>
        </w:rPr>
      </w:pPr>
    </w:p>
    <w:p>
      <w:pPr>
        <w:jc w:val="both"/>
        <w:ind w:firstLine="304"/>
        <w:spacing w:after="0" w:line="288" w:lineRule="auto"/>
        <w:rPr>
          <w:sz w:val="20"/>
          <w:szCs w:val="20"/>
          <w:color w:val="auto"/>
        </w:rPr>
      </w:pPr>
      <w:r>
        <w:rPr>
          <w:rFonts w:ascii="Arial" w:cs="Arial" w:eastAsia="Arial" w:hAnsi="Arial"/>
          <w:sz w:val="15"/>
          <w:szCs w:val="15"/>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September 30, 2021 the condensed consolidated statements of operations for the three and nine months ended September 30, 2021 and 2020, the condensed consolidated statements of comprehensive loss for the three and nine months ended September 30, 2021 and 2020, the condensed consolidated statements of stockholders' equity for the three and nine months ended September 30, 2021 and 2020, and the condensed consolidated statements of cash flows for the nine months ended September 30, 2021 and 2020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2020 has been derived from audited financial statements. The results for the three and nine months ended September 30, 2021 are not necessarily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157" w:lineRule="exact"/>
        <w:rPr>
          <w:sz w:val="20"/>
          <w:szCs w:val="20"/>
          <w:color w:val="auto"/>
        </w:rPr>
      </w:pPr>
    </w:p>
    <w:p>
      <w:pPr>
        <w:jc w:val="both"/>
        <w:ind w:firstLine="304"/>
        <w:spacing w:after="0" w:line="260" w:lineRule="auto"/>
        <w:rPr>
          <w:sz w:val="20"/>
          <w:szCs w:val="20"/>
          <w:color w:val="auto"/>
        </w:rPr>
      </w:pPr>
      <w:r>
        <w:rPr>
          <w:rFonts w:ascii="Arial" w:cs="Arial" w:eastAsia="Arial" w:hAnsi="Arial"/>
          <w:sz w:val="17"/>
          <w:szCs w:val="17"/>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0" w:lineRule="exact"/>
        <w:rPr>
          <w:sz w:val="20"/>
          <w:szCs w:val="20"/>
          <w:color w:val="auto"/>
        </w:rPr>
      </w:pPr>
    </w:p>
    <w:p>
      <w:pPr>
        <w:jc w:val="both"/>
        <w:ind w:firstLine="304"/>
        <w:spacing w:after="0" w:line="251" w:lineRule="auto"/>
        <w:rPr>
          <w:sz w:val="20"/>
          <w:szCs w:val="20"/>
          <w:color w:val="auto"/>
        </w:rPr>
      </w:pPr>
      <w:r>
        <w:rPr>
          <w:rFonts w:ascii="Arial" w:cs="Arial" w:eastAsia="Arial" w:hAnsi="Arial"/>
          <w:sz w:val="17"/>
          <w:szCs w:val="17"/>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Items subject to such estimates include: revenue recognition; write-down of supplies; the useful lives of property and equipment; the recoverability of long-lived assets; the incremental borrowing rate for leases; accounting for acquisitions; the estimation of the fair value of intangible assets and contingent consideration; stock options; income tax uncertainties, including a valuation allowance for deferred tax assets; an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Common Stock in a Public Offering</w:t>
      </w:r>
    </w:p>
    <w:p>
      <w:pPr>
        <w:spacing w:after="0" w:line="210" w:lineRule="exact"/>
        <w:rPr>
          <w:sz w:val="20"/>
          <w:szCs w:val="20"/>
          <w:color w:val="auto"/>
        </w:rPr>
      </w:pPr>
    </w:p>
    <w:p>
      <w:pPr>
        <w:jc w:val="both"/>
        <w:ind w:firstLine="304"/>
        <w:spacing w:after="0" w:line="284" w:lineRule="auto"/>
        <w:rPr>
          <w:sz w:val="20"/>
          <w:szCs w:val="20"/>
          <w:color w:val="auto"/>
        </w:rPr>
      </w:pPr>
      <w:r>
        <w:rPr>
          <w:rFonts w:ascii="Arial" w:cs="Arial" w:eastAsia="Arial" w:hAnsi="Arial"/>
          <w:sz w:val="16"/>
          <w:szCs w:val="16"/>
          <w:color w:val="auto"/>
        </w:rPr>
        <w:t>On February 9,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approximately $593.8 million, after deducting underwriting discounts and commissions and offering expenses of $38.7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0"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The Company considers demand deposits in a bank, money market funds and highly liquid investments with an original maturity of 90 days or less to be cash equivalents.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10" w:lineRule="exact"/>
        <w:rPr>
          <w:sz w:val="20"/>
          <w:szCs w:val="20"/>
          <w:color w:val="auto"/>
        </w:rPr>
      </w:pPr>
    </w:p>
    <w:p>
      <w:pPr>
        <w:jc w:val="both"/>
        <w:ind w:firstLine="304"/>
        <w:spacing w:after="0" w:line="256" w:lineRule="auto"/>
        <w:rPr>
          <w:sz w:val="20"/>
          <w:szCs w:val="20"/>
          <w:color w:val="auto"/>
        </w:rPr>
      </w:pPr>
      <w:r>
        <w:rPr>
          <w:rFonts w:ascii="Arial" w:cs="Arial" w:eastAsia="Arial" w:hAnsi="Arial"/>
          <w:sz w:val="17"/>
          <w:szCs w:val="17"/>
          <w:color w:val="auto"/>
        </w:rPr>
        <w:t>The worldwide spread of coronavirus, or COVID-19, has created significant uncertainty in the global economy. There have been no comparable recent events that provide guidance as to the effect the spread of COVID-19 as a global pandemic may have. As a result, the ultimate impact of COVID-19 and the extent to which COVID-19 impacts the Company’s business, results of operations and financial condition will depend on future developments, which are highly uncertain and difficult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predict. If the financial markets or the overall economy are impacted for an extended period, the Company’s liquidity, revenues, supplies, goodwill and intangibles may be adversely affected. The Company considers the effects, to the extent knowable, of the COVID-19 pandemic in developing our estimates.</w:t>
      </w:r>
    </w:p>
    <w:p>
      <w:pPr>
        <w:spacing w:after="0" w:line="142" w:lineRule="exact"/>
        <w:rPr>
          <w:sz w:val="20"/>
          <w:szCs w:val="20"/>
          <w:color w:val="auto"/>
        </w:rPr>
      </w:pPr>
    </w:p>
    <w:p>
      <w:pPr>
        <w:jc w:val="both"/>
        <w:ind w:firstLine="304"/>
        <w:spacing w:after="0" w:line="260" w:lineRule="auto"/>
        <w:rPr>
          <w:sz w:val="20"/>
          <w:szCs w:val="20"/>
          <w:color w:val="auto"/>
        </w:rPr>
      </w:pPr>
      <w:r>
        <w:rPr>
          <w:rFonts w:ascii="Arial" w:cs="Arial" w:eastAsia="Arial" w:hAnsi="Arial"/>
          <w:sz w:val="17"/>
          <w:szCs w:val="17"/>
          <w:color w:val="auto"/>
        </w:rPr>
        <w:t>The majority of the Company’s cash and cash equivalents are deposited with one major financial institution in the United States. Deposits in this institution may exceed the amount of insurance provided on such deposits. The Company has not realized any losses on its deposits of cash and cash equivalents other than exchange rate losses related to foreign currency denominated accounts.</w:t>
      </w:r>
    </w:p>
    <w:p>
      <w:pPr>
        <w:spacing w:after="0" w:line="176" w:lineRule="exact"/>
        <w:rPr>
          <w:sz w:val="20"/>
          <w:szCs w:val="20"/>
          <w:color w:val="auto"/>
        </w:rPr>
      </w:pPr>
    </w:p>
    <w:p>
      <w:pPr>
        <w:jc w:val="both"/>
        <w:ind w:firstLine="304"/>
        <w:spacing w:after="0" w:line="284" w:lineRule="auto"/>
        <w:rPr>
          <w:sz w:val="20"/>
          <w:szCs w:val="20"/>
          <w:color w:val="auto"/>
        </w:rPr>
      </w:pPr>
      <w:r>
        <w:rPr>
          <w:rFonts w:ascii="Arial" w:cs="Arial" w:eastAsia="Arial" w:hAnsi="Arial"/>
          <w:sz w:val="16"/>
          <w:szCs w:val="16"/>
          <w:color w:val="auto"/>
        </w:rPr>
        <w:t>Several of the components of the Company’s sample collection kits and test reagents, and the nCounter system and related diagnostic kits are obtained from single-source suppliers. If these single-source suppliers fail to satisfy the Company’s requirements on a timely basis, it could suffer delays in being able to deliver its diagnostic solutions, suffer a possible loss of revenue, or incur higher costs, any of which could adversely affect its operating results.</w:t>
      </w:r>
    </w:p>
    <w:p>
      <w:pPr>
        <w:spacing w:after="0" w:line="158"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Through September 30, 2021, most of the Company’s revenue has been derived from the sale of Afirma and Decipher testing. To date, Afirma and Decipher testing have been delivered primarily to physicians in the United States.</w:t>
      </w:r>
    </w:p>
    <w:p>
      <w:pPr>
        <w:spacing w:after="0" w:line="191" w:lineRule="exact"/>
        <w:rPr>
          <w:sz w:val="20"/>
          <w:szCs w:val="20"/>
          <w:color w:val="auto"/>
        </w:rPr>
      </w:pPr>
    </w:p>
    <w:p>
      <w:pPr>
        <w:jc w:val="both"/>
        <w:ind w:firstLine="304"/>
        <w:spacing w:after="0" w:line="253" w:lineRule="auto"/>
        <w:rPr>
          <w:sz w:val="20"/>
          <w:szCs w:val="20"/>
          <w:color w:val="auto"/>
        </w:rPr>
      </w:pPr>
      <w:r>
        <w:rPr>
          <w:rFonts w:ascii="Arial" w:cs="Arial" w:eastAsia="Arial" w:hAnsi="Arial"/>
          <w:sz w:val="17"/>
          <w:szCs w:val="17"/>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collaboration revenue based on collection history, current developments and credit worthiness of the customer. The estimate of credit losses is not material at September 30, 2021.</w:t>
      </w:r>
    </w:p>
    <w:p>
      <w:pPr>
        <w:spacing w:after="0" w:line="209"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The Company’s third-party payers and other customers in excess of 10% of total revenue and their related revenue as a percentage of total revenue were as follows: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416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5"/>
                <w:szCs w:val="15"/>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2020</w:t>
            </w:r>
          </w:p>
        </w:tc>
      </w:tr>
      <w:tr>
        <w:trPr>
          <w:trHeight w:val="19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Medicare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r>
      <w:tr>
        <w:trPr>
          <w:trHeight w:val="199"/>
        </w:trPr>
        <w:tc>
          <w:tcPr>
            <w:tcW w:w="5320" w:type="dxa"/>
            <w:vAlign w:val="bottom"/>
            <w:gridSpan w:val="2"/>
          </w:tcPr>
          <w:p>
            <w:pPr>
              <w:ind w:left="20"/>
              <w:spacing w:after="0"/>
              <w:rPr>
                <w:sz w:val="20"/>
                <w:szCs w:val="20"/>
                <w:color w:val="auto"/>
              </w:rPr>
            </w:pPr>
            <w:r>
              <w:rPr>
                <w:rFonts w:ascii="Arial" w:cs="Arial" w:eastAsia="Arial" w:hAnsi="Arial"/>
                <w:sz w:val="15"/>
                <w:szCs w:val="15"/>
                <w:color w:val="auto"/>
              </w:rPr>
              <w:t>UnitedHealthcare</w:t>
            </w:r>
          </w:p>
        </w:tc>
        <w:tc>
          <w:tcPr>
            <w:tcW w:w="540" w:type="dxa"/>
            <w:vAlign w:val="bottom"/>
          </w:tcPr>
          <w:p>
            <w:pPr>
              <w:jc w:val="right"/>
              <w:spacing w:after="0"/>
              <w:rPr>
                <w:sz w:val="20"/>
                <w:szCs w:val="20"/>
                <w:color w:val="auto"/>
              </w:rPr>
            </w:pPr>
            <w:r>
              <w:rPr>
                <w:rFonts w:ascii="Arial" w:cs="Arial" w:eastAsia="Arial" w:hAnsi="Arial"/>
                <w:sz w:val="15"/>
                <w:szCs w:val="15"/>
                <w:color w:val="auto"/>
              </w:rPr>
              <w:t>9 %</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11 %</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11 %</w:t>
            </w:r>
          </w:p>
        </w:tc>
      </w:tr>
      <w:tr>
        <w:trPr>
          <w:trHeight w:val="221"/>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304"/>
        <w:spacing w:after="0" w:line="272" w:lineRule="auto"/>
        <w:rPr>
          <w:sz w:val="20"/>
          <w:szCs w:val="20"/>
          <w:color w:val="auto"/>
        </w:rPr>
      </w:pPr>
      <w:r>
        <w:rPr>
          <w:rFonts w:ascii="Arial" w:cs="Arial" w:eastAsia="Arial" w:hAnsi="Arial"/>
          <w:sz w:val="17"/>
          <w:szCs w:val="17"/>
          <w:color w:val="auto"/>
        </w:rPr>
        <w:t>The Company’s third-party payers and other customers in excess of 10% of accounts receivable and their related accounts receivable balance as a percentage of total accounts receivable were as follows at the following dates: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w w:val="89"/>
              </w:rPr>
              <w:t>September 30, 2021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December 31, 2020</w:t>
            </w:r>
          </w:p>
        </w:tc>
      </w:tr>
      <w:tr>
        <w:trPr>
          <w:trHeight w:val="19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Medicare</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11 %</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13 %</w:t>
            </w:r>
          </w:p>
        </w:tc>
      </w:tr>
      <w:tr>
        <w:trPr>
          <w:trHeight w:val="196"/>
        </w:trPr>
        <w:tc>
          <w:tcPr>
            <w:tcW w:w="8820" w:type="dxa"/>
            <w:vAlign w:val="bottom"/>
            <w:gridSpan w:val="2"/>
          </w:tcPr>
          <w:p>
            <w:pPr>
              <w:ind w:left="20"/>
              <w:spacing w:after="0"/>
              <w:rPr>
                <w:sz w:val="20"/>
                <w:szCs w:val="20"/>
                <w:color w:val="auto"/>
              </w:rPr>
            </w:pPr>
            <w:r>
              <w:rPr>
                <w:rFonts w:ascii="Arial" w:cs="Arial" w:eastAsia="Arial" w:hAnsi="Arial"/>
                <w:sz w:val="15"/>
                <w:szCs w:val="15"/>
                <w:color w:val="auto"/>
              </w:rPr>
              <w:t>UnitedHealthcare</w:t>
            </w:r>
          </w:p>
        </w:tc>
        <w:tc>
          <w:tcPr>
            <w:tcW w:w="340" w:type="dxa"/>
            <w:vAlign w:val="bottom"/>
          </w:tcPr>
          <w:p>
            <w:pPr>
              <w:jc w:val="right"/>
              <w:spacing w:after="0"/>
              <w:rPr>
                <w:sz w:val="20"/>
                <w:szCs w:val="20"/>
                <w:color w:val="auto"/>
              </w:rPr>
            </w:pPr>
            <w:r>
              <w:rPr>
                <w:rFonts w:ascii="Arial" w:cs="Arial" w:eastAsia="Arial" w:hAnsi="Arial"/>
                <w:sz w:val="15"/>
                <w:szCs w:val="15"/>
                <w:color w:val="auto"/>
              </w:rPr>
              <w:t>9 %</w:t>
            </w:r>
          </w:p>
        </w:tc>
        <w:tc>
          <w:tcPr>
            <w:tcW w:w="1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12 %</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10" w:lineRule="exact"/>
        <w:rPr>
          <w:sz w:val="20"/>
          <w:szCs w:val="20"/>
          <w:color w:val="auto"/>
        </w:rPr>
      </w:pPr>
    </w:p>
    <w:p>
      <w:pPr>
        <w:ind w:firstLine="304"/>
        <w:spacing w:after="0" w:line="304" w:lineRule="auto"/>
        <w:rPr>
          <w:sz w:val="20"/>
          <w:szCs w:val="20"/>
          <w:color w:val="auto"/>
        </w:rPr>
      </w:pPr>
      <w:r>
        <w:rPr>
          <w:rFonts w:ascii="Arial" w:cs="Arial" w:eastAsia="Arial" w:hAnsi="Arial"/>
          <w:sz w:val="16"/>
          <w:szCs w:val="16"/>
          <w:color w:val="auto"/>
        </w:rPr>
        <w:t>The Company had deposits of $749,000 and $603,000 included in long-term assets as of September 30, 2021 and December 31, 2020, respectively, restricted from withdrawal and held by banks in the form of collateral for irrevocable standby letters of credit held as security for the Company's leases.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Testing Revenue</w:t>
      </w:r>
    </w:p>
    <w:p>
      <w:pPr>
        <w:spacing w:after="0" w:line="214" w:lineRule="exact"/>
        <w:rPr>
          <w:sz w:val="20"/>
          <w:szCs w:val="20"/>
          <w:color w:val="auto"/>
        </w:rPr>
      </w:pPr>
    </w:p>
    <w:p>
      <w:pPr>
        <w:jc w:val="both"/>
        <w:ind w:firstLine="304"/>
        <w:spacing w:after="0" w:line="253" w:lineRule="auto"/>
        <w:rPr>
          <w:sz w:val="20"/>
          <w:szCs w:val="20"/>
          <w:color w:val="auto"/>
        </w:rPr>
      </w:pPr>
      <w:r>
        <w:rPr>
          <w:rFonts w:ascii="Arial" w:cs="Arial" w:eastAsia="Arial" w:hAnsi="Arial"/>
          <w:sz w:val="17"/>
          <w:szCs w:val="17"/>
          <w:color w:val="auto"/>
        </w:rPr>
        <w:t xml:space="preserve">The Company recognizes testing revenue in accordance with the provisions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The Company bills for testing services at the time of test completion as defined by the delivery of test results. The Company recognizes revenue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184" w:lineRule="exact"/>
        <w:rPr>
          <w:sz w:val="20"/>
          <w:szCs w:val="20"/>
          <w:color w:val="auto"/>
        </w:rPr>
      </w:pPr>
    </w:p>
    <w:p>
      <w:pPr>
        <w:jc w:val="both"/>
        <w:ind w:firstLine="304"/>
        <w:spacing w:after="0" w:line="301" w:lineRule="auto"/>
        <w:rPr>
          <w:sz w:val="20"/>
          <w:szCs w:val="20"/>
          <w:color w:val="auto"/>
        </w:rPr>
      </w:pPr>
      <w:r>
        <w:rPr>
          <w:rFonts w:ascii="Arial" w:cs="Arial" w:eastAsia="Arial" w:hAnsi="Arial"/>
          <w:sz w:val="15"/>
          <w:szCs w:val="15"/>
          <w:color w:val="auto"/>
        </w:rPr>
        <w:t>During 2021, the Company changed its revenue estimates due to actual and anticipated cash collections for tests delivered in prior quarters and recognized additional revenue of $0.5 million and $0.9 million for the three and nine months ended September 30, 2021, respectively. These adjustments resulted in decreases in the Company's loss from operations of $0.5 million and $0.9 million for the three and nine months ended September 30, 2021, respectively. These adjustments resulted in a decrease in basic and diluted net loss per share of $0.01 for each of the three and nine months ended September 30, 2021.</w:t>
      </w:r>
    </w:p>
    <w:p>
      <w:pPr>
        <w:spacing w:after="0" w:line="149" w:lineRule="exact"/>
        <w:rPr>
          <w:sz w:val="20"/>
          <w:szCs w:val="20"/>
          <w:color w:val="auto"/>
        </w:rPr>
      </w:pPr>
    </w:p>
    <w:p>
      <w:pPr>
        <w:jc w:val="both"/>
        <w:ind w:firstLine="304"/>
        <w:spacing w:after="0" w:line="256" w:lineRule="auto"/>
        <w:rPr>
          <w:sz w:val="20"/>
          <w:szCs w:val="20"/>
          <w:color w:val="auto"/>
        </w:rPr>
      </w:pPr>
      <w:r>
        <w:rPr>
          <w:rFonts w:ascii="Arial" w:cs="Arial" w:eastAsia="Arial" w:hAnsi="Arial"/>
          <w:sz w:val="17"/>
          <w:szCs w:val="17"/>
          <w:color w:val="auto"/>
        </w:rPr>
        <w:t>During 2020, the Company changed its revenue estimates due to actual and anticipated cash collections for tests delivered in prior quarters and recognized additional revenue of $0.3 million and $1.2 million for the three and nine months ended September 30, 2020, respectively. These adjustments resulted in decreases in the Company's loss from operations of $0.3 million and $1.2 million and a decrease in basic and diluted net loss per share of zero and $0.02 for the three and nine months ended September 30, 2020, respectively.</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Product Revenue</w:t>
      </w:r>
    </w:p>
    <w:p>
      <w:pPr>
        <w:spacing w:after="0" w:line="214" w:lineRule="exact"/>
        <w:rPr>
          <w:sz w:val="20"/>
          <w:szCs w:val="20"/>
          <w:color w:val="auto"/>
        </w:rPr>
      </w:pPr>
    </w:p>
    <w:p>
      <w:pPr>
        <w:jc w:val="both"/>
        <w:ind w:firstLine="304"/>
        <w:spacing w:after="0" w:line="289" w:lineRule="auto"/>
        <w:rPr>
          <w:sz w:val="20"/>
          <w:szCs w:val="20"/>
          <w:color w:val="auto"/>
        </w:rPr>
      </w:pPr>
      <w:r>
        <w:rPr>
          <w:rFonts w:ascii="Arial" w:cs="Arial" w:eastAsia="Arial" w:hAnsi="Arial"/>
          <w:sz w:val="15"/>
          <w:szCs w:val="15"/>
          <w:color w:val="auto"/>
        </w:rPr>
        <w:t>Product revenue from instruments and diagnostic kits is recognized generally upon shipment or when the instrument is ready for use by the end customer.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transferred control of a product to the customer, meaning the customer has the ability to use and obtain the benefit of the product. The Company recognizes product revenue for satisfied performance obligations only when there are no uncertainties regarding payment terms or transfer of control. Shipping and handling costs incurred for product shipments are included in product revenue. Revenues are presented net of the taxes that are collected from customers and remitted to governmental authorities. There was no revenue from instrument sales for nine months ended September 30, 2021 or 2020.</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Biopharmaceutical and Other Revenue</w:t>
      </w:r>
    </w:p>
    <w:p>
      <w:pPr>
        <w:spacing w:after="0" w:line="214"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 xml:space="preserve">The Company enters into arrangements for research and development, commercialization, contract manufacturing and contract testing services. Such arrangements may require the Company to deliver various rights, manufactured diagnostic test kits, services and/or samples, including intellectual property rights/licenses, research and development services, and/or commercialization services. The underlying terms of these arrangements generally provide for consideration to the Company in the form of nonrefundable upfront license fees; payments on delivery of data, test results or manufactured products; costs of service plus margin; development and commercial performance milestone payments; royalty payments; and/or profit sharing. Net sales of data or other services to customers are recognized in accordance with ASC 606 and are classified under biopharmaceutical and other revenue. Milestone payments which fall under the scope of ASC Topic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or ASC 808, are classified under collaboration revenue. Payments received that are not related to sales or services to a customer or collaboration revenue are recorded as offsets against research and development expense or cost of biopharmaceutical and other revenue in the Company's condensed consolidated statements of operations.</w:t>
      </w:r>
    </w:p>
    <w:p>
      <w:pPr>
        <w:spacing w:after="0" w:line="19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In arrangements involving more than one good or service, each required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206"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74"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17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i w:val="1"/>
          <w:iCs w:val="1"/>
          <w:color w:val="auto"/>
        </w:rPr>
        <w:t xml:space="preserve">Up-front Fees: </w:t>
      </w:r>
      <w:r>
        <w:rPr>
          <w:rFonts w:ascii="Arial" w:cs="Arial" w:eastAsia="Arial" w:hAnsi="Arial"/>
          <w:sz w:val="16"/>
          <w:szCs w:val="16"/>
          <w:color w:val="auto"/>
        </w:rPr>
        <w:t>If a license to the Company’s intellectual property is determined to be distinct from the other performance obligations identified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90"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milestone payments (variable consideration), the Company evaluates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revenues and earnings in the period of adjustment. Revisions to the Company’s estimate of the transaction price may also result in negative revenues and earnings in the period of adjustment.</w:t>
      </w:r>
    </w:p>
    <w:p>
      <w:pPr>
        <w:spacing w:after="0" w:line="195"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Accounts receivable from biopharmaceutical and other revenue was $9.2 million at September 30, 2021 and $0.4 million at December 31, 2020. There was $4.0 million and $1.0 million of deferred revenue related to these agreements at September 30, 2021 and December 31, 2020, respectively. Revenues included in biopharmaceutical and other revenue for the three and nine months ended September 30, 2021 and 2020 were as follows (in thousands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00" w:type="dxa"/>
            <w:vAlign w:val="bottom"/>
          </w:tcPr>
          <w:p>
            <w:pPr>
              <w:spacing w:after="0"/>
              <w:rPr>
                <w:sz w:val="17"/>
                <w:szCs w:val="17"/>
                <w:color w:val="auto"/>
              </w:rPr>
            </w:pPr>
          </w:p>
        </w:tc>
        <w:tc>
          <w:tcPr>
            <w:tcW w:w="382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5"/>
                <w:szCs w:val="15"/>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2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5"/>
                <w:szCs w:val="15"/>
                <w:b w:val="1"/>
                <w:bCs w:val="1"/>
                <w:color w:val="auto"/>
              </w:rPr>
              <w:t>Nine Months Ended September 30,</w:t>
            </w:r>
          </w:p>
        </w:tc>
        <w:tc>
          <w:tcPr>
            <w:tcW w:w="460" w:type="dxa"/>
            <w:vAlign w:val="bottom"/>
            <w:tcBorders>
              <w:bottom w:val="single" w:sz="8" w:color="auto"/>
            </w:tcBorders>
          </w:tcPr>
          <w:p>
            <w:pPr>
              <w:spacing w:after="0"/>
              <w:rPr>
                <w:sz w:val="17"/>
                <w:szCs w:val="17"/>
                <w:color w:val="auto"/>
              </w:rPr>
            </w:pPr>
          </w:p>
        </w:tc>
      </w:tr>
      <w:tr>
        <w:trPr>
          <w:trHeight w:val="196"/>
        </w:trPr>
        <w:tc>
          <w:tcPr>
            <w:tcW w:w="26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2020</w:t>
            </w:r>
          </w:p>
        </w:tc>
        <w:tc>
          <w:tcPr>
            <w:tcW w:w="460" w:type="dxa"/>
            <w:vAlign w:val="bottom"/>
            <w:tcBorders>
              <w:bottom w:val="single" w:sz="8" w:color="auto"/>
            </w:tcBorders>
          </w:tcPr>
          <w:p>
            <w:pPr>
              <w:spacing w:after="0"/>
              <w:rPr>
                <w:sz w:val="17"/>
                <w:szCs w:val="17"/>
                <w:color w:val="auto"/>
              </w:rPr>
            </w:pPr>
          </w:p>
        </w:tc>
      </w:tr>
      <w:tr>
        <w:trPr>
          <w:trHeight w:val="199"/>
        </w:trPr>
        <w:tc>
          <w:tcPr>
            <w:tcW w:w="2600" w:type="dxa"/>
            <w:vAlign w:val="bottom"/>
            <w:shd w:val="clear" w:color="auto" w:fill="CCEEFF"/>
          </w:tcPr>
          <w:p>
            <w:pPr>
              <w:ind w:left="740"/>
              <w:spacing w:after="0"/>
              <w:rPr>
                <w:sz w:val="20"/>
                <w:szCs w:val="20"/>
                <w:color w:val="auto"/>
              </w:rPr>
            </w:pPr>
            <w:r>
              <w:rPr>
                <w:rFonts w:ascii="Arial" w:cs="Arial" w:eastAsia="Arial" w:hAnsi="Arial"/>
                <w:sz w:val="15"/>
                <w:szCs w:val="15"/>
                <w:color w:val="auto"/>
              </w:rPr>
              <w:t>Development services</w:t>
            </w:r>
          </w:p>
        </w:tc>
        <w:tc>
          <w:tcPr>
            <w:tcW w:w="164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3,849</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5,242</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1,780</w:t>
            </w:r>
          </w:p>
        </w:tc>
      </w:tr>
      <w:tr>
        <w:trPr>
          <w:trHeight w:val="199"/>
        </w:trPr>
        <w:tc>
          <w:tcPr>
            <w:tcW w:w="2600" w:type="dxa"/>
            <w:vAlign w:val="bottom"/>
          </w:tcPr>
          <w:p>
            <w:pPr>
              <w:ind w:left="740"/>
              <w:spacing w:after="0"/>
              <w:rPr>
                <w:sz w:val="20"/>
                <w:szCs w:val="20"/>
                <w:color w:val="auto"/>
              </w:rPr>
            </w:pPr>
            <w:r>
              <w:rPr>
                <w:rFonts w:ascii="Arial" w:cs="Arial" w:eastAsia="Arial" w:hAnsi="Arial"/>
                <w:sz w:val="15"/>
                <w:szCs w:val="15"/>
                <w:color w:val="auto"/>
              </w:rPr>
              <w:t>Provision of data</w:t>
            </w:r>
          </w:p>
        </w:tc>
        <w:tc>
          <w:tcPr>
            <w:tcW w:w="16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1,392</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275</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1,839</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1,545</w:t>
            </w:r>
          </w:p>
        </w:tc>
      </w:tr>
      <w:tr>
        <w:trPr>
          <w:trHeight w:val="206"/>
        </w:trPr>
        <w:tc>
          <w:tcPr>
            <w:tcW w:w="2600" w:type="dxa"/>
            <w:vAlign w:val="bottom"/>
            <w:shd w:val="clear" w:color="auto" w:fill="CCEEFF"/>
          </w:tcPr>
          <w:p>
            <w:pPr>
              <w:ind w:left="740"/>
              <w:spacing w:after="0"/>
              <w:rPr>
                <w:sz w:val="20"/>
                <w:szCs w:val="20"/>
                <w:color w:val="auto"/>
              </w:rPr>
            </w:pPr>
            <w:r>
              <w:rPr>
                <w:rFonts w:ascii="Arial" w:cs="Arial" w:eastAsia="Arial" w:hAnsi="Arial"/>
                <w:sz w:val="15"/>
                <w:szCs w:val="15"/>
                <w:color w:val="auto"/>
              </w:rPr>
              <w:t>Milestones</w:t>
            </w:r>
          </w:p>
        </w:tc>
        <w:tc>
          <w:tcPr>
            <w:tcW w:w="16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199"/>
        </w:trPr>
        <w:tc>
          <w:tcPr>
            <w:tcW w:w="2600" w:type="dxa"/>
            <w:vAlign w:val="bottom"/>
          </w:tcPr>
          <w:p>
            <w:pPr>
              <w:ind w:left="740"/>
              <w:spacing w:after="0"/>
              <w:rPr>
                <w:sz w:val="20"/>
                <w:szCs w:val="20"/>
                <w:color w:val="auto"/>
              </w:rPr>
            </w:pPr>
            <w:r>
              <w:rPr>
                <w:rFonts w:ascii="Arial" w:cs="Arial" w:eastAsia="Arial" w:hAnsi="Arial"/>
                <w:sz w:val="15"/>
                <w:szCs w:val="15"/>
                <w:color w:val="auto"/>
              </w:rPr>
              <w:t>Development rights</w:t>
            </w:r>
          </w:p>
        </w:tc>
        <w:tc>
          <w:tcPr>
            <w:tcW w:w="16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2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206"/>
        </w:trPr>
        <w:tc>
          <w:tcPr>
            <w:tcW w:w="260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Contract manufacturing</w:t>
            </w:r>
          </w:p>
        </w:tc>
        <w:tc>
          <w:tcPr>
            <w:tcW w:w="16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1,221</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1,221</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2600" w:type="dxa"/>
            <w:vAlign w:val="bottom"/>
          </w:tcPr>
          <w:p>
            <w:pPr>
              <w:ind w:left="740"/>
              <w:spacing w:after="0"/>
              <w:rPr>
                <w:sz w:val="20"/>
                <w:szCs w:val="20"/>
                <w:color w:val="auto"/>
              </w:rPr>
            </w:pPr>
            <w:r>
              <w:rPr>
                <w:rFonts w:ascii="Arial" w:cs="Arial" w:eastAsia="Arial" w:hAnsi="Arial"/>
                <w:sz w:val="15"/>
                <w:szCs w:val="15"/>
                <w:color w:val="auto"/>
              </w:rPr>
              <w:t>Contract testing</w:t>
            </w:r>
          </w:p>
        </w:tc>
        <w:tc>
          <w:tcPr>
            <w:tcW w:w="16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2600" w:type="dxa"/>
            <w:vAlign w:val="bottom"/>
            <w:tcBorders>
              <w:top w:val="single" w:sz="8" w:color="CCEEFF"/>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Total</w:t>
            </w:r>
          </w:p>
        </w:tc>
        <w:tc>
          <w:tcPr>
            <w:tcW w:w="164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5,325</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Diagnostic Development Agreement with Johnson &amp; Johnson</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Company has entered into contracts with the Lung Cancer Initiative at Johnson &amp; Johnson to cooperate on the development of clinical data, to provide data generated by the Company and to license the right to use data under the Company's intellectual property rights. Under the terms of the agreements, the Company will provide data in exchange for up to $18.0 million in payments from Johnson &amp; Johnson. The Company is also entitled to additional payments of up to $13.0 million, conditioned upon the achievement of certain milestones.</w:t>
      </w:r>
    </w:p>
    <w:p>
      <w:pPr>
        <w:spacing w:after="0" w:line="206"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The agreements are considered to be within the scope of ASC 808 with respect to the milestone payments, as the parties are active participants and exposed to the risks and rewards of the collaborative activity. The delivery of data under the collaborative arrangement, which the Company believes is a distinct service for which Johnson &amp; Johnson meets the definition of a customer is within the scope of ASC 606. Using the concepts of ASC 606, the Company has identified the delivery of data as its only performance obligation. The grant of the license is not distinct from other performance obligations as the customer receives benefit only when other performance obligations are met. The Company further determined that the transaction prices under the arrangements are the $18.0 million in payments which was allocated to the obligation to deliver data. The $13.0 million in future potential payments is considered variable consideration because the Company determined that the potential payments are contingent upon regulatory, development and commercialization milestones that are uncertain to occur and, as such, were not included in the transaction price, and will be recognized accordingly as each potential payment becomes probable.</w:t>
      </w:r>
    </w:p>
    <w:p>
      <w:pPr>
        <w:spacing w:after="0" w:line="158"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For the three and nine months ended September 30, 2021, the Company recognized $0.1 million and $0.4 million, respectively, of revenue under these contracts, which is included in biopharmaceutical and other revenue. For the three and nine months ended September 30, 2020, the Company recognized $0.3 million and $1.9 million, respectively, of revenue under these contracts. Accounts receivable from Johnson &amp; Johnson related to these contracts was $0.1 million at September 30, 2021 and zero at December 31, 2020. There was $1.1 million and $1.0 million of deferred revenue related to these agreements at September 30, 2021 and December 31,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Testing Revenue</w:t>
      </w:r>
    </w:p>
    <w:p>
      <w:pPr>
        <w:spacing w:after="0" w:line="210"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The components of our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Revenue</w:t>
      </w:r>
    </w:p>
    <w:p>
      <w:pPr>
        <w:spacing w:after="0" w:line="21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 xml:space="preserve">Cost of product revenue consists primarily of costs of purchasing instruments and diagnostic kits from </w:t>
      </w:r>
      <w:r>
        <w:rPr>
          <w:rFonts w:ascii="Arial" w:cs="Arial" w:eastAsia="Arial" w:hAnsi="Arial"/>
          <w:sz w:val="16"/>
          <w:szCs w:val="16"/>
          <w:i w:val="1"/>
          <w:iCs w:val="1"/>
          <w:color w:val="auto"/>
        </w:rPr>
        <w:t>third</w:t>
      </w:r>
      <w:r>
        <w:rPr>
          <w:rFonts w:ascii="Arial" w:cs="Arial" w:eastAsia="Arial" w:hAnsi="Arial"/>
          <w:sz w:val="16"/>
          <w:szCs w:val="16"/>
          <w:color w:val="auto"/>
        </w:rPr>
        <w:t>-party contract manufacturers, installation, service and packaging and delivery costs. In addition, cost of product includes royalty costs for licensed technologies included in the Company’s products and labor expenses. Cost of product revenue for instruments and diagnostic kits is recognized in the period the related revenue is recognized. Shipping and handling costs incurred for product shipments are included in cost of product in the condensed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Biopharmaceutical and Other Revenue</w:t>
      </w:r>
    </w:p>
    <w:p>
      <w:pPr>
        <w:spacing w:after="0" w:line="21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Cost of biopharmaceutical and other revenue consists of costs of performing activities under arrangements that require the Company to perform research and development, commercialization, contract manufacturing and contract testing services on behalf of a customer.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French Research Tax Credits</w:t>
      </w:r>
    </w:p>
    <w:p>
      <w:pPr>
        <w:spacing w:after="0" w:line="236"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The French research tax credits (“crédit d’impôt recherche” or “CIR”) is generated by the Company’s wholly owned subsidiary, HalioDx, in connection with its research efforts performed in Marseille, France. The Company recognizes other income from the CIR over time based on when the research and development expenses are incurred and includes the CIR in prepaids and other current assets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23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The functional currency of the Company’s foreign subsidiary HalioDx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Revenues and expenses from the Company’s foreign subsidiaries are translated using the monthly average exchange rates in effect during the period in which the transactions occur. Foreign currency transaction gains and losses are recorded in other (loss) income, net, on the condensed consolidated statements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Liability</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Company offers a defined benefit pension plan to certain non-U.S. employees of its HalioDx subsidiary. As of September 30, 2021, the total pension obligation is $1.1 million and is included in other liabilities on the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0"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 xml:space="preserve">In December 2019, the Financial Accounting Standards Board, or the FASB, issued Accounting Standards Update, or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This standard simplifies the accounting for income taxes by removing certain exceptions to the general principles in</w:t>
      </w:r>
      <w:r>
        <w:rPr>
          <w:rFonts w:ascii="Arial" w:cs="Arial" w:eastAsia="Arial" w:hAnsi="Arial"/>
          <w:sz w:val="16"/>
          <w:szCs w:val="16"/>
          <w:i w:val="1"/>
          <w:iCs w:val="1"/>
          <w:color w:val="auto"/>
        </w:rPr>
        <w:t xml:space="preserve"> </w:t>
      </w:r>
      <w:r>
        <w:rPr>
          <w:rFonts w:ascii="Arial" w:cs="Arial" w:eastAsia="Arial" w:hAnsi="Arial"/>
          <w:sz w:val="16"/>
          <w:szCs w:val="16"/>
          <w:color w:val="auto"/>
        </w:rPr>
        <w:t>Topic 740. This ASU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The amendments in this ASU also improve consistency and simplify other areas of Topic 740 by clarifying and amending existing guidance. The revised guidance will be applied prospectively and became effective for the Company beginning January 1, 2021. The adoption of ASU 2019-12 did not have a material impact on our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Net Loss Per Common Share</w:t>
      </w:r>
    </w:p>
    <w:p>
      <w:pPr>
        <w:spacing w:after="0" w:line="214"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60" w:type="dxa"/>
            <w:vAlign w:val="bottom"/>
          </w:tcPr>
          <w:p>
            <w:pPr>
              <w:spacing w:after="0"/>
              <w:rPr>
                <w:sz w:val="17"/>
                <w:szCs w:val="17"/>
                <w:color w:val="auto"/>
              </w:rPr>
            </w:pPr>
          </w:p>
        </w:tc>
        <w:tc>
          <w:tcPr>
            <w:tcW w:w="3400" w:type="dxa"/>
            <w:vAlign w:val="bottom"/>
            <w:gridSpan w:val="4"/>
          </w:tcPr>
          <w:p>
            <w:pPr>
              <w:ind w:left="460"/>
              <w:spacing w:after="0"/>
              <w:rPr>
                <w:sz w:val="20"/>
                <w:szCs w:val="20"/>
                <w:color w:val="auto"/>
              </w:rPr>
            </w:pPr>
            <w:r>
              <w:rPr>
                <w:rFonts w:ascii="Arial" w:cs="Arial" w:eastAsia="Arial" w:hAnsi="Arial"/>
                <w:sz w:val="15"/>
                <w:szCs w:val="15"/>
                <w:b w:val="1"/>
                <w:bCs w:val="1"/>
                <w:color w:val="auto"/>
              </w:rPr>
              <w:t>Three Months Ended September 30,</w:t>
            </w:r>
          </w:p>
        </w:tc>
        <w:tc>
          <w:tcPr>
            <w:tcW w:w="3280" w:type="dxa"/>
            <w:vAlign w:val="bottom"/>
            <w:gridSpan w:val="3"/>
          </w:tcPr>
          <w:p>
            <w:pPr>
              <w:jc w:val="right"/>
              <w:ind w:right="42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456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2020</w:t>
            </w:r>
          </w:p>
        </w:tc>
      </w:tr>
      <w:tr>
        <w:trPr>
          <w:trHeight w:val="199"/>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of common stock subject to outstanding options</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3,668,179</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4,492,414</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3,817,351</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4,691,424</w:t>
            </w:r>
          </w:p>
        </w:tc>
      </w:tr>
      <w:tr>
        <w:trPr>
          <w:trHeight w:val="199"/>
        </w:trPr>
        <w:tc>
          <w:tcPr>
            <w:tcW w:w="4560" w:type="dxa"/>
            <w:vAlign w:val="bottom"/>
          </w:tcPr>
          <w:p>
            <w:pPr>
              <w:ind w:left="20"/>
              <w:spacing w:after="0"/>
              <w:rPr>
                <w:sz w:val="20"/>
                <w:szCs w:val="20"/>
                <w:color w:val="auto"/>
              </w:rPr>
            </w:pPr>
            <w:r>
              <w:rPr>
                <w:rFonts w:ascii="Arial" w:cs="Arial" w:eastAsia="Arial" w:hAnsi="Arial"/>
                <w:sz w:val="15"/>
                <w:szCs w:val="15"/>
                <w:color w:val="auto"/>
              </w:rPr>
              <w:t>Employee stock purchase plan</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14,445</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15,673</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16,686</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20,151</w:t>
            </w: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units</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1,246,888</w:t>
            </w: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891,087</w:t>
            </w:r>
          </w:p>
        </w:tc>
        <w:tc>
          <w:tcPr>
            <w:tcW w:w="12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1,011,466</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929,968</w:t>
            </w:r>
          </w:p>
        </w:tc>
      </w:tr>
      <w:tr>
        <w:trPr>
          <w:trHeight w:val="199"/>
        </w:trPr>
        <w:tc>
          <w:tcPr>
            <w:tcW w:w="4560" w:type="dxa"/>
            <w:vAlign w:val="bottom"/>
          </w:tcPr>
          <w:p>
            <w:pPr>
              <w:ind w:left="20"/>
              <w:spacing w:after="0"/>
              <w:rPr>
                <w:sz w:val="20"/>
                <w:szCs w:val="20"/>
                <w:color w:val="auto"/>
              </w:rPr>
            </w:pPr>
            <w:r>
              <w:rPr>
                <w:rFonts w:ascii="Arial" w:cs="Arial" w:eastAsia="Arial" w:hAnsi="Arial"/>
                <w:sz w:val="15"/>
                <w:szCs w:val="15"/>
                <w:color w:val="auto"/>
              </w:rPr>
              <w:t>Total common stock equivalents</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4,929,512</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5,399,174</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4,845,503</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5,641,543</w:t>
            </w:r>
          </w:p>
        </w:tc>
      </w:tr>
      <w:tr>
        <w:trPr>
          <w:trHeight w:val="20"/>
        </w:trPr>
        <w:tc>
          <w:tcPr>
            <w:tcW w:w="4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Balance Sheet Components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Goodwill</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changes in the carrying amounts of goodwill were as follows (in thousands of dollars):</w:t>
      </w:r>
    </w:p>
    <w:p>
      <w:pPr>
        <w:spacing w:after="0" w:line="274" w:lineRule="exact"/>
        <w:rPr>
          <w:sz w:val="20"/>
          <w:szCs w:val="20"/>
          <w:color w:val="auto"/>
        </w:rPr>
      </w:pPr>
    </w:p>
    <w:tbl>
      <w:tblPr>
        <w:tblLayout w:type="fixed"/>
        <w:tblInd w:w="440" w:type="dxa"/>
        <w:tblCellMar>
          <w:top w:w="0" w:type="dxa"/>
          <w:left w:w="0" w:type="dxa"/>
          <w:bottom w:w="0" w:type="dxa"/>
          <w:right w:w="0" w:type="dxa"/>
        </w:tblCellMar>
      </w:tblPr>
      <w:tr>
        <w:trPr>
          <w:trHeight w:val="199"/>
        </w:trPr>
        <w:tc>
          <w:tcPr>
            <w:tcW w:w="90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Amounts</w:t>
            </w:r>
          </w:p>
        </w:tc>
      </w:tr>
      <w:tr>
        <w:trPr>
          <w:trHeight w:val="199"/>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Balance as of December 31, 2020</w:t>
            </w: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2,725</w:t>
            </w:r>
          </w:p>
        </w:tc>
      </w:tr>
      <w:tr>
        <w:trPr>
          <w:trHeight w:val="199"/>
        </w:trPr>
        <w:tc>
          <w:tcPr>
            <w:tcW w:w="9020" w:type="dxa"/>
            <w:vAlign w:val="bottom"/>
          </w:tcPr>
          <w:p>
            <w:pPr>
              <w:ind w:left="500"/>
              <w:spacing w:after="0"/>
              <w:rPr>
                <w:sz w:val="20"/>
                <w:szCs w:val="20"/>
                <w:color w:val="auto"/>
              </w:rPr>
            </w:pPr>
            <w:r>
              <w:rPr>
                <w:rFonts w:ascii="Arial" w:cs="Arial" w:eastAsia="Arial" w:hAnsi="Arial"/>
                <w:sz w:val="15"/>
                <w:szCs w:val="15"/>
                <w:color w:val="auto"/>
              </w:rPr>
              <w:t>Goodwill acquired - Decipher Biosciences</w:t>
            </w:r>
          </w:p>
        </w:tc>
        <w:tc>
          <w:tcPr>
            <w:tcW w:w="6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468,253</w:t>
            </w:r>
          </w:p>
        </w:tc>
      </w:tr>
      <w:tr>
        <w:trPr>
          <w:trHeight w:val="206"/>
        </w:trPr>
        <w:tc>
          <w:tcPr>
            <w:tcW w:w="90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Goodwill acquired - HalioDx</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249,612</w:t>
            </w:r>
          </w:p>
        </w:tc>
      </w:tr>
      <w:tr>
        <w:trPr>
          <w:trHeight w:val="199"/>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Effect of foreign currency translation on Goodwill acquired - HalioDx</w:t>
            </w: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(6,317)</w:t>
            </w:r>
          </w:p>
        </w:tc>
      </w:tr>
      <w:tr>
        <w:trPr>
          <w:trHeight w:val="224"/>
        </w:trPr>
        <w:tc>
          <w:tcPr>
            <w:tcW w:w="9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Balance as of September 30, 2021</w:t>
            </w:r>
          </w:p>
        </w:tc>
        <w:tc>
          <w:tcPr>
            <w:tcW w:w="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714,273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236" w:lineRule="exact"/>
        <w:rPr>
          <w:sz w:val="20"/>
          <w:szCs w:val="20"/>
          <w:color w:val="auto"/>
        </w:rPr>
      </w:pPr>
    </w:p>
    <w:p>
      <w:pPr>
        <w:jc w:val="both"/>
        <w:ind w:right="100" w:firstLine="380"/>
        <w:spacing w:after="0" w:line="272" w:lineRule="auto"/>
        <w:rPr>
          <w:sz w:val="20"/>
          <w:szCs w:val="20"/>
          <w:color w:val="auto"/>
        </w:rPr>
      </w:pPr>
      <w:r>
        <w:rPr>
          <w:rFonts w:ascii="Arial" w:cs="Arial" w:eastAsia="Arial" w:hAnsi="Arial"/>
          <w:sz w:val="17"/>
          <w:szCs w:val="17"/>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360"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1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87"/>
              </w:rPr>
              <w:t>September 30, 2021</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December 31, 2020</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200" w:type="dxa"/>
            <w:vAlign w:val="bottom"/>
          </w:tcPr>
          <w:p>
            <w:pPr>
              <w:spacing w:after="0"/>
              <w:rPr>
                <w:sz w:val="11"/>
                <w:szCs w:val="11"/>
                <w:color w:val="auto"/>
              </w:rPr>
            </w:pPr>
          </w:p>
        </w:tc>
        <w:tc>
          <w:tcPr>
            <w:tcW w:w="14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Gross Carrying</w:t>
            </w:r>
          </w:p>
        </w:tc>
        <w:tc>
          <w:tcPr>
            <w:tcW w:w="5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46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14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6"/>
              </w:rPr>
              <w:t>Gross Carrying</w:t>
            </w:r>
          </w:p>
        </w:tc>
        <w:tc>
          <w:tcPr>
            <w:tcW w:w="50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460" w:type="dxa"/>
            <w:vAlign w:val="bottom"/>
          </w:tcPr>
          <w:p>
            <w:pPr>
              <w:spacing w:after="0"/>
              <w:rPr>
                <w:sz w:val="11"/>
                <w:szCs w:val="11"/>
                <w:color w:val="auto"/>
              </w:rPr>
            </w:pPr>
          </w:p>
        </w:tc>
        <w:tc>
          <w:tcPr>
            <w:tcW w:w="88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w w:val="90"/>
              </w:rPr>
              <w:t>Net Carrying</w:t>
            </w:r>
          </w:p>
        </w:tc>
        <w:tc>
          <w:tcPr>
            <w:tcW w:w="80" w:type="dxa"/>
            <w:vAlign w:val="bottom"/>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27"/>
        </w:trPr>
        <w:tc>
          <w:tcPr>
            <w:tcW w:w="120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Amortization</w:t>
            </w:r>
          </w:p>
        </w:tc>
        <w:tc>
          <w:tcPr>
            <w:tcW w:w="4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tcPr>
          <w:p>
            <w:pPr>
              <w:ind w:left="44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Amortization</w:t>
            </w:r>
          </w:p>
        </w:tc>
        <w:tc>
          <w:tcPr>
            <w:tcW w:w="1340" w:type="dxa"/>
            <w:vAlign w:val="bottom"/>
            <w:gridSpan w:val="2"/>
          </w:tcPr>
          <w:p>
            <w:pPr>
              <w:jc w:val="right"/>
              <w:ind w:right="36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Period (Years)</w:t>
            </w:r>
          </w:p>
        </w:tc>
        <w:tc>
          <w:tcPr>
            <w:tcW w:w="0" w:type="dxa"/>
            <w:vAlign w:val="bottom"/>
          </w:tcPr>
          <w:p>
            <w:pPr>
              <w:spacing w:after="0"/>
              <w:rPr>
                <w:sz w:val="1"/>
                <w:szCs w:val="1"/>
                <w:color w:val="auto"/>
              </w:rPr>
            </w:pPr>
          </w:p>
        </w:tc>
      </w:tr>
      <w:tr>
        <w:trPr>
          <w:trHeight w:val="158"/>
        </w:trPr>
        <w:tc>
          <w:tcPr>
            <w:tcW w:w="1200" w:type="dxa"/>
            <w:vAlign w:val="bottom"/>
            <w:shd w:val="clear" w:color="auto" w:fill="CCEEFF"/>
          </w:tcPr>
          <w:p>
            <w:pPr>
              <w:ind w:left="400"/>
              <w:spacing w:after="0" w:line="159" w:lineRule="exact"/>
              <w:rPr>
                <w:sz w:val="20"/>
                <w:szCs w:val="20"/>
                <w:color w:val="auto"/>
              </w:rPr>
            </w:pPr>
            <w:r>
              <w:rPr>
                <w:rFonts w:ascii="Arial" w:cs="Arial" w:eastAsia="Arial" w:hAnsi="Arial"/>
                <w:sz w:val="15"/>
                <w:szCs w:val="15"/>
                <w:color w:val="auto"/>
              </w:rPr>
              <w:t>Percepta</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16,000</w:t>
            </w:r>
          </w:p>
        </w:tc>
        <w:tc>
          <w:tcPr>
            <w:tcW w:w="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(6,933)</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9,067</w:t>
            </w:r>
          </w:p>
        </w:tc>
        <w:tc>
          <w:tcPr>
            <w:tcW w:w="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16,000</w:t>
            </w:r>
          </w:p>
        </w:tc>
        <w:tc>
          <w:tcPr>
            <w:tcW w:w="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(6,133)</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9,867</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Prosigna</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4,120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(504)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3,616</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4,120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(298)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3,822</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rPr>
              <w:t>Prosigna</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customer</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2,430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1,539</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2,430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1,904</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71"/>
              </w:rPr>
              <w:t>5</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relationships</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nCounter</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46,880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(5,730)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41,150</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46,880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(3,386)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43,494</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Dx license</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w w:val="99"/>
              </w:rPr>
              <w:t>LymphMark</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731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990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837</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71"/>
              </w:rPr>
              <w:t>7</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Decipher</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20"/>
              <w:spacing w:after="0" w:line="152" w:lineRule="exact"/>
              <w:rPr>
                <w:sz w:val="20"/>
                <w:szCs w:val="20"/>
                <w:color w:val="auto"/>
              </w:rPr>
            </w:pPr>
            <w:r>
              <w:rPr>
                <w:rFonts w:ascii="Arial" w:cs="Arial" w:eastAsia="Arial" w:hAnsi="Arial"/>
                <w:sz w:val="15"/>
                <w:szCs w:val="15"/>
                <w:color w:val="auto"/>
              </w:rPr>
              <w:t>product</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90,000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(4,984)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85,016</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3"/>
              </w:rPr>
              <w:t>10</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rPr>
              <w:t>Decipher</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3,557</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71"/>
              </w:rPr>
              <w:t>5</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HalioDx</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20"/>
              <w:spacing w:after="0" w:line="152" w:lineRule="exact"/>
              <w:rPr>
                <w:sz w:val="20"/>
                <w:szCs w:val="20"/>
                <w:color w:val="auto"/>
              </w:rPr>
            </w:pPr>
            <w:r>
              <w:rPr>
                <w:rFonts w:ascii="Arial" w:cs="Arial" w:eastAsia="Arial" w:hAnsi="Arial"/>
                <w:sz w:val="15"/>
                <w:szCs w:val="15"/>
                <w:color w:val="auto"/>
              </w:rPr>
              <w:t>developed</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46,720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(772)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45,948</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83"/>
              </w:rPr>
              <w:t>10</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shd w:val="clear" w:color="auto" w:fill="CCEEFF"/>
          </w:tcPr>
          <w:p>
            <w:pPr>
              <w:ind w:left="400"/>
              <w:spacing w:after="0" w:line="160" w:lineRule="exact"/>
              <w:rPr>
                <w:sz w:val="20"/>
                <w:szCs w:val="20"/>
                <w:color w:val="auto"/>
              </w:rPr>
            </w:pPr>
            <w:r>
              <w:rPr>
                <w:rFonts w:ascii="Arial" w:cs="Arial" w:eastAsia="Arial" w:hAnsi="Arial"/>
                <w:sz w:val="15"/>
                <w:szCs w:val="15"/>
                <w:color w:val="auto"/>
              </w:rPr>
              <w:t>HalioDx</w:t>
            </w: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customer</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4,985</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4,667</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71"/>
              </w:rPr>
              <w:t>6</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relationships</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400"/>
              <w:spacing w:after="0" w:line="157" w:lineRule="exact"/>
              <w:rPr>
                <w:sz w:val="20"/>
                <w:szCs w:val="20"/>
                <w:color w:val="auto"/>
              </w:rPr>
            </w:pPr>
            <w:r>
              <w:rPr>
                <w:rFonts w:ascii="Arial" w:cs="Arial" w:eastAsia="Arial" w:hAnsi="Arial"/>
                <w:sz w:val="15"/>
                <w:szCs w:val="15"/>
                <w:color w:val="auto"/>
              </w:rPr>
              <w:t>HalioDx</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7,072</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(142)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6,930</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center"/>
              <w:ind w:left="384"/>
              <w:spacing w:after="0"/>
              <w:rPr>
                <w:sz w:val="20"/>
                <w:szCs w:val="20"/>
                <w:color w:val="auto"/>
              </w:rPr>
            </w:pPr>
            <w:r>
              <w:rPr>
                <w:rFonts w:ascii="Arial" w:cs="Arial" w:eastAsia="Arial" w:hAnsi="Arial"/>
                <w:sz w:val="15"/>
                <w:szCs w:val="15"/>
                <w:color w:val="auto"/>
                <w:w w:val="71"/>
              </w:rPr>
              <w:t>4</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w w:val="98"/>
              </w:rPr>
              <w:t>customer backlog</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00" w:type="dxa"/>
            <w:vAlign w:val="bottom"/>
            <w:tcBorders>
              <w:top w:val="single" w:sz="8" w:color="CCEEFF"/>
            </w:tcBorders>
            <w:shd w:val="clear" w:color="auto" w:fill="CCEEFF"/>
          </w:tcPr>
          <w:p>
            <w:pPr>
              <w:ind w:left="500"/>
              <w:spacing w:after="0" w:line="140" w:lineRule="exact"/>
              <w:rPr>
                <w:sz w:val="20"/>
                <w:szCs w:val="20"/>
                <w:color w:val="auto"/>
              </w:rPr>
            </w:pPr>
            <w:r>
              <w:rPr>
                <w:rFonts w:ascii="Arial" w:cs="Arial" w:eastAsia="Arial" w:hAnsi="Arial"/>
                <w:sz w:val="15"/>
                <w:szCs w:val="15"/>
                <w:color w:val="auto"/>
              </w:rPr>
              <w:t>Total</w:t>
            </w:r>
          </w:p>
        </w:tc>
        <w:tc>
          <w:tcPr>
            <w:tcW w:w="4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CEEFF"/>
          </w:tcPr>
          <w:p>
            <w:pPr>
              <w:ind w:left="120"/>
              <w:spacing w:after="0" w:line="152" w:lineRule="exact"/>
              <w:rPr>
                <w:sz w:val="20"/>
                <w:szCs w:val="20"/>
                <w:color w:val="auto"/>
              </w:rPr>
            </w:pPr>
            <w:r>
              <w:rPr>
                <w:rFonts w:ascii="Arial" w:cs="Arial" w:eastAsia="Arial" w:hAnsi="Arial"/>
                <w:sz w:val="15"/>
                <w:szCs w:val="15"/>
                <w:color w:val="auto"/>
              </w:rPr>
              <w:t>finite-lived</w:t>
            </w: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223,197</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(20,976)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202,221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70,420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(10,496)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59,924</w:t>
            </w:r>
          </w:p>
        </w:tc>
        <w:tc>
          <w:tcPr>
            <w:tcW w:w="1040" w:type="dxa"/>
            <w:vAlign w:val="bottom"/>
            <w:gridSpan w:val="2"/>
            <w:vMerge w:val="restart"/>
            <w:shd w:val="clear" w:color="auto" w:fill="CCEEFF"/>
          </w:tcPr>
          <w:p>
            <w:pPr>
              <w:jc w:val="center"/>
              <w:ind w:left="384"/>
              <w:spacing w:after="0"/>
              <w:rPr>
                <w:sz w:val="20"/>
                <w:szCs w:val="20"/>
                <w:color w:val="auto"/>
              </w:rPr>
            </w:pPr>
            <w:r>
              <w:rPr>
                <w:rFonts w:ascii="Arial" w:cs="Arial" w:eastAsia="Arial" w:hAnsi="Arial"/>
                <w:sz w:val="15"/>
                <w:szCs w:val="15"/>
                <w:color w:val="auto"/>
                <w:w w:val="88"/>
              </w:rPr>
              <w:t>10.9</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intangibles</w:t>
            </w: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00" w:type="dxa"/>
            <w:vAlign w:val="bottom"/>
          </w:tcPr>
          <w:p>
            <w:pPr>
              <w:ind w:left="20"/>
              <w:spacing w:after="0" w:line="157" w:lineRule="exact"/>
              <w:rPr>
                <w:sz w:val="20"/>
                <w:szCs w:val="20"/>
                <w:color w:val="auto"/>
              </w:rPr>
            </w:pPr>
            <w:r>
              <w:rPr>
                <w:rFonts w:ascii="Arial" w:cs="Arial" w:eastAsia="Arial" w:hAnsi="Arial"/>
                <w:sz w:val="15"/>
                <w:szCs w:val="15"/>
                <w:color w:val="auto"/>
              </w:rPr>
              <w:t>In-process</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100"/>
              <w:spacing w:after="0" w:line="152" w:lineRule="exact"/>
              <w:rPr>
                <w:sz w:val="20"/>
                <w:szCs w:val="20"/>
                <w:color w:val="auto"/>
              </w:rPr>
            </w:pPr>
            <w:r>
              <w:rPr>
                <w:rFonts w:ascii="Arial" w:cs="Arial" w:eastAsia="Arial" w:hAnsi="Arial"/>
                <w:sz w:val="15"/>
                <w:szCs w:val="15"/>
                <w:color w:val="auto"/>
              </w:rPr>
              <w:t>research and</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7,300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7,300</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200" w:type="dxa"/>
            <w:vAlign w:val="bottom"/>
          </w:tcPr>
          <w:p>
            <w:pPr>
              <w:ind w:left="100"/>
              <w:spacing w:after="0"/>
              <w:rPr>
                <w:sz w:val="20"/>
                <w:szCs w:val="20"/>
                <w:color w:val="auto"/>
              </w:rPr>
            </w:pPr>
            <w:r>
              <w:rPr>
                <w:rFonts w:ascii="Arial" w:cs="Arial" w:eastAsia="Arial" w:hAnsi="Arial"/>
                <w:sz w:val="15"/>
                <w:szCs w:val="15"/>
                <w:color w:val="auto"/>
              </w:rPr>
              <w:t>development</w:t>
            </w: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00" w:type="dxa"/>
            <w:vAlign w:val="bottom"/>
            <w:tcBorders>
              <w:top w:val="single" w:sz="8" w:color="CCEEFF"/>
            </w:tcBorders>
            <w:shd w:val="clear" w:color="auto" w:fill="CCEEFF"/>
          </w:tcPr>
          <w:p>
            <w:pPr>
              <w:ind w:left="500"/>
              <w:spacing w:after="0" w:line="140" w:lineRule="exact"/>
              <w:rPr>
                <w:sz w:val="20"/>
                <w:szCs w:val="20"/>
                <w:color w:val="auto"/>
              </w:rPr>
            </w:pPr>
            <w:r>
              <w:rPr>
                <w:rFonts w:ascii="Arial" w:cs="Arial" w:eastAsia="Arial" w:hAnsi="Arial"/>
                <w:sz w:val="15"/>
                <w:szCs w:val="15"/>
                <w:color w:val="auto"/>
              </w:rPr>
              <w:t>Total</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230,497</w:t>
            </w: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(20,976)</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209,521</w:t>
            </w: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70,420</w:t>
            </w: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(10,496)</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59,924</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94"/>
              </w:rPr>
              <w:t>intangible assets</w:t>
            </w: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100" w:firstLine="380"/>
        <w:spacing w:after="0" w:line="260" w:lineRule="auto"/>
        <w:rPr>
          <w:sz w:val="20"/>
          <w:szCs w:val="20"/>
          <w:color w:val="auto"/>
        </w:rPr>
      </w:pPr>
      <w:r>
        <w:rPr>
          <w:rFonts w:ascii="Arial" w:cs="Arial" w:eastAsia="Arial" w:hAnsi="Arial"/>
          <w:sz w:val="17"/>
          <w:szCs w:val="17"/>
          <w:color w:val="auto"/>
        </w:rPr>
        <w:t>Amortization of the finite-lived intangible assets is recognized on a straight-line basis. Amortization expense of $5.0 million and $1.3 million was recognized for the three months ended September 30, 2021 and 2020, respectively. Amortization expense of $10.5 million and $3.8 million was recognized for the nine months ended September 30, 2021 and 2020, respectively.</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86360</wp:posOffset>
            </wp:positionV>
            <wp:extent cx="716597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estimated future aggregate amortization expense as of September 30, 2021 is as follows (in thousands of dollars):</w:t>
      </w:r>
    </w:p>
    <w:p>
      <w:pPr>
        <w:spacing w:after="0" w:line="126"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9020" w:type="dxa"/>
            <w:vAlign w:val="bottom"/>
            <w:tcBorders>
              <w:bottom w:val="single" w:sz="8" w:color="CCEEFF"/>
            </w:tcBorders>
          </w:tcPr>
          <w:p>
            <w:pPr>
              <w:ind w:left="400"/>
              <w:spacing w:after="0"/>
              <w:rPr>
                <w:sz w:val="20"/>
                <w:szCs w:val="20"/>
                <w:color w:val="auto"/>
              </w:rPr>
            </w:pPr>
            <w:r>
              <w:rPr>
                <w:rFonts w:ascii="Arial" w:cs="Arial" w:eastAsia="Arial" w:hAnsi="Arial"/>
                <w:sz w:val="14"/>
                <w:szCs w:val="14"/>
                <w:b w:val="1"/>
                <w:bCs w:val="1"/>
                <w:color w:val="auto"/>
              </w:rPr>
              <w:t>Year Ending December 31,</w:t>
            </w: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Amounts</w:t>
            </w:r>
          </w:p>
        </w:tc>
      </w:tr>
      <w:tr>
        <w:trPr>
          <w:trHeight w:val="201"/>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2021 remainder of year</w:t>
            </w:r>
          </w:p>
        </w:tc>
        <w:tc>
          <w:tcPr>
            <w:tcW w:w="6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5,542</w:t>
            </w:r>
          </w:p>
        </w:tc>
      </w:tr>
      <w:tr>
        <w:trPr>
          <w:trHeight w:val="199"/>
        </w:trPr>
        <w:tc>
          <w:tcPr>
            <w:tcW w:w="9020" w:type="dxa"/>
            <w:vAlign w:val="bottom"/>
          </w:tcPr>
          <w:p>
            <w:pPr>
              <w:ind w:left="400"/>
              <w:spacing w:after="0"/>
              <w:rPr>
                <w:sz w:val="20"/>
                <w:szCs w:val="20"/>
                <w:color w:val="auto"/>
              </w:rPr>
            </w:pPr>
            <w:r>
              <w:rPr>
                <w:rFonts w:ascii="Arial" w:cs="Arial" w:eastAsia="Arial" w:hAnsi="Arial"/>
                <w:sz w:val="15"/>
                <w:szCs w:val="15"/>
                <w:color w:val="auto"/>
              </w:rPr>
              <w:t>2022</w:t>
            </w:r>
          </w:p>
        </w:tc>
        <w:tc>
          <w:tcPr>
            <w:tcW w:w="64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22,165</w:t>
            </w:r>
          </w:p>
        </w:tc>
      </w:tr>
      <w:tr>
        <w:trPr>
          <w:trHeight w:val="206"/>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2023</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22,165</w:t>
            </w:r>
          </w:p>
        </w:tc>
      </w:tr>
      <w:tr>
        <w:trPr>
          <w:trHeight w:val="199"/>
        </w:trPr>
        <w:tc>
          <w:tcPr>
            <w:tcW w:w="9020" w:type="dxa"/>
            <w:vAlign w:val="bottom"/>
          </w:tcPr>
          <w:p>
            <w:pPr>
              <w:ind w:left="400"/>
              <w:spacing w:after="0"/>
              <w:rPr>
                <w:sz w:val="20"/>
                <w:szCs w:val="20"/>
                <w:color w:val="auto"/>
              </w:rPr>
            </w:pPr>
            <w:r>
              <w:rPr>
                <w:rFonts w:ascii="Arial" w:cs="Arial" w:eastAsia="Arial" w:hAnsi="Arial"/>
                <w:sz w:val="15"/>
                <w:szCs w:val="15"/>
                <w:color w:val="auto"/>
              </w:rPr>
              <w:t>2024</w:t>
            </w:r>
          </w:p>
        </w:tc>
        <w:tc>
          <w:tcPr>
            <w:tcW w:w="64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22,125</w:t>
            </w:r>
          </w:p>
        </w:tc>
      </w:tr>
      <w:tr>
        <w:trPr>
          <w:trHeight w:val="206"/>
        </w:trPr>
        <w:tc>
          <w:tcPr>
            <w:tcW w:w="90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2025</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21,679</w:t>
            </w:r>
          </w:p>
        </w:tc>
      </w:tr>
      <w:tr>
        <w:trPr>
          <w:trHeight w:val="199"/>
        </w:trPr>
        <w:tc>
          <w:tcPr>
            <w:tcW w:w="902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Thereafter</w:t>
            </w: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108,545</w:t>
            </w:r>
          </w:p>
        </w:tc>
      </w:tr>
      <w:tr>
        <w:trPr>
          <w:trHeight w:val="224"/>
        </w:trPr>
        <w:tc>
          <w:tcPr>
            <w:tcW w:w="9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6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202,221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Accrued Liabilities</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Accrued liabilities consisted of the following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December 31, 2020</w:t>
            </w: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compensation expenses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22,628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9,201</w:t>
            </w:r>
          </w:p>
        </w:tc>
      </w:tr>
      <w:tr>
        <w:trPr>
          <w:trHeight w:val="19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Accrued other</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2,504</w:t>
            </w:r>
          </w:p>
        </w:tc>
      </w:tr>
      <w:tr>
        <w:trPr>
          <w:trHeight w:val="224"/>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accrued liabilities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11,705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Business Combinations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HalioDx</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On August 2, 2021, the Company acquired 100% of the equity interests (the "HalioDx Acquisition") of HalioDx SAS and 100% of the equity interest of HalioDx Inc., historically a wholly owned subsidiary of HalioDx SAS, (collectively referred to as “HalioDx”). HalioDx was a privately-held company providing immune-based diagnostic products and services. The consideration to acquire HalioDx was $320.9 million, comprised of $147.1 million in the form of 3.3 million shares of the Company’s common stock based on the Company's share price on the closing date, $4.2 million in liabilities, and the remainder in cash. The Company incurred $7.7 million of transaction costs related to the acquisition of HalioDx, which were recorded as general and administrative expense during the nine months ended September 30, 2021.</w:t>
      </w:r>
    </w:p>
    <w:p>
      <w:pPr>
        <w:spacing w:after="0" w:line="20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connection with the HalioDx Acquisition, 11,031 unvested HalioDx free ordinary share awards, or free shares, were modified to provide the Company the right to purchase the vested free shares (call option) from the holders and the holders the right to sell the vested free shares to the Company (put option) from time to time through late 2023. As a result of the call and put options, the free shares are liability classified with an initial fair value of $5.1 million, based on the expected settlement amount. As the free shares require the holders to continue to provide services post-combination, the Company included $3.5 million, attributed to pre-combination services, in the purchase price and the remainder will be recorded in post-combination compensation expense, which will be recognized over the period the holders provide services to the Company.</w:t>
      </w:r>
    </w:p>
    <w:p>
      <w:pPr>
        <w:spacing w:after="0" w:line="209"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Additionally, in connection with the HalioDx Acquisition, all of HalioDx's equity-classified options that were outstanding prior to the HalioDx Acquisition were terminated and cancelled at the acquisition date. The Company paid holders of vested options cash consideration of $0.4 million and as the payment is related to pre-combination services, the amount was included in the purchase price. The Company also committed to pay cash consideration of $1.5 million to holders of unvested options on the date the employee satisfies the original service requirement. As this payment requires continuing services and is forfeited if the holders' employment is terminated, the amount was considered nonrecurring post-combination compensation expense and will be recognized over the remaining service period.</w:t>
      </w:r>
    </w:p>
    <w:p>
      <w:pPr>
        <w:spacing w:after="0" w:line="17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As part of the agreement, the Company held back $16.8 million of the cash consideration, or the holdback, which will be payable to the founders of HalioDx based on their continuous employment with the Company. Fifty percent of the holdback will be placed in escrow on the founders' behalf on the first anniversary of the closing date and the remainder will be paid directly to the founders on the second anniversary. As this payment is dependent on the founders’ continuing employment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is forfeited if the employment is terminated, the holdback is not included in the purchase price and will be recognized as post-combination compensation expense over the two-year service period.</w:t>
      </w:r>
    </w:p>
    <w:p>
      <w:pPr>
        <w:spacing w:after="0" w:line="191" w:lineRule="exact"/>
        <w:rPr>
          <w:sz w:val="20"/>
          <w:szCs w:val="20"/>
          <w:color w:val="auto"/>
        </w:rPr>
      </w:pPr>
    </w:p>
    <w:p>
      <w:pPr>
        <w:jc w:val="both"/>
        <w:ind w:right="100" w:firstLine="380"/>
        <w:spacing w:after="0" w:line="260" w:lineRule="auto"/>
        <w:rPr>
          <w:sz w:val="20"/>
          <w:szCs w:val="20"/>
          <w:color w:val="auto"/>
        </w:rPr>
      </w:pPr>
      <w:r>
        <w:rPr>
          <w:rFonts w:ascii="Arial" w:cs="Arial" w:eastAsia="Arial" w:hAnsi="Arial"/>
          <w:sz w:val="17"/>
          <w:szCs w:val="17"/>
          <w:color w:val="auto"/>
        </w:rPr>
        <w:t>For both the three months and nine months ended September 30, 2021, the Company recognized post-combination expense of $1.6 million, of which $0.1 million was recorded as cost of revenue, $0.3 million was recorded as research and development, $0.5 million was recorded as sales and marketing, and the remainder was recorded as general and administrative.</w:t>
      </w:r>
    </w:p>
    <w:p>
      <w:pPr>
        <w:spacing w:after="0" w:line="201" w:lineRule="exact"/>
        <w:rPr>
          <w:sz w:val="20"/>
          <w:szCs w:val="20"/>
          <w:color w:val="auto"/>
        </w:rPr>
      </w:pPr>
    </w:p>
    <w:p>
      <w:pPr>
        <w:jc w:val="both"/>
        <w:ind w:right="100" w:firstLine="380"/>
        <w:spacing w:after="0" w:line="304" w:lineRule="auto"/>
        <w:rPr>
          <w:sz w:val="20"/>
          <w:szCs w:val="20"/>
          <w:color w:val="auto"/>
        </w:rPr>
      </w:pPr>
      <w:r>
        <w:rPr>
          <w:rFonts w:ascii="Arial" w:cs="Arial" w:eastAsia="Arial" w:hAnsi="Arial"/>
          <w:sz w:val="16"/>
          <w:szCs w:val="16"/>
          <w:color w:val="auto"/>
        </w:rPr>
        <w:t>The Company included the financial results of HalioDx in its condensed consolidated financial statements from the acquisition date, which contributed $4.7 million and $6.3 million of revenue and operating loss, respectively, during both the three months and nine months ended September 30, 2021.</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purchase price and post-combination compensation expense as a part of the HalioDx Acquisition (in thousands):</w:t>
      </w:r>
    </w:p>
    <w:p>
      <w:pPr>
        <w:spacing w:after="0" w:line="265"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6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Purchase Price</w:t>
            </w:r>
          </w:p>
        </w:tc>
        <w:tc>
          <w:tcPr>
            <w:tcW w:w="1880" w:type="dxa"/>
            <w:vAlign w:val="bottom"/>
          </w:tcPr>
          <w:p>
            <w:pPr>
              <w:jc w:val="right"/>
              <w:spacing w:after="0"/>
              <w:rPr>
                <w:sz w:val="20"/>
                <w:szCs w:val="20"/>
                <w:color w:val="auto"/>
              </w:rPr>
            </w:pPr>
            <w:r>
              <w:rPr>
                <w:rFonts w:ascii="Arial" w:cs="Arial" w:eastAsia="Arial" w:hAnsi="Arial"/>
                <w:sz w:val="15"/>
                <w:szCs w:val="15"/>
                <w:b w:val="1"/>
                <w:bCs w:val="1"/>
                <w:color w:val="auto"/>
              </w:rPr>
              <w:t>Post-Combin</w:t>
            </w:r>
          </w:p>
        </w:tc>
        <w:tc>
          <w:tcPr>
            <w:tcW w:w="0" w:type="dxa"/>
            <w:vAlign w:val="bottom"/>
          </w:tcPr>
          <w:p>
            <w:pPr>
              <w:spacing w:after="0"/>
              <w:rPr>
                <w:sz w:val="1"/>
                <w:szCs w:val="1"/>
                <w:color w:val="auto"/>
              </w:rPr>
            </w:pPr>
          </w:p>
        </w:tc>
      </w:tr>
      <w:tr>
        <w:trPr>
          <w:trHeight w:val="199"/>
        </w:trPr>
        <w:tc>
          <w:tcPr>
            <w:tcW w:w="6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b w:val="1"/>
                <w:bCs w:val="1"/>
                <w:color w:val="auto"/>
              </w:rPr>
              <w:t>Compensation Expen</w:t>
            </w:r>
          </w:p>
        </w:tc>
        <w:tc>
          <w:tcPr>
            <w:tcW w:w="0" w:type="dxa"/>
            <w:vAlign w:val="bottom"/>
          </w:tcPr>
          <w:p>
            <w:pPr>
              <w:spacing w:after="0"/>
              <w:rPr>
                <w:sz w:val="1"/>
                <w:szCs w:val="1"/>
                <w:color w:val="auto"/>
              </w:rPr>
            </w:pPr>
          </w:p>
        </w:tc>
      </w:tr>
      <w:tr>
        <w:trPr>
          <w:trHeight w:val="199"/>
        </w:trPr>
        <w:tc>
          <w:tcPr>
            <w:tcW w:w="616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rPr>
              <w:t>Cash transferred</w:t>
            </w:r>
          </w:p>
        </w:tc>
        <w:tc>
          <w:tcPr>
            <w:tcW w:w="9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169,583</w:t>
            </w: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6160" w:type="dxa"/>
            <w:vAlign w:val="bottom"/>
          </w:tcPr>
          <w:p>
            <w:pPr>
              <w:ind w:left="740"/>
              <w:spacing w:after="0"/>
              <w:rPr>
                <w:sz w:val="20"/>
                <w:szCs w:val="20"/>
                <w:color w:val="auto"/>
              </w:rPr>
            </w:pPr>
            <w:r>
              <w:rPr>
                <w:rFonts w:ascii="Arial" w:cs="Arial" w:eastAsia="Arial" w:hAnsi="Arial"/>
                <w:sz w:val="15"/>
                <w:szCs w:val="15"/>
                <w:color w:val="auto"/>
              </w:rPr>
              <w:t>Liabilities incurred</w:t>
            </w:r>
          </w:p>
        </w:tc>
        <w:tc>
          <w:tcPr>
            <w:tcW w:w="9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4,194</w:t>
            </w: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Common stock transferred</w:t>
            </w:r>
          </w:p>
        </w:tc>
        <w:tc>
          <w:tcPr>
            <w:tcW w:w="9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147,089</w:t>
            </w:r>
          </w:p>
        </w:tc>
        <w:tc>
          <w:tcPr>
            <w:tcW w:w="10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60" w:type="dxa"/>
            <w:vAlign w:val="bottom"/>
          </w:tcPr>
          <w:p>
            <w:pPr>
              <w:ind w:left="860"/>
              <w:spacing w:after="0"/>
              <w:rPr>
                <w:sz w:val="20"/>
                <w:szCs w:val="20"/>
                <w:color w:val="auto"/>
              </w:rPr>
            </w:pPr>
            <w:r>
              <w:rPr>
                <w:rFonts w:ascii="Arial" w:cs="Arial" w:eastAsia="Arial" w:hAnsi="Arial"/>
                <w:sz w:val="15"/>
                <w:szCs w:val="15"/>
                <w:color w:val="auto"/>
              </w:rPr>
              <w:t>Total</w:t>
            </w: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320,866</w:t>
            </w:r>
          </w:p>
        </w:tc>
        <w:tc>
          <w:tcPr>
            <w:tcW w:w="100" w:type="dxa"/>
            <w:vAlign w:val="bottom"/>
          </w:tcPr>
          <w:p>
            <w:pPr>
              <w:spacing w:after="0"/>
              <w:rPr>
                <w:sz w:val="17"/>
                <w:szCs w:val="17"/>
                <w:color w:val="auto"/>
              </w:rPr>
            </w:pPr>
          </w:p>
        </w:tc>
        <w:tc>
          <w:tcPr>
            <w:tcW w:w="1880" w:type="dxa"/>
            <w:vAlign w:val="bottom"/>
            <w:tcBorders>
              <w:bottom w:val="single" w:sz="8" w:color="auto"/>
            </w:tcBorders>
          </w:tcPr>
          <w:p>
            <w:pPr>
              <w:jc w:val="right"/>
              <w:ind w:right="9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100" w:firstLine="380"/>
        <w:spacing w:after="0" w:line="277" w:lineRule="auto"/>
        <w:rPr>
          <w:sz w:val="20"/>
          <w:szCs w:val="20"/>
          <w:color w:val="auto"/>
        </w:rPr>
      </w:pPr>
      <w:r>
        <w:rPr>
          <w:rFonts w:ascii="Arial" w:cs="Arial" w:eastAsia="Arial" w:hAnsi="Arial"/>
          <w:sz w:val="16"/>
          <w:szCs w:val="16"/>
          <w:color w:val="auto"/>
        </w:rPr>
        <w:t>Assets acquired and liabilities assumed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liabilities assumed, and the resulting amount of goodwill. The following table summarizes the fair values of assets acquired and liabilities assumed in the acquisition of HalioDx at the date of acquisition (in thousands):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Cash and cash equivalents</w:t>
            </w:r>
          </w:p>
        </w:tc>
        <w:tc>
          <w:tcPr>
            <w:tcW w:w="138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5,938</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Accounts receivable</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10,793</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Supplies inventory</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3,610</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Prepaids and other current assets</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7,045</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Property and equipment, net</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2,716</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Right-of-use assets, financing lease</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733</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Right-of-use assets, operating lease</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2,136</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Intangible assets</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60,303</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Other assets</w:t>
            </w:r>
          </w:p>
        </w:tc>
        <w:tc>
          <w:tcPr>
            <w:tcW w:w="1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524</w:t>
            </w:r>
          </w:p>
        </w:tc>
      </w:tr>
      <w:tr>
        <w:trPr>
          <w:trHeight w:val="192"/>
        </w:trPr>
        <w:tc>
          <w:tcPr>
            <w:tcW w:w="8680" w:type="dxa"/>
            <w:vAlign w:val="bottom"/>
          </w:tcPr>
          <w:p>
            <w:pPr>
              <w:ind w:left="940"/>
              <w:spacing w:after="0"/>
              <w:rPr>
                <w:sz w:val="20"/>
                <w:szCs w:val="20"/>
                <w:color w:val="auto"/>
              </w:rPr>
            </w:pPr>
            <w:r>
              <w:rPr>
                <w:rFonts w:ascii="Arial" w:cs="Arial" w:eastAsia="Arial" w:hAnsi="Arial"/>
                <w:sz w:val="15"/>
                <w:szCs w:val="15"/>
                <w:color w:val="auto"/>
              </w:rPr>
              <w:t>Total identifiable assets acquired</w:t>
            </w:r>
          </w:p>
        </w:tc>
        <w:tc>
          <w:tcPr>
            <w:tcW w:w="138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93,798</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Accounts payable</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(2,645)</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Accrued liabilities</w:t>
            </w:r>
          </w:p>
        </w:tc>
        <w:tc>
          <w:tcPr>
            <w:tcW w:w="1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(5,628)</w:t>
            </w:r>
          </w:p>
        </w:tc>
      </w:tr>
      <w:tr>
        <w:trPr>
          <w:trHeight w:val="206"/>
        </w:trPr>
        <w:tc>
          <w:tcPr>
            <w:tcW w:w="8680" w:type="dxa"/>
            <w:vAlign w:val="bottom"/>
            <w:shd w:val="clear" w:color="auto" w:fill="CCEEFF"/>
          </w:tcPr>
          <w:p>
            <w:pPr>
              <w:ind w:left="760"/>
              <w:spacing w:after="0"/>
              <w:rPr>
                <w:sz w:val="20"/>
                <w:szCs w:val="20"/>
                <w:color w:val="auto"/>
              </w:rPr>
            </w:pPr>
            <w:r>
              <w:rPr>
                <w:rFonts w:ascii="Arial" w:cs="Arial" w:eastAsia="Arial" w:hAnsi="Arial"/>
                <w:sz w:val="15"/>
                <w:szCs w:val="15"/>
                <w:color w:val="auto"/>
              </w:rPr>
              <w:t>Current portion of financing lease liability</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w:t>
            </w:r>
          </w:p>
        </w:tc>
      </w:tr>
      <w:tr>
        <w:trPr>
          <w:trHeight w:val="199"/>
        </w:trPr>
        <w:tc>
          <w:tcPr>
            <w:tcW w:w="8680" w:type="dxa"/>
            <w:vAlign w:val="bottom"/>
          </w:tcPr>
          <w:p>
            <w:pPr>
              <w:ind w:left="760"/>
              <w:spacing w:after="0"/>
              <w:rPr>
                <w:sz w:val="20"/>
                <w:szCs w:val="20"/>
                <w:color w:val="auto"/>
              </w:rPr>
            </w:pPr>
            <w:r>
              <w:rPr>
                <w:rFonts w:ascii="Arial" w:cs="Arial" w:eastAsia="Arial" w:hAnsi="Arial"/>
                <w:sz w:val="15"/>
                <w:szCs w:val="15"/>
                <w:color w:val="auto"/>
              </w:rPr>
              <w:t>Current portion of operating lease liability</w:t>
            </w:r>
          </w:p>
        </w:tc>
        <w:tc>
          <w:tcPr>
            <w:tcW w:w="1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(448)</w:t>
            </w:r>
          </w:p>
        </w:tc>
      </w:tr>
      <w:tr>
        <w:trPr>
          <w:trHeight w:val="206"/>
        </w:trPr>
        <w:tc>
          <w:tcPr>
            <w:tcW w:w="8680" w:type="dxa"/>
            <w:vAlign w:val="bottom"/>
            <w:shd w:val="clear" w:color="auto" w:fill="CCEEFF"/>
          </w:tcPr>
          <w:p>
            <w:pPr>
              <w:ind w:left="760"/>
              <w:spacing w:after="0"/>
              <w:rPr>
                <w:sz w:val="20"/>
                <w:szCs w:val="20"/>
                <w:color w:val="auto"/>
              </w:rPr>
            </w:pPr>
            <w:r>
              <w:rPr>
                <w:rFonts w:ascii="Arial" w:cs="Arial" w:eastAsia="Arial" w:hAnsi="Arial"/>
                <w:sz w:val="15"/>
                <w:szCs w:val="15"/>
                <w:color w:val="auto"/>
              </w:rPr>
              <w:t>Long-term debt</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(1,171)</w:t>
            </w:r>
          </w:p>
        </w:tc>
      </w:tr>
      <w:tr>
        <w:trPr>
          <w:trHeight w:val="199"/>
        </w:trPr>
        <w:tc>
          <w:tcPr>
            <w:tcW w:w="8680" w:type="dxa"/>
            <w:vAlign w:val="bottom"/>
          </w:tcPr>
          <w:p>
            <w:pPr>
              <w:ind w:left="760"/>
              <w:spacing w:after="0"/>
              <w:rPr>
                <w:sz w:val="20"/>
                <w:szCs w:val="20"/>
                <w:color w:val="auto"/>
              </w:rPr>
            </w:pPr>
            <w:r>
              <w:rPr>
                <w:rFonts w:ascii="Arial" w:cs="Arial" w:eastAsia="Arial" w:hAnsi="Arial"/>
                <w:sz w:val="15"/>
                <w:szCs w:val="15"/>
                <w:color w:val="auto"/>
              </w:rPr>
              <w:t>Deferred revenue</w:t>
            </w:r>
          </w:p>
        </w:tc>
        <w:tc>
          <w:tcPr>
            <w:tcW w:w="1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(3,250)</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Financing lease liability, net of current portion</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Operating lease liability, net of current portion</w:t>
            </w:r>
          </w:p>
        </w:tc>
        <w:tc>
          <w:tcPr>
            <w:tcW w:w="1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(1,687)</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Deferred tax liability</w:t>
            </w:r>
          </w:p>
        </w:tc>
        <w:tc>
          <w:tcPr>
            <w:tcW w:w="1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(6,982)</w:t>
            </w:r>
          </w:p>
        </w:tc>
      </w:tr>
      <w:tr>
        <w:trPr>
          <w:trHeight w:val="192"/>
        </w:trPr>
        <w:tc>
          <w:tcPr>
            <w:tcW w:w="8680" w:type="dxa"/>
            <w:vAlign w:val="bottom"/>
          </w:tcPr>
          <w:p>
            <w:pPr>
              <w:ind w:left="940"/>
              <w:spacing w:after="0"/>
              <w:rPr>
                <w:sz w:val="20"/>
                <w:szCs w:val="20"/>
                <w:color w:val="auto"/>
              </w:rPr>
            </w:pPr>
            <w:r>
              <w:rPr>
                <w:rFonts w:ascii="Arial" w:cs="Arial" w:eastAsia="Arial" w:hAnsi="Arial"/>
                <w:sz w:val="15"/>
                <w:szCs w:val="15"/>
                <w:color w:val="auto"/>
              </w:rPr>
              <w:t>Net identifiable assets acquired</w:t>
            </w:r>
          </w:p>
        </w:tc>
        <w:tc>
          <w:tcPr>
            <w:tcW w:w="138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71,254</w:t>
            </w:r>
          </w:p>
        </w:tc>
      </w:tr>
      <w:tr>
        <w:trPr>
          <w:trHeight w:val="203"/>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Goodwill</w:t>
            </w:r>
          </w:p>
        </w:tc>
        <w:tc>
          <w:tcPr>
            <w:tcW w:w="1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249,612</w:t>
            </w:r>
          </w:p>
        </w:tc>
      </w:tr>
      <w:tr>
        <w:trPr>
          <w:trHeight w:val="199"/>
        </w:trPr>
        <w:tc>
          <w:tcPr>
            <w:tcW w:w="8680" w:type="dxa"/>
            <w:vAlign w:val="bottom"/>
          </w:tcPr>
          <w:p>
            <w:pPr>
              <w:ind w:left="940"/>
              <w:spacing w:after="0"/>
              <w:rPr>
                <w:sz w:val="20"/>
                <w:szCs w:val="20"/>
                <w:color w:val="auto"/>
              </w:rPr>
            </w:pPr>
            <w:r>
              <w:rPr>
                <w:rFonts w:ascii="Arial" w:cs="Arial" w:eastAsia="Arial" w:hAnsi="Arial"/>
                <w:sz w:val="15"/>
                <w:szCs w:val="15"/>
                <w:color w:val="auto"/>
              </w:rPr>
              <w:t>Total purchase price</w:t>
            </w:r>
          </w:p>
        </w:tc>
        <w:tc>
          <w:tcPr>
            <w:tcW w:w="138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320,866</w:t>
            </w:r>
          </w:p>
        </w:tc>
      </w:tr>
      <w:tr>
        <w:trPr>
          <w:trHeight w:val="20"/>
        </w:trPr>
        <w:tc>
          <w:tcPr>
            <w:tcW w:w="8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Based on the guidance provided in ASC 805, the Company accounted for the acquisition of HalioDx as a business combination in which the Company determined that HalioDx was a business which combines inputs and processes to create outputs, and substantially all of the fair value of gross assets acquired was not concentrated in a single identifiable asset or group of similar identifiable assets.</w:t>
      </w:r>
    </w:p>
    <w:p>
      <w:pPr>
        <w:spacing w:after="0" w:line="20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 Company's purchase price allocation for the HalioDx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certain income tax items, intangible assets, deferred revenue, accounts receivable, other assets, commitments and contingencies and goodwill. Additional information that existed as of the closing date but not known at the time of this filing may become known to the Company during the remainder of the measurement period, a period not to exceed 12 months from the closing date.</w:t>
      </w:r>
    </w:p>
    <w:p>
      <w:pPr>
        <w:spacing w:after="0" w:line="20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intangible assets acquired include three developed technology assets (related to diagnostics, biopharma, and contract IVD), two customer relationships assets (related to biopharma and contract IVD), and two customer backlog assets (related to biopharma and contract IVD). The fair value of our intangible assets acquired as of the acquisition date and the method used to value these assets as well as the estimated economic lives for amortizable intangible assets were as follows (in thousands, except estimated useful life which is in years):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Estimated useful life</w:t>
            </w:r>
          </w:p>
        </w:tc>
        <w:tc>
          <w:tcPr>
            <w:tcW w:w="120" w:type="dxa"/>
            <w:vAlign w:val="bottom"/>
            <w:tcBorders>
              <w:bottom w:val="single" w:sz="8" w:color="CCEEFF"/>
            </w:tcBorders>
          </w:tcPr>
          <w:p>
            <w:pPr>
              <w:spacing w:after="0"/>
              <w:rPr>
                <w:sz w:val="17"/>
                <w:szCs w:val="17"/>
                <w:color w:val="auto"/>
              </w:rPr>
            </w:pPr>
          </w:p>
        </w:tc>
        <w:tc>
          <w:tcPr>
            <w:tcW w:w="2800" w:type="dxa"/>
            <w:vAlign w:val="bottom"/>
            <w:tcBorders>
              <w:bottom w:val="single" w:sz="8" w:color="auto"/>
            </w:tcBorders>
          </w:tcPr>
          <w:p>
            <w:pPr>
              <w:ind w:left="820"/>
              <w:spacing w:after="0"/>
              <w:rPr>
                <w:sz w:val="20"/>
                <w:szCs w:val="20"/>
                <w:color w:val="auto"/>
              </w:rPr>
            </w:pPr>
            <w:r>
              <w:rPr>
                <w:rFonts w:ascii="Arial" w:cs="Arial" w:eastAsia="Arial" w:hAnsi="Arial"/>
                <w:sz w:val="15"/>
                <w:szCs w:val="15"/>
                <w:b w:val="1"/>
                <w:bCs w:val="1"/>
                <w:color w:val="auto"/>
              </w:rPr>
              <w:t>Valuation method</w:t>
            </w:r>
          </w:p>
        </w:tc>
      </w:tr>
      <w:tr>
        <w:trPr>
          <w:trHeight w:val="199"/>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Developed technology – diagnostics</w:t>
            </w:r>
          </w:p>
        </w:tc>
        <w:tc>
          <w:tcPr>
            <w:tcW w:w="1320" w:type="dxa"/>
            <w:vAlign w:val="bottom"/>
            <w:shd w:val="clear" w:color="auto" w:fill="CCEEFF"/>
          </w:tcPr>
          <w:p>
            <w:pPr>
              <w:jc w:val="right"/>
              <w:ind w:right="1144"/>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4,163</w:t>
            </w:r>
          </w:p>
        </w:tc>
        <w:tc>
          <w:tcPr>
            <w:tcW w:w="1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10</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5"/>
                <w:szCs w:val="15"/>
                <w:color w:val="auto"/>
              </w:rPr>
              <w:t>Multi-period excess earnings</w:t>
            </w:r>
          </w:p>
        </w:tc>
      </w:tr>
      <w:tr>
        <w:trPr>
          <w:trHeight w:val="199"/>
        </w:trPr>
        <w:tc>
          <w:tcPr>
            <w:tcW w:w="4440" w:type="dxa"/>
            <w:vAlign w:val="bottom"/>
          </w:tcPr>
          <w:p>
            <w:pPr>
              <w:ind w:left="20"/>
              <w:spacing w:after="0"/>
              <w:rPr>
                <w:sz w:val="20"/>
                <w:szCs w:val="20"/>
                <w:color w:val="auto"/>
              </w:rPr>
            </w:pPr>
            <w:r>
              <w:rPr>
                <w:rFonts w:ascii="Arial" w:cs="Arial" w:eastAsia="Arial" w:hAnsi="Arial"/>
                <w:sz w:val="15"/>
                <w:szCs w:val="15"/>
                <w:color w:val="auto"/>
              </w:rPr>
              <w:t>Developed technology – biopharma</w:t>
            </w:r>
          </w:p>
        </w:tc>
        <w:tc>
          <w:tcPr>
            <w:tcW w:w="1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5"/>
              </w:rPr>
              <w:t>42,224</w:t>
            </w:r>
          </w:p>
        </w:tc>
        <w:tc>
          <w:tcPr>
            <w:tcW w:w="194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10</w:t>
            </w:r>
          </w:p>
        </w:tc>
        <w:tc>
          <w:tcPr>
            <w:tcW w:w="1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Multi-period excess earnings</w:t>
            </w:r>
          </w:p>
        </w:tc>
      </w:tr>
      <w:tr>
        <w:trPr>
          <w:trHeight w:val="206"/>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Developed technology – contract IVD</w:t>
            </w:r>
          </w:p>
        </w:tc>
        <w:tc>
          <w:tcPr>
            <w:tcW w:w="13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1,546</w:t>
            </w:r>
          </w:p>
        </w:tc>
        <w:tc>
          <w:tcPr>
            <w:tcW w:w="1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10</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5"/>
                <w:szCs w:val="15"/>
                <w:color w:val="auto"/>
              </w:rPr>
              <w:t>Multi-period excess earnings</w:t>
            </w:r>
          </w:p>
        </w:tc>
      </w:tr>
      <w:tr>
        <w:trPr>
          <w:trHeight w:val="199"/>
        </w:trPr>
        <w:tc>
          <w:tcPr>
            <w:tcW w:w="4440" w:type="dxa"/>
            <w:vAlign w:val="bottom"/>
          </w:tcPr>
          <w:p>
            <w:pPr>
              <w:ind w:left="20"/>
              <w:spacing w:after="0"/>
              <w:rPr>
                <w:sz w:val="20"/>
                <w:szCs w:val="20"/>
                <w:color w:val="auto"/>
              </w:rPr>
            </w:pPr>
            <w:r>
              <w:rPr>
                <w:rFonts w:ascii="Arial" w:cs="Arial" w:eastAsia="Arial" w:hAnsi="Arial"/>
                <w:sz w:val="15"/>
                <w:szCs w:val="15"/>
                <w:color w:val="auto"/>
              </w:rPr>
              <w:t>Customer relationships – biopharma</w:t>
            </w:r>
          </w:p>
        </w:tc>
        <w:tc>
          <w:tcPr>
            <w:tcW w:w="1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2,141</w:t>
            </w:r>
          </w:p>
        </w:tc>
        <w:tc>
          <w:tcPr>
            <w:tcW w:w="194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7</w:t>
            </w:r>
          </w:p>
        </w:tc>
        <w:tc>
          <w:tcPr>
            <w:tcW w:w="1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With-and-without</w:t>
            </w:r>
          </w:p>
        </w:tc>
      </w:tr>
      <w:tr>
        <w:trPr>
          <w:trHeight w:val="206"/>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 – contract IVD</w:t>
            </w:r>
          </w:p>
        </w:tc>
        <w:tc>
          <w:tcPr>
            <w:tcW w:w="13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2,973</w:t>
            </w:r>
          </w:p>
        </w:tc>
        <w:tc>
          <w:tcPr>
            <w:tcW w:w="1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5</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5"/>
                <w:szCs w:val="15"/>
                <w:color w:val="auto"/>
              </w:rPr>
              <w:t>With-and-without</w:t>
            </w:r>
          </w:p>
        </w:tc>
      </w:tr>
      <w:tr>
        <w:trPr>
          <w:trHeight w:val="199"/>
        </w:trPr>
        <w:tc>
          <w:tcPr>
            <w:tcW w:w="4440" w:type="dxa"/>
            <w:vAlign w:val="bottom"/>
          </w:tcPr>
          <w:p>
            <w:pPr>
              <w:ind w:left="20"/>
              <w:spacing w:after="0"/>
              <w:rPr>
                <w:sz w:val="20"/>
                <w:szCs w:val="20"/>
                <w:color w:val="auto"/>
              </w:rPr>
            </w:pPr>
            <w:r>
              <w:rPr>
                <w:rFonts w:ascii="Arial" w:cs="Arial" w:eastAsia="Arial" w:hAnsi="Arial"/>
                <w:sz w:val="15"/>
                <w:szCs w:val="15"/>
                <w:color w:val="auto"/>
              </w:rPr>
              <w:t>Customer backlog – biopharma</w:t>
            </w:r>
          </w:p>
        </w:tc>
        <w:tc>
          <w:tcPr>
            <w:tcW w:w="1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2,736</w:t>
            </w:r>
          </w:p>
        </w:tc>
        <w:tc>
          <w:tcPr>
            <w:tcW w:w="194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4</w:t>
            </w:r>
          </w:p>
        </w:tc>
        <w:tc>
          <w:tcPr>
            <w:tcW w:w="1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Multi-period excess earnings</w:t>
            </w: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backlog – contract IVD</w:t>
            </w:r>
          </w:p>
        </w:tc>
        <w:tc>
          <w:tcPr>
            <w:tcW w:w="1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4,520</w:t>
            </w:r>
          </w:p>
        </w:tc>
        <w:tc>
          <w:tcPr>
            <w:tcW w:w="194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4</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5"/>
                <w:szCs w:val="15"/>
                <w:color w:val="auto"/>
              </w:rPr>
              <w:t>Multi-period excess earnings</w:t>
            </w:r>
          </w:p>
        </w:tc>
      </w:tr>
      <w:tr>
        <w:trPr>
          <w:trHeight w:val="199"/>
        </w:trPr>
        <w:tc>
          <w:tcPr>
            <w:tcW w:w="4440" w:type="dxa"/>
            <w:vAlign w:val="bottom"/>
          </w:tcPr>
          <w:p>
            <w:pPr>
              <w:ind w:left="140"/>
              <w:spacing w:after="0"/>
              <w:rPr>
                <w:sz w:val="20"/>
                <w:szCs w:val="20"/>
                <w:color w:val="auto"/>
              </w:rPr>
            </w:pPr>
            <w:r>
              <w:rPr>
                <w:rFonts w:ascii="Arial" w:cs="Arial" w:eastAsia="Arial" w:hAnsi="Arial"/>
                <w:sz w:val="15"/>
                <w:szCs w:val="15"/>
                <w:color w:val="auto"/>
              </w:rPr>
              <w:t>Total</w:t>
            </w:r>
          </w:p>
        </w:tc>
        <w:tc>
          <w:tcPr>
            <w:tcW w:w="1320" w:type="dxa"/>
            <w:vAlign w:val="bottom"/>
            <w:tcBorders>
              <w:bottom w:val="single" w:sz="8" w:color="auto"/>
            </w:tcBorders>
          </w:tcPr>
          <w:p>
            <w:pPr>
              <w:jc w:val="right"/>
              <w:ind w:right="1144"/>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60,303</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3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amortization expense for all acquired intangible assets will be recognized on a straight-line basis and recorded within intangible asset amortization.</w:t>
      </w:r>
    </w:p>
    <w:p>
      <w:pPr>
        <w:spacing w:after="0" w:line="247"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Goodwill represents the excess of the purchase price over the fair value of the net tangible and intangible assets acquired. The HalioDx Acquisition resulted in the recognition of $249.6 million of goodwill which the Company believes consists primarily of expanded market and product opportunities, including new areas of testing, as well as the potential manufacturing of the Company's product offerings for international markets. Goodwill created as a result of the HalioDx Acquisition is not deductible for tax purposes. The HalioDx Acquisition allows the Company to continue to develop and further enhance its business as a global diagnostics company and continues the Company’s ability to inform the diagnosis and treatment decisions related to cancer. The HalioDx portfolio complements and expands the existing business and allows for vertical integration through the addition of manufacturing capabilities for the Company’s test kits.</w:t>
      </w:r>
    </w:p>
    <w:p>
      <w:pPr>
        <w:spacing w:after="0" w:line="182"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connection with the HalioDx acquisition, a net deferred tax liability was assumed with a fair value of $7.0 million which primarily relates to future intangible asset amortization which is not deductible for income tax purposes.</w:t>
      </w:r>
    </w:p>
    <w:p>
      <w:pPr>
        <w:spacing w:after="0" w:line="191"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The Company also granted restricted stock units, or RSUs, to new employees who joined the Company in connection with the HalioDx Acquisition with a fair value of $16.5 million, net of estimated forfeitures. As the number of shares that are expected to be issued is fixed, the awards are equity-classified. The RSUs vest over four years, subject to the employees’ continuous service. During the three and nine months ended September 30, 2021, the Company recorded $2.6 million in stock-based compensation expense which includes $2.0 million related to one employee whose continuing services were deemed non-substantive.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Decipher Biosciences</w:t>
      </w:r>
    </w:p>
    <w:p>
      <w:pPr>
        <w:spacing w:after="0" w:line="236" w:lineRule="exact"/>
        <w:rPr>
          <w:sz w:val="20"/>
          <w:szCs w:val="20"/>
          <w:color w:val="auto"/>
        </w:rPr>
      </w:pPr>
    </w:p>
    <w:p>
      <w:pPr>
        <w:jc w:val="both"/>
        <w:ind w:right="100" w:firstLine="380"/>
        <w:spacing w:after="0" w:line="254" w:lineRule="auto"/>
        <w:rPr>
          <w:sz w:val="20"/>
          <w:szCs w:val="20"/>
          <w:color w:val="auto"/>
        </w:rPr>
      </w:pPr>
      <w:r>
        <w:rPr>
          <w:rFonts w:ascii="Arial" w:cs="Arial" w:eastAsia="Arial" w:hAnsi="Arial"/>
          <w:sz w:val="17"/>
          <w:szCs w:val="17"/>
          <w:color w:val="auto"/>
        </w:rPr>
        <w:t>On March 12, 2021, the Company acquired 100% of the equity interests of Decipher Biosciences, a privately-held company developing diagnostic tests in urologic cancers, for approximately $594.7 million, comprised of approximately $550.5 million in the form of upfront cash consideration and the remainder in cash payable post-acquisition of which $43.8 million was paid prior to June 30, 2021 (the "Decipher Acquisition"). The Company incurred approximately $10.6 million of transaction costs related to the acquisition of Decipher Biosciences which were recorded as general and administrative expense during the nine months ended September 30, 2021.</w:t>
      </w:r>
    </w:p>
    <w:p>
      <w:pPr>
        <w:spacing w:after="0" w:line="208" w:lineRule="exact"/>
        <w:rPr>
          <w:sz w:val="20"/>
          <w:szCs w:val="20"/>
          <w:color w:val="auto"/>
        </w:rPr>
      </w:pPr>
    </w:p>
    <w:p>
      <w:pPr>
        <w:jc w:val="both"/>
        <w:ind w:right="100" w:firstLine="380"/>
        <w:spacing w:after="0" w:line="253" w:lineRule="auto"/>
        <w:rPr>
          <w:sz w:val="20"/>
          <w:szCs w:val="20"/>
          <w:color w:val="auto"/>
        </w:rPr>
      </w:pPr>
      <w:r>
        <w:rPr>
          <w:rFonts w:ascii="Arial" w:cs="Arial" w:eastAsia="Arial" w:hAnsi="Arial"/>
          <w:sz w:val="17"/>
          <w:szCs w:val="17"/>
          <w:color w:val="auto"/>
        </w:rPr>
        <w:t>In connection with the Decipher Acquisition, certain of Decipher Biosciences' equity awards that were outstanding and unvested prior to the Decipher Acquisition became fully vested per the terms of the merger agreement. The acceleration of vesting required the Company to allocate the fair value of the historical Decipher Biosciences’ employee stock awards attributable to pre-combination service to the purchase price and the remaining amount was considered the Company's nonrecurring post-combination expense. In March 2021, the Company recognized nonrecurring post-combination expense related to the acceleration and cash settlement of unvested historical Decipher Biosciences’ employee stock awards of $25.1 million, all of which was recorded as general and administrative expense during the quarter ended March 31, 2021.</w:t>
      </w:r>
    </w:p>
    <w:p>
      <w:pPr>
        <w:spacing w:after="0" w:line="209" w:lineRule="exact"/>
        <w:rPr>
          <w:sz w:val="20"/>
          <w:szCs w:val="20"/>
          <w:color w:val="auto"/>
        </w:rPr>
      </w:pPr>
    </w:p>
    <w:p>
      <w:pPr>
        <w:jc w:val="both"/>
        <w:ind w:right="100" w:firstLine="380"/>
        <w:spacing w:after="0" w:line="260" w:lineRule="auto"/>
        <w:rPr>
          <w:sz w:val="20"/>
          <w:szCs w:val="20"/>
          <w:color w:val="auto"/>
        </w:rPr>
      </w:pPr>
      <w:r>
        <w:rPr>
          <w:rFonts w:ascii="Arial" w:cs="Arial" w:eastAsia="Arial" w:hAnsi="Arial"/>
          <w:sz w:val="17"/>
          <w:szCs w:val="17"/>
          <w:color w:val="auto"/>
        </w:rPr>
        <w:t>The Company included the financial results of Decipher Biosciences in its condensed consolidated financial statements from the acquisition date, which contributed $21.3 million and $5.4 million of revenue and operating income, respectively, during the three months ended September 30, 2021 and $44.0 million and $10.3 million of revenue and operating income, respectively, during the nine months ended September 30, 2021.</w:t>
      </w:r>
    </w:p>
    <w:p>
      <w:pPr>
        <w:spacing w:after="0" w:line="201" w:lineRule="exact"/>
        <w:rPr>
          <w:sz w:val="20"/>
          <w:szCs w:val="20"/>
          <w:color w:val="auto"/>
        </w:rPr>
      </w:pPr>
    </w:p>
    <w:p>
      <w:pPr>
        <w:jc w:val="both"/>
        <w:ind w:right="100" w:firstLine="380"/>
        <w:spacing w:after="0" w:line="272" w:lineRule="auto"/>
        <w:rPr>
          <w:sz w:val="20"/>
          <w:szCs w:val="20"/>
          <w:color w:val="auto"/>
        </w:rPr>
      </w:pPr>
      <w:r>
        <w:rPr>
          <w:rFonts w:ascii="Arial" w:cs="Arial" w:eastAsia="Arial" w:hAnsi="Arial"/>
          <w:sz w:val="17"/>
          <w:szCs w:val="17"/>
          <w:color w:val="auto"/>
        </w:rPr>
        <w:t>The following table summarizes the purchase price and nonrecurring post-combination compensation expense recorded as a part of the Decipher Acquisition (in thousands):</w:t>
      </w:r>
    </w:p>
    <w:p>
      <w:pPr>
        <w:spacing w:after="0" w:line="209"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jc w:val="right"/>
              <w:ind w:right="24"/>
              <w:spacing w:after="0"/>
              <w:rPr>
                <w:sz w:val="20"/>
                <w:szCs w:val="20"/>
                <w:color w:val="auto"/>
              </w:rPr>
            </w:pPr>
            <w:r>
              <w:rPr>
                <w:rFonts w:ascii="Arial" w:cs="Arial" w:eastAsia="Arial" w:hAnsi="Arial"/>
                <w:sz w:val="15"/>
                <w:szCs w:val="15"/>
                <w:b w:val="1"/>
                <w:bCs w:val="1"/>
                <w:color w:val="auto"/>
              </w:rPr>
              <w:t>Nonrecurring</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Purchase Price</w:t>
            </w:r>
          </w:p>
        </w:tc>
        <w:tc>
          <w:tcPr>
            <w:tcW w:w="2120" w:type="dxa"/>
            <w:vAlign w:val="bottom"/>
            <w:gridSpan w:val="2"/>
          </w:tcPr>
          <w:p>
            <w:pPr>
              <w:jc w:val="right"/>
              <w:spacing w:after="0" w:line="152" w:lineRule="exact"/>
              <w:rPr>
                <w:sz w:val="20"/>
                <w:szCs w:val="20"/>
                <w:color w:val="auto"/>
              </w:rPr>
            </w:pPr>
            <w:r>
              <w:rPr>
                <w:rFonts w:ascii="Arial" w:cs="Arial" w:eastAsia="Arial" w:hAnsi="Arial"/>
                <w:sz w:val="15"/>
                <w:szCs w:val="15"/>
                <w:b w:val="1"/>
                <w:bCs w:val="1"/>
                <w:color w:val="auto"/>
                <w:w w:val="96"/>
              </w:rPr>
              <w:t>Post-Combination Compensat</w:t>
            </w:r>
          </w:p>
        </w:tc>
        <w:tc>
          <w:tcPr>
            <w:tcW w:w="0" w:type="dxa"/>
            <w:vAlign w:val="bottom"/>
          </w:tcPr>
          <w:p>
            <w:pPr>
              <w:spacing w:after="0"/>
              <w:rPr>
                <w:sz w:val="1"/>
                <w:szCs w:val="1"/>
                <w:color w:val="auto"/>
              </w:rPr>
            </w:pPr>
          </w:p>
        </w:tc>
      </w:tr>
      <w:tr>
        <w:trPr>
          <w:trHeight w:val="199"/>
        </w:trPr>
        <w:tc>
          <w:tcPr>
            <w:tcW w:w="5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jc w:val="right"/>
              <w:ind w:right="544"/>
              <w:spacing w:after="0"/>
              <w:rPr>
                <w:sz w:val="20"/>
                <w:szCs w:val="20"/>
                <w:color w:val="auto"/>
              </w:rPr>
            </w:pPr>
            <w:r>
              <w:rPr>
                <w:rFonts w:ascii="Arial" w:cs="Arial" w:eastAsia="Arial" w:hAnsi="Arial"/>
                <w:sz w:val="15"/>
                <w:szCs w:val="15"/>
                <w:b w:val="1"/>
                <w:bCs w:val="1"/>
                <w:color w:val="auto"/>
                <w:w w:val="97"/>
              </w:rPr>
              <w:t>Expense</w:t>
            </w:r>
          </w:p>
        </w:tc>
        <w:tc>
          <w:tcPr>
            <w:tcW w:w="0" w:type="dxa"/>
            <w:vAlign w:val="bottom"/>
          </w:tcPr>
          <w:p>
            <w:pPr>
              <w:spacing w:after="0"/>
              <w:rPr>
                <w:sz w:val="1"/>
                <w:szCs w:val="1"/>
                <w:color w:val="auto"/>
              </w:rPr>
            </w:pPr>
          </w:p>
        </w:tc>
      </w:tr>
      <w:tr>
        <w:trPr>
          <w:trHeight w:val="199"/>
        </w:trPr>
        <w:tc>
          <w:tcPr>
            <w:tcW w:w="592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rPr>
              <w:t>Upfront cash consideration</w:t>
            </w:r>
          </w:p>
        </w:tc>
        <w:tc>
          <w:tcPr>
            <w:tcW w:w="9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550,515</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2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Liabilities incurred</w:t>
            </w:r>
          </w:p>
        </w:tc>
        <w:tc>
          <w:tcPr>
            <w:tcW w:w="9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44,179</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24"/>
        </w:trPr>
        <w:tc>
          <w:tcPr>
            <w:tcW w:w="59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5"/>
                <w:szCs w:val="15"/>
                <w:color w:val="auto"/>
              </w:rPr>
              <w:t>Total</w:t>
            </w:r>
          </w:p>
        </w:tc>
        <w:tc>
          <w:tcPr>
            <w:tcW w:w="9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594,694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100" w:firstLine="380"/>
        <w:spacing w:after="0" w:line="311" w:lineRule="auto"/>
        <w:rPr>
          <w:sz w:val="20"/>
          <w:szCs w:val="20"/>
          <w:color w:val="auto"/>
        </w:rPr>
      </w:pPr>
      <w:r>
        <w:rPr>
          <w:rFonts w:ascii="Arial" w:cs="Arial" w:eastAsia="Arial" w:hAnsi="Arial"/>
          <w:sz w:val="15"/>
          <w:szCs w:val="15"/>
          <w:color w:val="auto"/>
        </w:rPr>
        <w:t>Assets acquired and liabilities assumed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liabilities assumed, and the resulting amount of goodwill. The following table summarizes the fair values of</w:t>
      </w: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assets acquired and liabilities assumed through the Company's acquisition of Decipher Biosciences at the date of acquisition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Cash and cash equivalents</w:t>
            </w:r>
          </w:p>
        </w:tc>
        <w:tc>
          <w:tcPr>
            <w:tcW w:w="138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19,782</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Accounts receivable</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7,562</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Supplies inventory</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1,641</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Prepaids and other current assets</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778</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Property and equipment, net</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1,737</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Right-of-use assets, operating lease</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7,601</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Finite-lived intangible assets</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94,000</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Indefinite-lived intangible assets</w:t>
            </w:r>
          </w:p>
        </w:tc>
        <w:tc>
          <w:tcPr>
            <w:tcW w:w="13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7,300</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Restricted cash</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146</w:t>
            </w:r>
          </w:p>
        </w:tc>
      </w:tr>
      <w:tr>
        <w:trPr>
          <w:trHeight w:val="199"/>
        </w:trPr>
        <w:tc>
          <w:tcPr>
            <w:tcW w:w="868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Other assets</w:t>
            </w:r>
          </w:p>
        </w:tc>
        <w:tc>
          <w:tcPr>
            <w:tcW w:w="1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3,075</w:t>
            </w:r>
          </w:p>
        </w:tc>
      </w:tr>
      <w:tr>
        <w:trPr>
          <w:trHeight w:val="199"/>
        </w:trPr>
        <w:tc>
          <w:tcPr>
            <w:tcW w:w="86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Total identifiable assets acquired</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143,622</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1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(2,351)</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Accrued liabilities</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(4,322)</w:t>
            </w:r>
          </w:p>
        </w:tc>
      </w:tr>
      <w:tr>
        <w:trPr>
          <w:trHeight w:val="199"/>
        </w:trPr>
        <w:tc>
          <w:tcPr>
            <w:tcW w:w="8680" w:type="dxa"/>
            <w:vAlign w:val="bottom"/>
          </w:tcPr>
          <w:p>
            <w:pPr>
              <w:ind w:left="740"/>
              <w:spacing w:after="0"/>
              <w:rPr>
                <w:sz w:val="20"/>
                <w:szCs w:val="20"/>
                <w:color w:val="auto"/>
              </w:rPr>
            </w:pPr>
            <w:r>
              <w:rPr>
                <w:rFonts w:ascii="Arial" w:cs="Arial" w:eastAsia="Arial" w:hAnsi="Arial"/>
                <w:sz w:val="15"/>
                <w:szCs w:val="15"/>
                <w:color w:val="auto"/>
              </w:rPr>
              <w:t>Operating lease obligations (current)</w:t>
            </w:r>
          </w:p>
        </w:tc>
        <w:tc>
          <w:tcPr>
            <w:tcW w:w="1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(1,241)</w:t>
            </w:r>
          </w:p>
        </w:tc>
      </w:tr>
      <w:tr>
        <w:trPr>
          <w:trHeight w:val="206"/>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Operating lease obligations, net of current portion</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(4,540)</w:t>
            </w:r>
          </w:p>
        </w:tc>
      </w:tr>
      <w:tr>
        <w:trPr>
          <w:trHeight w:val="199"/>
        </w:trPr>
        <w:tc>
          <w:tcPr>
            <w:tcW w:w="868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Deferred tax liability</w:t>
            </w:r>
          </w:p>
        </w:tc>
        <w:tc>
          <w:tcPr>
            <w:tcW w:w="1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(4,727)</w:t>
            </w:r>
          </w:p>
        </w:tc>
      </w:tr>
      <w:tr>
        <w:trPr>
          <w:trHeight w:val="199"/>
        </w:trPr>
        <w:tc>
          <w:tcPr>
            <w:tcW w:w="86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Net identifiable assets acquired</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126,441</w:t>
            </w:r>
          </w:p>
        </w:tc>
      </w:tr>
      <w:tr>
        <w:trPr>
          <w:trHeight w:val="199"/>
        </w:trPr>
        <w:tc>
          <w:tcPr>
            <w:tcW w:w="8680" w:type="dxa"/>
            <w:vAlign w:val="bottom"/>
            <w:tcBorders>
              <w:bottom w:val="single" w:sz="8" w:color="CCEEFF"/>
            </w:tcBorders>
          </w:tcPr>
          <w:p>
            <w:pPr>
              <w:ind w:left="740"/>
              <w:spacing w:after="0"/>
              <w:rPr>
                <w:sz w:val="20"/>
                <w:szCs w:val="20"/>
                <w:color w:val="auto"/>
              </w:rPr>
            </w:pPr>
            <w:r>
              <w:rPr>
                <w:rFonts w:ascii="Arial" w:cs="Arial" w:eastAsia="Arial" w:hAnsi="Arial"/>
                <w:sz w:val="15"/>
                <w:szCs w:val="15"/>
                <w:color w:val="auto"/>
              </w:rPr>
              <w:t>Goodwill</w:t>
            </w:r>
          </w:p>
        </w:tc>
        <w:tc>
          <w:tcPr>
            <w:tcW w:w="1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468,253</w:t>
            </w:r>
          </w:p>
        </w:tc>
      </w:tr>
      <w:tr>
        <w:trPr>
          <w:trHeight w:val="224"/>
        </w:trPr>
        <w:tc>
          <w:tcPr>
            <w:tcW w:w="86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Total purchase price</w:t>
            </w:r>
          </w:p>
        </w:tc>
        <w:tc>
          <w:tcPr>
            <w:tcW w:w="138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594,694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Based on the guidance provided in ASC 805, the Company accounted for the acquisition of Decipher Biosciences as a business combination in which the Company determined that Decipher Biosciences was a business which combines inputs and processes to create outputs, and substantially all of the fair value of gross assets acquired was not concentrated in a single identifiable asset or group of similar identifiable assets.</w:t>
      </w:r>
    </w:p>
    <w:p>
      <w:pPr>
        <w:spacing w:after="0" w:line="201"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The Company's purchase price allocation for the Decipher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accounts receivable, and goodwill. Additional information that existed as of the closing date but not known at the time of this filing may become known to the Company during the remainder of the measurement period, a period not to exceed 12 months from the closing date.</w:t>
      </w:r>
    </w:p>
    <w:p>
      <w:pPr>
        <w:spacing w:after="0" w:line="192"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During the nine months ended September 30, 2021, the Company recorded certain measurement period adjustments due to new information becoming available pertaining to the valuation of accounts receivable and certain other assets. These adjustments were recorded as decreases to goodwill and did not impact the condensed consolidated statement of operations. One of these adjustments relates to cash collections of accounts receivable that existed as of the acquisition date exceeding the initial fair value of accounts receivable recorded on the acquisition date by $1.8 million.</w:t>
      </w:r>
    </w:p>
    <w:p>
      <w:pPr>
        <w:spacing w:after="0" w:line="19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intangible assets acquired are two in-process research and development, or IPR&amp;D, assets (Metastatic Hormone Sensitive Cancer and Castrate Resistant Cancer), developed technology, and trade names. Additionally, the Company identified certain off-market leases and an intangible asset of $1.8 million is included in operating lease assets which will be amortized over the remaining lease term.</w:t>
      </w:r>
    </w:p>
    <w:p>
      <w:pPr>
        <w:spacing w:after="0" w:line="20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estimated fair value of the IPR&amp;D is determined using the multi-period excess earnings method which calculates the present value of the estimated revenues and net cash flows derived from the IPR&amp;D once the technologies are developed. The IPR&amp;D is not amortized until it becomes commercially viable and placed in service. At the time when the intangible assets are placed in service the Company will determine a useful life.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fair value of the finite-lived intangible assets was estimated as follows: (i) the developed technology of $90.0 million was based on a multi-period excess earnings method, and (ii) the trade names of $4.0 million was based on the relief from royalty method. The estimated useful life for the developed technology is 10 years, and the estimated useful life for the trade names is five years. The amortization expense related to finite-lived intangible assets is recorded within the intangible asset amortization financial statement line item.</w:t>
      </w:r>
    </w:p>
    <w:p>
      <w:pPr>
        <w:spacing w:after="0" w:line="20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Goodwill represents the excess of the purchase price over the fair value of the net tangible and intangible assets acquired. The Decipher Acquisition resulted in the recognition of $468.3 million of goodwill which the Company believes consists primarily of expanded market and product opportunities, including new areas of genomic testing, as well as the potential expansion of the Company's product offerings in international markets. Furthermore, the acquisition of Decipher Biosciences bolsters the Company's presence to seven of the ten most common cancers impacting patients in the United States, which in turn enhances the Company’s overall prominence in the genomic testing arena. Goodwill created as a result of the Decipher Acquisition is not deductible for tax purposes. The Decipher Acquisition advances the Company's objective to improve the lives of patients through innovations in genomic technology tailored for diagnostic, prognostic, and treatment decisions related to urologic cancers.</w:t>
      </w:r>
    </w:p>
    <w:p>
      <w:pPr>
        <w:spacing w:after="0" w:line="211"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We recorded an income tax benefit primarily due to net deferred tax liabilities assumed in connection with the Decipher Acquisition, which provided a future source of income to support the realization of our deferred tax assets and resulted in a release of $3.5 million in the Company's valuation allowance.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Pro Forma Information (unaudited)</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Veracyte, Decipher and HalioDx as though the companies had been combined as of January 1, 2020. The pro forma amounts have been adjusted for:</w:t>
      </w:r>
    </w:p>
    <w:p>
      <w:pPr>
        <w:spacing w:after="0" w:line="191" w:lineRule="exact"/>
        <w:rPr>
          <w:sz w:val="20"/>
          <w:szCs w:val="20"/>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day 1 expense related to the accelerated vesting of unvested legacy Decipher and HalioDx equity awards,</w:t>
      </w:r>
    </w:p>
    <w:p>
      <w:pPr>
        <w:spacing w:after="0" w:line="1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transaction expenses incurred by Decipher, HalioDx and us,</w:t>
      </w:r>
    </w:p>
    <w:p>
      <w:pPr>
        <w:spacing w:after="0" w:line="7"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lease expense resulting from the fair value adjustments to the operating lease obligation and operating lease asset for both Decipher and HalioDx,</w:t>
      </w:r>
    </w:p>
    <w:p>
      <w:pPr>
        <w:spacing w:after="0" w:line="18" w:lineRule="exact"/>
        <w:rPr>
          <w:rFonts w:ascii="Arial" w:cs="Arial" w:eastAsia="Arial" w:hAnsi="Arial"/>
          <w:sz w:val="16"/>
          <w:szCs w:val="16"/>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depreciation expense resulting from the fair value adjustments to fixed asset for both Decipher and HalioDx,</w:t>
      </w:r>
    </w:p>
    <w:p>
      <w:pPr>
        <w:spacing w:after="0" w:line="7" w:lineRule="exact"/>
        <w:rPr>
          <w:rFonts w:ascii="Arial" w:cs="Arial" w:eastAsia="Arial" w:hAnsi="Arial"/>
          <w:sz w:val="17"/>
          <w:szCs w:val="17"/>
          <w:color w:val="auto"/>
        </w:rPr>
      </w:pPr>
    </w:p>
    <w:p>
      <w:pPr>
        <w:ind w:left="600" w:hanging="294"/>
        <w:spacing w:after="0" w:line="23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amortization expense resulting from the acquired intangible assets for both Decipher and HalioDx,</w:t>
      </w:r>
    </w:p>
    <w:p>
      <w:pPr>
        <w:ind w:left="600" w:hanging="294"/>
        <w:spacing w:after="0" w:line="217"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elimination of historical interest expense incurred on debt and debt-like items for both Decipher and HalioDx,</w:t>
      </w:r>
    </w:p>
    <w:p>
      <w:pPr>
        <w:ind w:left="600" w:hanging="294"/>
        <w:spacing w:after="0" w:line="217"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income tax benefits resulting from the deferred tax liabilities acquired related to Decipher, and</w:t>
      </w: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compensation expense recognized in relation to the equity awards granted in connection with both acquisitions.</w:t>
      </w:r>
    </w:p>
    <w:p>
      <w:pPr>
        <w:spacing w:after="0" w:line="20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following unaudited pro forma financial information is for informational purposes only and is not necessarily indicative of the results of operations that would have been achieved as if the acquisitions had taken place as of January 1, 2020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56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5"/>
                <w:szCs w:val="15"/>
                <w:b w:val="1"/>
                <w:bCs w:val="1"/>
                <w:color w:val="auto"/>
              </w:rPr>
              <w:t>Three Months Ended September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5"/>
                <w:szCs w:val="15"/>
                <w:b w:val="1"/>
                <w:bCs w:val="1"/>
                <w:color w:val="auto"/>
              </w:rPr>
              <w:t>Nine Months Ended September 30,</w:t>
            </w:r>
          </w:p>
        </w:tc>
        <w:tc>
          <w:tcPr>
            <w:tcW w:w="680" w:type="dxa"/>
            <w:vAlign w:val="bottom"/>
            <w:tcBorders>
              <w:bottom w:val="single" w:sz="8" w:color="auto"/>
            </w:tcBorders>
          </w:tcPr>
          <w:p>
            <w:pPr>
              <w:spacing w:after="0"/>
              <w:rPr>
                <w:sz w:val="17"/>
                <w:szCs w:val="17"/>
                <w:color w:val="auto"/>
              </w:rPr>
            </w:pPr>
          </w:p>
        </w:tc>
      </w:tr>
      <w:tr>
        <w:trPr>
          <w:trHeight w:val="196"/>
        </w:trPr>
        <w:tc>
          <w:tcPr>
            <w:tcW w:w="35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2021</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2020</w:t>
            </w:r>
          </w:p>
        </w:tc>
        <w:tc>
          <w:tcPr>
            <w:tcW w:w="680" w:type="dxa"/>
            <w:vAlign w:val="bottom"/>
            <w:tcBorders>
              <w:bottom w:val="single" w:sz="8" w:color="auto"/>
            </w:tcBorders>
          </w:tcPr>
          <w:p>
            <w:pPr>
              <w:spacing w:after="0"/>
              <w:rPr>
                <w:sz w:val="17"/>
                <w:szCs w:val="17"/>
                <w:color w:val="auto"/>
              </w:rPr>
            </w:pPr>
          </w:p>
        </w:tc>
      </w:tr>
      <w:tr>
        <w:trPr>
          <w:trHeight w:val="199"/>
        </w:trPr>
        <w:tc>
          <w:tcPr>
            <w:tcW w:w="3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200" w:type="dxa"/>
            <w:vAlign w:val="bottom"/>
            <w:shd w:val="clear" w:color="auto" w:fill="CCEEFF"/>
          </w:tcPr>
          <w:p>
            <w:pPr>
              <w:jc w:val="right"/>
              <w:ind w:right="10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62,608</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47,402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9"/>
              </w:rPr>
              <w:t>178,525</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124,863</w:t>
            </w:r>
          </w:p>
        </w:tc>
      </w:tr>
      <w:tr>
        <w:trPr>
          <w:trHeight w:val="196"/>
        </w:trPr>
        <w:tc>
          <w:tcPr>
            <w:tcW w:w="3560" w:type="dxa"/>
            <w:vAlign w:val="bottom"/>
          </w:tcPr>
          <w:p>
            <w:pPr>
              <w:ind w:left="20"/>
              <w:spacing w:after="0"/>
              <w:rPr>
                <w:sz w:val="20"/>
                <w:szCs w:val="20"/>
                <w:color w:val="auto"/>
              </w:rPr>
            </w:pPr>
            <w:r>
              <w:rPr>
                <w:rFonts w:ascii="Arial" w:cs="Arial" w:eastAsia="Arial" w:hAnsi="Arial"/>
                <w:sz w:val="15"/>
                <w:szCs w:val="15"/>
                <w:color w:val="auto"/>
              </w:rPr>
              <w:t>Net Loss</w:t>
            </w:r>
          </w:p>
        </w:tc>
        <w:tc>
          <w:tcPr>
            <w:tcW w:w="1200" w:type="dxa"/>
            <w:vAlign w:val="bottom"/>
          </w:tcPr>
          <w:p>
            <w:pPr>
              <w:jc w:val="right"/>
              <w:ind w:right="1024"/>
              <w:spacing w:after="0"/>
              <w:rPr>
                <w:sz w:val="20"/>
                <w:szCs w:val="20"/>
                <w:color w:val="auto"/>
              </w:rPr>
            </w:pPr>
            <w:r>
              <w:rPr>
                <w:rFonts w:ascii="Arial" w:cs="Arial" w:eastAsia="Arial" w:hAnsi="Arial"/>
                <w:sz w:val="15"/>
                <w:szCs w:val="15"/>
                <w:color w:val="auto"/>
                <w:w w:val="95"/>
              </w:rPr>
              <w:t>$</w:t>
            </w:r>
          </w:p>
        </w:tc>
        <w:tc>
          <w:tcPr>
            <w:tcW w:w="620" w:type="dxa"/>
            <w:vAlign w:val="bottom"/>
          </w:tcPr>
          <w:p>
            <w:pPr>
              <w:ind w:left="160"/>
              <w:spacing w:after="0"/>
              <w:rPr>
                <w:sz w:val="20"/>
                <w:szCs w:val="20"/>
                <w:color w:val="auto"/>
              </w:rPr>
            </w:pPr>
            <w:r>
              <w:rPr>
                <w:rFonts w:ascii="Arial" w:cs="Arial" w:eastAsia="Arial" w:hAnsi="Arial"/>
                <w:sz w:val="15"/>
                <w:szCs w:val="15"/>
                <w:color w:val="auto"/>
                <w:w w:val="92"/>
              </w:rPr>
              <w:t>(7,672)</w:t>
            </w:r>
          </w:p>
        </w:tc>
        <w:tc>
          <w:tcPr>
            <w:tcW w:w="100" w:type="dxa"/>
            <w:vAlign w:val="bottom"/>
          </w:tcPr>
          <w:p>
            <w:pPr>
              <w:spacing w:after="0"/>
              <w:rPr>
                <w:sz w:val="17"/>
                <w:szCs w:val="17"/>
                <w:color w:val="auto"/>
              </w:rPr>
            </w:pPr>
          </w:p>
        </w:tc>
        <w:tc>
          <w:tcPr>
            <w:tcW w:w="1240" w:type="dxa"/>
            <w:vAlign w:val="bottom"/>
          </w:tcPr>
          <w:p>
            <w:pPr>
              <w:jc w:val="right"/>
              <w:ind w:right="1064"/>
              <w:spacing w:after="0"/>
              <w:rPr>
                <w:sz w:val="20"/>
                <w:szCs w:val="20"/>
                <w:color w:val="auto"/>
              </w:rPr>
            </w:pPr>
            <w:r>
              <w:rPr>
                <w:rFonts w:ascii="Arial" w:cs="Arial" w:eastAsia="Arial" w:hAnsi="Arial"/>
                <w:sz w:val="15"/>
                <w:szCs w:val="15"/>
                <w:color w:val="auto"/>
                <w:w w:val="95"/>
              </w:rPr>
              <w:t>$</w:t>
            </w:r>
          </w:p>
        </w:tc>
        <w:tc>
          <w:tcPr>
            <w:tcW w:w="580" w:type="dxa"/>
            <w:vAlign w:val="bottom"/>
          </w:tcPr>
          <w:p>
            <w:pPr>
              <w:ind w:left="120"/>
              <w:spacing w:after="0"/>
              <w:rPr>
                <w:sz w:val="20"/>
                <w:szCs w:val="20"/>
                <w:color w:val="auto"/>
              </w:rPr>
            </w:pPr>
            <w:r>
              <w:rPr>
                <w:rFonts w:ascii="Arial" w:cs="Arial" w:eastAsia="Arial" w:hAnsi="Arial"/>
                <w:sz w:val="15"/>
                <w:szCs w:val="15"/>
                <w:color w:val="auto"/>
                <w:w w:val="92"/>
              </w:rPr>
              <w:t>(9,971)</w:t>
            </w:r>
          </w:p>
        </w:tc>
        <w:tc>
          <w:tcPr>
            <w:tcW w:w="100" w:type="dxa"/>
            <w:vAlign w:val="bottom"/>
          </w:tcPr>
          <w:p>
            <w:pPr>
              <w:spacing w:after="0"/>
              <w:rPr>
                <w:sz w:val="17"/>
                <w:szCs w:val="17"/>
                <w:color w:val="auto"/>
              </w:rPr>
            </w:pPr>
          </w:p>
        </w:tc>
        <w:tc>
          <w:tcPr>
            <w:tcW w:w="1160" w:type="dxa"/>
            <w:vAlign w:val="bottom"/>
          </w:tcPr>
          <w:p>
            <w:pPr>
              <w:jc w:val="right"/>
              <w:ind w:right="1004"/>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120"/>
              <w:spacing w:after="0"/>
              <w:rPr>
                <w:sz w:val="20"/>
                <w:szCs w:val="20"/>
                <w:color w:val="auto"/>
              </w:rPr>
            </w:pPr>
            <w:r>
              <w:rPr>
                <w:rFonts w:ascii="Arial" w:cs="Arial" w:eastAsia="Arial" w:hAnsi="Arial"/>
                <w:sz w:val="15"/>
                <w:szCs w:val="15"/>
                <w:color w:val="auto"/>
                <w:w w:val="96"/>
              </w:rPr>
              <w:t>(27,858)</w:t>
            </w:r>
          </w:p>
        </w:tc>
        <w:tc>
          <w:tcPr>
            <w:tcW w:w="80" w:type="dxa"/>
            <w:vAlign w:val="bottom"/>
          </w:tcPr>
          <w:p>
            <w:pPr>
              <w:spacing w:after="0"/>
              <w:rPr>
                <w:sz w:val="17"/>
                <w:szCs w:val="17"/>
                <w:color w:val="auto"/>
              </w:rPr>
            </w:pPr>
          </w:p>
        </w:tc>
        <w:tc>
          <w:tcPr>
            <w:tcW w:w="1160" w:type="dxa"/>
            <w:vAlign w:val="bottom"/>
          </w:tcPr>
          <w:p>
            <w:pPr>
              <w:jc w:val="right"/>
              <w:ind w:right="984"/>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9"/>
              </w:rPr>
              <w:t>(106,397)</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Transactions</w:t>
      </w:r>
    </w:p>
    <w:p>
      <w:pPr>
        <w:spacing w:after="0" w:line="23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Members of Veracyte's board of directors, Dr. Tina S. Nova, Ph.D. and Dr. Robert S. Epstein, M.D., M.S., served on the board of directors of Decipher Biosciences prior to the acquisition of Decipher Biosciences, with Dr. Nova additionally serving as President and Chief Executive Officer of Decipher Biosciences. Pursuant to Veracyte's related party transactions policy, Dr. Nova and Dr. Epstein recused themselves from all discussions of its board of directors related to the Decipher Acquisition, and the Decipher Acquisition was approved by each of the non-interested members of the board of directors. In connection with the Decipher Acquisition, certain Decipher Biosciences equity awards held by Dr. Nova and Dr. Epstein were fully-accelerated and certain incentive bonus payments were made to Dr. Nova pursuant to a management incentive plan established by the Decipher Biosciences board of directors, resulting in payments of approximately $26.5 million and $1.4 million to each of them,</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respectively. Dr. Nova resigned from Veracyte’s board of directors and now serves as Veracyte's General Manager, Thyroid and Urologic Cancers. Dr. Epstein continues to serve on Veracyte’s board of directors.</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14"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4" w:lineRule="exact"/>
        <w:rPr>
          <w:sz w:val="20"/>
          <w:szCs w:val="20"/>
          <w:color w:val="auto"/>
        </w:rPr>
      </w:pPr>
    </w:p>
    <w:p>
      <w:pPr>
        <w:ind w:left="760" w:hanging="302"/>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108" w:lineRule="exact"/>
        <w:rPr>
          <w:rFonts w:ascii="Arial" w:cs="Arial" w:eastAsia="Arial" w:hAnsi="Arial"/>
          <w:sz w:val="17"/>
          <w:szCs w:val="17"/>
          <w:color w:val="auto"/>
        </w:rPr>
      </w:pPr>
    </w:p>
    <w:p>
      <w:pPr>
        <w:ind w:left="760" w:right="40" w:hanging="302"/>
        <w:spacing w:after="0" w:line="260" w:lineRule="auto"/>
        <w:tabs>
          <w:tab w:leader="none" w:pos="75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4" w:lineRule="exact"/>
        <w:rPr>
          <w:rFonts w:ascii="Arial" w:cs="Arial" w:eastAsia="Arial" w:hAnsi="Arial"/>
          <w:sz w:val="17"/>
          <w:szCs w:val="17"/>
          <w:color w:val="auto"/>
        </w:rPr>
      </w:pPr>
    </w:p>
    <w:p>
      <w:pPr>
        <w:ind w:left="760" w:hanging="302"/>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7"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 fair value of the Company’s financial assets includes money market funds and deposits for leases of the Company's facilities. Money market funds, included in cash and cash equivalents in the accompanying condensed consolidated balance sheets, were $150.8 million and $346.8 million as of September 30, 2021 and December 31, 2020, respectively, and are Level I assets as described above. Included in prepaid expenses and other current assets as of September 30, 2021 were time deposits with a bank valued at amortized cost of $4.1 million, which approximates fair value, and are Level II assets as described above. The deposits for the leases, included in restricted cash in the accompanying condensed consolidated balance sheets, were $749,000 and $603,000 as of September 30, 2021 and December 31, 2020, respectively, and are a Level I assets as described above.</w:t>
      </w:r>
    </w:p>
    <w:p>
      <w:pPr>
        <w:spacing w:after="0" w:line="184" w:lineRule="exact"/>
        <w:rPr>
          <w:sz w:val="20"/>
          <w:szCs w:val="20"/>
          <w:color w:val="auto"/>
        </w:rPr>
      </w:pPr>
    </w:p>
    <w:p>
      <w:pPr>
        <w:jc w:val="both"/>
        <w:ind w:firstLine="380"/>
        <w:spacing w:after="0" w:line="267" w:lineRule="auto"/>
        <w:rPr>
          <w:sz w:val="20"/>
          <w:szCs w:val="20"/>
          <w:color w:val="auto"/>
        </w:rPr>
      </w:pPr>
      <w:r>
        <w:rPr>
          <w:rFonts w:ascii="Arial" w:cs="Arial" w:eastAsia="Arial" w:hAnsi="Arial"/>
          <w:sz w:val="16"/>
          <w:szCs w:val="16"/>
          <w:color w:val="auto"/>
        </w:rPr>
        <w:t>On December 3, 2019, the Company acquired from NanoString the exclusive global diagnostics license to the nCounter Analysis System, the Prosigna breast cancer prognostic gene signature assay, and the LymphMark lymphoma subtyping assay.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and is remeasured to fair value at each reporting date until the contingent consideration is settled. As of September 30, 2021 and December 31, 2020, this contingency was remeasured to $7.9 million and $7.6 million, respectively, with the corresponding changes included in general and administrative expense in the Company's condensed consolidated statements of operations. As of September 30, 2021, the achievement of one of the milestones is forecasted to occur within the next 12 months. As a result, $2.6 million of the contingent consideration is included in short term liabilities at September 30, 2021. The fair value of the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September 30, 2021 and December 31, 2020, the Company calculated the estimated fair value of the milestones using the following significant unobservable inputs: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auto"/>
            </w:tcBorders>
            <w:gridSpan w:val="3"/>
          </w:tcPr>
          <w:p>
            <w:pPr>
              <w:ind w:left="340"/>
              <w:spacing w:after="0"/>
              <w:rPr>
                <w:sz w:val="20"/>
                <w:szCs w:val="20"/>
                <w:color w:val="auto"/>
              </w:rPr>
            </w:pPr>
            <w:r>
              <w:rPr>
                <w:rFonts w:ascii="Arial" w:cs="Arial" w:eastAsia="Arial" w:hAnsi="Arial"/>
                <w:sz w:val="15"/>
                <w:szCs w:val="15"/>
                <w:b w:val="1"/>
                <w:bCs w:val="1"/>
                <w:color w:val="auto"/>
              </w:rPr>
              <w:t>Value or Range (Weighted-Average)</w:t>
            </w:r>
          </w:p>
        </w:tc>
      </w:tr>
      <w:tr>
        <w:trPr>
          <w:trHeight w:val="199"/>
        </w:trPr>
        <w:tc>
          <w:tcPr>
            <w:tcW w:w="5500" w:type="dxa"/>
            <w:vAlign w:val="bottom"/>
            <w:tcBorders>
              <w:bottom w:val="single" w:sz="8" w:color="auto"/>
            </w:tcBorders>
          </w:tcPr>
          <w:p>
            <w:pPr>
              <w:ind w:left="2120"/>
              <w:spacing w:after="0"/>
              <w:rPr>
                <w:sz w:val="20"/>
                <w:szCs w:val="20"/>
                <w:color w:val="auto"/>
              </w:rPr>
            </w:pPr>
            <w:r>
              <w:rPr>
                <w:rFonts w:ascii="Arial" w:cs="Arial" w:eastAsia="Arial" w:hAnsi="Arial"/>
                <w:sz w:val="15"/>
                <w:szCs w:val="15"/>
                <w:b w:val="1"/>
                <w:bCs w:val="1"/>
                <w:color w:val="auto"/>
              </w:rPr>
              <w:t>Unobservable input</w:t>
            </w:r>
          </w:p>
        </w:tc>
        <w:tc>
          <w:tcPr>
            <w:tcW w:w="1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97"/>
              </w:rPr>
              <w:t>September 30, 2021</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99"/>
              </w:rPr>
              <w:t>December 31, 2020</w:t>
            </w:r>
          </w:p>
        </w:tc>
      </w:tr>
      <w:tr>
        <w:trPr>
          <w:trHeight w:val="224"/>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Discount rate</w:t>
            </w:r>
          </w:p>
        </w:tc>
        <w:tc>
          <w:tcPr>
            <w:tcW w:w="14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5.7%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6.9%</w:t>
            </w:r>
          </w:p>
        </w:tc>
      </w:tr>
      <w:tr>
        <w:trPr>
          <w:trHeight w:val="209"/>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Probability of achievement</w:t>
            </w:r>
          </w:p>
        </w:tc>
        <w:tc>
          <w:tcPr>
            <w:tcW w:w="1460" w:type="dxa"/>
            <w:vAlign w:val="bottom"/>
          </w:tcPr>
          <w:p>
            <w:pPr>
              <w:jc w:val="right"/>
              <w:ind w:right="64"/>
              <w:spacing w:after="0"/>
              <w:rPr>
                <w:sz w:val="20"/>
                <w:szCs w:val="20"/>
                <w:color w:val="auto"/>
              </w:rPr>
            </w:pPr>
            <w:r>
              <w:rPr>
                <w:rFonts w:ascii="Arial" w:cs="Arial" w:eastAsia="Arial" w:hAnsi="Arial"/>
                <w:sz w:val="15"/>
                <w:szCs w:val="15"/>
                <w:color w:val="auto"/>
              </w:rPr>
              <w:t>80% - 100% (88%)</w:t>
            </w:r>
          </w:p>
        </w:tc>
        <w:tc>
          <w:tcPr>
            <w:tcW w:w="120" w:type="dxa"/>
            <w:vAlign w:val="bottom"/>
          </w:tcPr>
          <w:p>
            <w:pPr>
              <w:spacing w:after="0"/>
              <w:rPr>
                <w:sz w:val="18"/>
                <w:szCs w:val="18"/>
                <w:color w:val="auto"/>
              </w:rPr>
            </w:pPr>
          </w:p>
        </w:tc>
        <w:tc>
          <w:tcPr>
            <w:tcW w:w="1460" w:type="dxa"/>
            <w:vAlign w:val="bottom"/>
          </w:tcPr>
          <w:p>
            <w:pPr>
              <w:jc w:val="right"/>
              <w:ind w:right="64"/>
              <w:spacing w:after="0"/>
              <w:rPr>
                <w:sz w:val="20"/>
                <w:szCs w:val="20"/>
                <w:color w:val="auto"/>
              </w:rPr>
            </w:pPr>
            <w:r>
              <w:rPr>
                <w:rFonts w:ascii="Arial" w:cs="Arial" w:eastAsia="Arial" w:hAnsi="Arial"/>
                <w:sz w:val="15"/>
                <w:szCs w:val="15"/>
                <w:color w:val="auto"/>
              </w:rPr>
              <w:t>70% - 100% (86%)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10"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The Company leases office and laboratory facilities in South San Francisco and San Diego, California, Austin, Texas, Marseille, France, and Richmond, Virginia, and leases certain equipment under various non-cancelable lease agreements. The lease terms extend to January 2029 and contain extension of lease term and expansion options. The leases have a weighted average remaining lease term of 5.2 years as of September 30, 2021. The Company had deposits of $749,000 and $603,000 included in long-term assets as of September 30, 2021, and December 31, 2020, respectively, restricted from withdrawal and held by banks in the form of collateral for irrevocable standby letters of credit held as security for the leases.</w:t>
      </w:r>
    </w:p>
    <w:p>
      <w:pPr>
        <w:spacing w:after="0" w:line="192"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 xml:space="preserve">The Company determined its operating lease liabilities using payments through their current expiration dates and a weighted average discount rate of 6.5%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or ASC 842, the Company classified its deferred rent for tenant improvements with its operating lease right-of-use assets on the consolidated balance sheets. In connection with the acquisition of Decipher Biosciences, the Company identified certain off-market rate leases and has estimated an intangible asset of $1.8 million which is included in operating lease assets and will be amortized over the remaining lease term. See Note 4 for more information on the acquisition of Decipher Biosciences.</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Future minimum lease payments under non-cancelable operating leases as of September 30, 2021 are as follows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Ending December 31,</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Amounts</w:t>
            </w:r>
          </w:p>
        </w:tc>
      </w:tr>
      <w:tr>
        <w:trPr>
          <w:trHeight w:val="199"/>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Remainder of 2021</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w:t>
            </w:r>
          </w:p>
        </w:tc>
      </w:tr>
      <w:tr>
        <w:trPr>
          <w:trHeight w:val="199"/>
        </w:trPr>
        <w:tc>
          <w:tcPr>
            <w:tcW w:w="9360" w:type="dxa"/>
            <w:vAlign w:val="bottom"/>
          </w:tcPr>
          <w:p>
            <w:pPr>
              <w:ind w:left="20"/>
              <w:spacing w:after="0"/>
              <w:rPr>
                <w:sz w:val="20"/>
                <w:szCs w:val="20"/>
                <w:color w:val="auto"/>
              </w:rPr>
            </w:pPr>
            <w:r>
              <w:rPr>
                <w:rFonts w:ascii="Arial" w:cs="Arial" w:eastAsia="Arial" w:hAnsi="Arial"/>
                <w:sz w:val="15"/>
                <w:szCs w:val="15"/>
                <w:color w:val="auto"/>
              </w:rPr>
              <w:t>2022</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4,226</w:t>
            </w:r>
          </w:p>
        </w:tc>
      </w:tr>
      <w:tr>
        <w:trPr>
          <w:trHeight w:val="206"/>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4,296</w:t>
            </w:r>
          </w:p>
        </w:tc>
      </w:tr>
      <w:tr>
        <w:trPr>
          <w:trHeight w:val="199"/>
        </w:trPr>
        <w:tc>
          <w:tcPr>
            <w:tcW w:w="9360" w:type="dxa"/>
            <w:vAlign w:val="bottom"/>
          </w:tcPr>
          <w:p>
            <w:pPr>
              <w:ind w:left="20"/>
              <w:spacing w:after="0"/>
              <w:rPr>
                <w:sz w:val="20"/>
                <w:szCs w:val="20"/>
                <w:color w:val="auto"/>
              </w:rPr>
            </w:pPr>
            <w:r>
              <w:rPr>
                <w:rFonts w:ascii="Arial" w:cs="Arial" w:eastAsia="Arial" w:hAnsi="Arial"/>
                <w:sz w:val="15"/>
                <w:szCs w:val="15"/>
                <w:color w:val="auto"/>
              </w:rPr>
              <w:t>2024</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4,310</w:t>
            </w:r>
          </w:p>
        </w:tc>
      </w:tr>
      <w:tr>
        <w:trPr>
          <w:trHeight w:val="206"/>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4,380</w:t>
            </w:r>
          </w:p>
        </w:tc>
      </w:tr>
      <w:tr>
        <w:trPr>
          <w:trHeight w:val="19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2,487</w:t>
            </w:r>
          </w:p>
        </w:tc>
      </w:tr>
      <w:tr>
        <w:trPr>
          <w:trHeight w:val="199"/>
        </w:trPr>
        <w:tc>
          <w:tcPr>
            <w:tcW w:w="9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future minimum lease payments</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20,741</w:t>
            </w:r>
          </w:p>
        </w:tc>
      </w:tr>
      <w:tr>
        <w:trPr>
          <w:trHeight w:val="19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amount representing interest</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3,040</w:t>
            </w:r>
          </w:p>
        </w:tc>
      </w:tr>
      <w:tr>
        <w:trPr>
          <w:trHeight w:val="199"/>
        </w:trPr>
        <w:tc>
          <w:tcPr>
            <w:tcW w:w="9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Present value of future lease payments</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17,701</w:t>
            </w:r>
          </w:p>
        </w:tc>
      </w:tr>
      <w:tr>
        <w:trPr>
          <w:trHeight w:val="19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short-term lease liabilities</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3,465</w:t>
            </w:r>
          </w:p>
        </w:tc>
      </w:tr>
      <w:tr>
        <w:trPr>
          <w:trHeight w:val="224"/>
        </w:trPr>
        <w:tc>
          <w:tcPr>
            <w:tcW w:w="9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Long-term lease liabilities</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14,236</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5"/>
          </w:tcPr>
          <w:p>
            <w:pPr>
              <w:ind w:left="100"/>
              <w:spacing w:after="0"/>
              <w:rPr>
                <w:sz w:val="20"/>
                <w:szCs w:val="20"/>
                <w:color w:val="auto"/>
              </w:rPr>
            </w:pPr>
            <w:r>
              <w:rPr>
                <w:rFonts w:ascii="Arial" w:cs="Arial" w:eastAsia="Arial" w:hAnsi="Arial"/>
                <w:sz w:val="15"/>
                <w:szCs w:val="15"/>
                <w:b w:val="1"/>
                <w:bCs w:val="1"/>
                <w:color w:val="auto"/>
              </w:rPr>
              <w:t>Three Months Ended September 30,</w:t>
            </w:r>
          </w:p>
        </w:tc>
        <w:tc>
          <w:tcPr>
            <w:tcW w:w="140" w:type="dxa"/>
            <w:vAlign w:val="bottom"/>
          </w:tcPr>
          <w:p>
            <w:pPr>
              <w:spacing w:after="0"/>
              <w:rPr>
                <w:sz w:val="17"/>
                <w:szCs w:val="17"/>
                <w:color w:val="auto"/>
              </w:rPr>
            </w:pPr>
          </w:p>
        </w:tc>
        <w:tc>
          <w:tcPr>
            <w:tcW w:w="2480" w:type="dxa"/>
            <w:vAlign w:val="bottom"/>
            <w:gridSpan w:val="4"/>
          </w:tcPr>
          <w:p>
            <w:pPr>
              <w:jc w:val="right"/>
              <w:ind w:right="104"/>
              <w:spacing w:after="0"/>
              <w:rPr>
                <w:sz w:val="20"/>
                <w:szCs w:val="20"/>
                <w:color w:val="auto"/>
              </w:rPr>
            </w:pPr>
            <w:r>
              <w:rPr>
                <w:rFonts w:ascii="Arial" w:cs="Arial" w:eastAsia="Arial" w:hAnsi="Arial"/>
                <w:sz w:val="15"/>
                <w:szCs w:val="15"/>
                <w:b w:val="1"/>
                <w:bCs w:val="1"/>
                <w:color w:val="auto"/>
                <w:w w:val="92"/>
              </w:rPr>
              <w:t>Nine Months Ended September 30,</w:t>
            </w:r>
          </w:p>
        </w:tc>
      </w:tr>
      <w:tr>
        <w:trPr>
          <w:trHeight w:val="196"/>
        </w:trPr>
        <w:tc>
          <w:tcPr>
            <w:tcW w:w="56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2020</w:t>
            </w:r>
          </w:p>
        </w:tc>
      </w:tr>
      <w:tr>
        <w:trPr>
          <w:trHeight w:val="199"/>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expense</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2,460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1,417</w:t>
            </w:r>
          </w:p>
        </w:tc>
      </w:tr>
      <w:tr>
        <w:trPr>
          <w:trHeight w:val="196"/>
        </w:trPr>
        <w:tc>
          <w:tcPr>
            <w:tcW w:w="5620" w:type="dxa"/>
            <w:vAlign w:val="bottom"/>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1,011</w:t>
            </w:r>
          </w:p>
        </w:tc>
        <w:tc>
          <w:tcPr>
            <w:tcW w:w="8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587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2,518</w:t>
            </w:r>
          </w:p>
        </w:tc>
        <w:tc>
          <w:tcPr>
            <w:tcW w:w="8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1,744</w:t>
            </w:r>
          </w:p>
        </w:tc>
      </w:tr>
    </w:tbl>
    <w:p>
      <w:pPr>
        <w:spacing w:after="0" w:line="31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company has leased laboratory equipment under various financing leases. The total right-of-use assets and total financing lease liabilities for these financing leases were each $0.7 million as of September 30, 2021, and are included in property and equipment, net and other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As of September 30, 2021, the Company’s wholly owned foreign subsidiary has entered into an arrangement under which it expects to sign a lease agreement for facilities which will be constructed in Marseille, France. The lease will commence upon completion of the construction of the office building which the Company currently expects to occur in the fourth quarter of 2023. The initial term of the lease will be twelve years with annual rent of approximately $1.4 million, which is subject to change based on final construction.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10"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From time to time, the Company may be involved in legal proceedings arising in the ordinary course of business. The Company assesses contingencies to determine the degree of probability and range of possible loss for potential accrual in its condensed consolidated financial statements. An estimated loss contingency is accrued in the financial statements if it is probable that a liability has been incurred and the amount of the loss can be reasonably estimated. The Company believes there are no legal proceedings pending that could have, either individually or in the aggregate, a material adverse effect on the Company’s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 and Security Agreement</w:t>
      </w:r>
    </w:p>
    <w:p>
      <w:pPr>
        <w:spacing w:after="0" w:line="210"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On November 3, 2017, the Company entered into a loan and security agreement, or Loan and Security Agreement, with Silicon Valley Bank. The Loan and Security Agreement allows the Company to borrow up to $35.0 million, with a $25.0 million advance term loan, or Term Loan Advance, and a revolving line of credit of up to $10.0 million, or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September 30, 2021.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8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Term Loan Advance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w:t>
      </w:r>
    </w:p>
    <w:p>
      <w:pPr>
        <w:spacing w:after="0" w:line="176"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The Company may prepay the outstanding principal amount under the Term Loan Advance plus accrued and unpaid interest and, if the Term Loan Advance is repaid in full, a prepayment premium of $250,000. In 2019 and 2020, the Company prepaid $24.9 million and $0.1 million, respectively, of the principal amount of the Term Loan Advance. These prepayments did not trigger any prepayment premium because they were partial, not full, repayments of the principal amount. If the Loan and Security Agreement is terminated before maturity, then a termination fee equal to 1% of the Revolving Line of Credit, or $0.1 million, will be due.</w:t>
      </w:r>
    </w:p>
    <w:p>
      <w:pPr>
        <w:spacing w:after="0" w:line="174"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as well as affirmative and negative covenants. As of September 30, 2021, the Company was in compliance with the loan covenants. The Company’s obligations under the Loan and Security Agreement are secured by substantially all of its assets (excluding intellectual property), subject to certain customary exceptions.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debt obligation for borrowings made under the Loan and Security Agreement was as follows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 2021</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7"/>
              </w:rPr>
              <w:t>December 31, 2020</w:t>
            </w: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principal</w:t>
            </w:r>
          </w:p>
        </w:tc>
        <w:tc>
          <w:tcPr>
            <w:tcW w:w="1560" w:type="dxa"/>
            <w:vAlign w:val="bottom"/>
            <w:shd w:val="clear" w:color="auto" w:fill="CCEEFF"/>
          </w:tcPr>
          <w:p>
            <w:pPr>
              <w:jc w:val="right"/>
              <w:ind w:right="1384"/>
              <w:spacing w:after="0"/>
              <w:rPr>
                <w:sz w:val="20"/>
                <w:szCs w:val="20"/>
                <w:color w:val="auto"/>
              </w:rPr>
            </w:pPr>
            <w:r>
              <w:rPr>
                <w:rFonts w:ascii="Arial" w:cs="Arial" w:eastAsia="Arial" w:hAnsi="Arial"/>
                <w:sz w:val="15"/>
                <w:szCs w:val="15"/>
                <w:color w:val="auto"/>
                <w:w w:val="95"/>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End-of-term debt obligation</w:t>
            </w:r>
          </w:p>
        </w:tc>
        <w:tc>
          <w:tcPr>
            <w:tcW w:w="1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971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w:t>
            </w:r>
          </w:p>
        </w:tc>
      </w:tr>
      <w:tr>
        <w:trPr>
          <w:trHeight w:val="22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debt obligation</w:t>
            </w:r>
          </w:p>
        </w:tc>
        <w:tc>
          <w:tcPr>
            <w:tcW w:w="1560" w:type="dxa"/>
            <w:vAlign w:val="bottom"/>
            <w:tcBorders>
              <w:bottom w:val="single" w:sz="8" w:color="auto"/>
            </w:tcBorders>
            <w:shd w:val="clear" w:color="auto" w:fill="CCEEFF"/>
          </w:tcPr>
          <w:p>
            <w:pPr>
              <w:jc w:val="right"/>
              <w:ind w:right="1384"/>
              <w:spacing w:after="0"/>
              <w:rPr>
                <w:sz w:val="20"/>
                <w:szCs w:val="20"/>
                <w:color w:val="auto"/>
              </w:rPr>
            </w:pPr>
            <w:r>
              <w:rPr>
                <w:rFonts w:ascii="Arial" w:cs="Arial" w:eastAsia="Arial" w:hAnsi="Arial"/>
                <w:sz w:val="15"/>
                <w:szCs w:val="15"/>
                <w:color w:val="auto"/>
                <w:w w:val="9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971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As of September 30, 2021, the principal balance outstanding was one dollar. Future principal and end-of-term debt obligation payments under the Loan and Security Agreement are $1.2 million and due in 2022. As of September 30, 2021 and December 31, 2020, the accrued interest payable under the Loan and Security Agreement was immaterial.</w:t>
      </w:r>
    </w:p>
    <w:p>
      <w:pPr>
        <w:spacing w:after="0" w:line="17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end-of-term debt obligation accretes over the term of the Loan and Security Agreement until maturity and is included in interest expense in the Company's condensed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Stockholders’ Equity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had reserved shares of common stock for issuance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1960" w:type="dxa"/>
            <w:vAlign w:val="bottom"/>
            <w:gridSpan w:val="2"/>
          </w:tcPr>
          <w:p>
            <w:pPr>
              <w:ind w:left="300"/>
              <w:spacing w:after="0"/>
              <w:rPr>
                <w:sz w:val="20"/>
                <w:szCs w:val="20"/>
                <w:color w:val="auto"/>
              </w:rPr>
            </w:pPr>
            <w:r>
              <w:rPr>
                <w:rFonts w:ascii="Arial" w:cs="Arial" w:eastAsia="Arial" w:hAnsi="Arial"/>
                <w:sz w:val="15"/>
                <w:szCs w:val="15"/>
                <w:b w:val="1"/>
                <w:bCs w:val="1"/>
                <w:color w:val="auto"/>
              </w:rPr>
              <w:t>September 30, 2021</w:t>
            </w:r>
          </w:p>
        </w:tc>
        <w:tc>
          <w:tcPr>
            <w:tcW w:w="1840" w:type="dxa"/>
            <w:vAlign w:val="bottom"/>
          </w:tcPr>
          <w:p>
            <w:pPr>
              <w:jc w:val="right"/>
              <w:ind w:right="224"/>
              <w:spacing w:after="0"/>
              <w:rPr>
                <w:sz w:val="20"/>
                <w:szCs w:val="20"/>
                <w:color w:val="auto"/>
              </w:rPr>
            </w:pPr>
            <w:r>
              <w:rPr>
                <w:rFonts w:ascii="Arial" w:cs="Arial" w:eastAsia="Arial" w:hAnsi="Arial"/>
                <w:sz w:val="15"/>
                <w:szCs w:val="15"/>
                <w:b w:val="1"/>
                <w:bCs w:val="1"/>
                <w:color w:val="auto"/>
              </w:rPr>
              <w:t>December 31, 2020</w:t>
            </w: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4,961,248</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4,867,303</w:t>
            </w: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Arial" w:cs="Arial" w:eastAsia="Arial" w:hAnsi="Arial"/>
                <w:sz w:val="15"/>
                <w:szCs w:val="15"/>
                <w:color w:val="auto"/>
              </w:rPr>
              <w:t>4,439,910</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3,061,589</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1,490,130</w:t>
            </w:r>
          </w:p>
        </w:tc>
        <w:tc>
          <w:tcPr>
            <w:tcW w:w="10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1,571,395</w:t>
            </w:r>
          </w:p>
        </w:tc>
      </w:tr>
      <w:tr>
        <w:trPr>
          <w:trHeight w:val="199"/>
        </w:trPr>
        <w:tc>
          <w:tcPr>
            <w:tcW w:w="7400" w:type="dxa"/>
            <w:vAlign w:val="bottom"/>
          </w:tcPr>
          <w:p>
            <w:pPr>
              <w:ind w:left="140"/>
              <w:spacing w:after="0"/>
              <w:rPr>
                <w:sz w:val="20"/>
                <w:szCs w:val="20"/>
                <w:color w:val="auto"/>
              </w:rPr>
            </w:pPr>
            <w:r>
              <w:rPr>
                <w:rFonts w:ascii="Arial" w:cs="Arial" w:eastAsia="Arial" w:hAnsi="Arial"/>
                <w:sz w:val="15"/>
                <w:szCs w:val="15"/>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10,891,288</w:t>
            </w: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9,500,287</w:t>
            </w:r>
          </w:p>
        </w:tc>
      </w:tr>
      <w:tr>
        <w:trPr>
          <w:trHeight w:val="20"/>
        </w:trPr>
        <w:tc>
          <w:tcPr>
            <w:tcW w:w="7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Components of Other Income (Loss)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Other income (loss), net consists of the following (in thousands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36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5"/>
                <w:szCs w:val="15"/>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43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2020</w:t>
            </w:r>
          </w:p>
        </w:tc>
      </w:tr>
      <w:tr>
        <w:trPr>
          <w:trHeight w:val="199"/>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French research tax credits</w:t>
            </w: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4"/>
              <w:spacing w:after="0"/>
              <w:rPr>
                <w:sz w:val="20"/>
                <w:szCs w:val="20"/>
                <w:color w:val="auto"/>
              </w:rPr>
            </w:pPr>
            <w:r>
              <w:rPr>
                <w:rFonts w:ascii="Arial" w:cs="Arial" w:eastAsia="Arial" w:hAnsi="Arial"/>
                <w:sz w:val="15"/>
                <w:szCs w:val="15"/>
                <w:color w:val="auto"/>
                <w:w w:val="95"/>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36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6"/>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r>
      <w:tr>
        <w:trPr>
          <w:trHeight w:val="199"/>
        </w:trPr>
        <w:tc>
          <w:tcPr>
            <w:tcW w:w="4360" w:type="dxa"/>
            <w:vAlign w:val="bottom"/>
          </w:tcPr>
          <w:p>
            <w:pPr>
              <w:ind w:left="20"/>
              <w:spacing w:after="0"/>
              <w:rPr>
                <w:sz w:val="20"/>
                <w:szCs w:val="20"/>
                <w:color w:val="auto"/>
              </w:rPr>
            </w:pPr>
            <w:r>
              <w:rPr>
                <w:rFonts w:ascii="Arial" w:cs="Arial" w:eastAsia="Arial" w:hAnsi="Arial"/>
                <w:sz w:val="15"/>
                <w:szCs w:val="15"/>
                <w:color w:val="auto"/>
              </w:rPr>
              <w:t>Gain (loss) on currency revaluation</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708</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w:t>
            </w:r>
          </w:p>
        </w:tc>
      </w:tr>
      <w:tr>
        <w:trPr>
          <w:trHeight w:val="196"/>
        </w:trPr>
        <w:tc>
          <w:tcPr>
            <w:tcW w:w="4360" w:type="dxa"/>
            <w:vAlign w:val="bottom"/>
          </w:tcPr>
          <w:p>
            <w:pPr>
              <w:spacing w:after="0"/>
              <w:rPr>
                <w:sz w:val="17"/>
                <w:szCs w:val="17"/>
                <w:color w:val="auto"/>
              </w:rPr>
            </w:pP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1,202</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1064"/>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w:t>
            </w:r>
          </w:p>
        </w:tc>
      </w:tr>
      <w:tr>
        <w:trPr>
          <w:trHeight w:val="21"/>
        </w:trPr>
        <w:tc>
          <w:tcPr>
            <w:tcW w:w="4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14"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The Company recorded an income tax benefit of approximately $1.4 million and $5.3 million for the three and nine months ended September 30, 2021, and no income tax provision or benefit for the three and nine months ended September 30, 2020. The income tax benefit for 2021 was primarily impacted by a discrete tax adjustment related to the release of certain valuation allowances on the Company's deferred tax assets upon recording of the deferred tax liabilities for the acquisition of Decipher Biosciences and a benefit on the current year loss of HalioDx, while 2020 had a full valuation allowance on all net deferred tax assets.</w:t>
      </w:r>
    </w:p>
    <w:p>
      <w:pPr>
        <w:spacing w:after="0" w:line="174"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On March 27, 2020, and on December 27, 2020, respectively, the Coronavirus Aid, Relief, and Economic Security Act and the Consolidated Appropriations Act were enacted in response to the COVID-19 pandemic. The Company does not expect the provisions of such legislation to have a significant impact on the effective tax rate, the results of operations or the financial position of the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4"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i w:val="1"/>
          <w:iCs w:val="1"/>
          <w:color w:val="auto"/>
        </w:rPr>
        <w:t>The following discussion and analysis of financial condition and results of operations should be read together with the condensed consolidated financial statements and the related notes included in Item 1 of Part I of this Quarterly Report on Form 10-Q, and with our audited financial statements and the related notes included in our Annual Report on Form 10-K for the year ended December 31, 2020.</w:t>
      </w:r>
    </w:p>
    <w:p>
      <w:pPr>
        <w:spacing w:after="0" w:line="176" w:lineRule="exact"/>
        <w:rPr>
          <w:sz w:val="20"/>
          <w:szCs w:val="20"/>
          <w:color w:val="auto"/>
        </w:rPr>
      </w:pPr>
    </w:p>
    <w:p>
      <w:pPr>
        <w:jc w:val="both"/>
        <w:ind w:firstLine="380"/>
        <w:spacing w:after="0" w:line="266" w:lineRule="auto"/>
        <w:rPr>
          <w:sz w:val="20"/>
          <w:szCs w:val="20"/>
          <w:color w:val="auto"/>
        </w:rPr>
      </w:pPr>
      <w:r>
        <w:rPr>
          <w:rFonts w:ascii="Arial" w:cs="Arial" w:eastAsia="Arial" w:hAnsi="Arial"/>
          <w:sz w:val="15"/>
          <w:szCs w:val="15"/>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the COVID-19 pandemic on our business and the U.S. and global economies; our expectations regarding the return to pre-COVID-19 volume and revenue levels; our ability to successfully integrate HalioDx into our business; changes in our executive officers; our beliefs with respect to the optimization of our processes for the analysis of ribonucleic acid, or RNA, samples; our integration of Decipher Biosciences Inc. and the assets acquired from NanoString Technologies, Inc.; our ability to deploy the nCounter Analysis System successfully and run our tests on this platform worldwide; our collaboration with Johnson &amp; Johnson Services, Inc.; our belief in the importance of maintaining libraries of clinical evidence; our expectations regarding the nasal swab classifier for early lung cancer detection, the Percepta Lung Cancer Atlas, the Envisia classifier on the nCounter system and the LymphMark lymphoma subtyping test; our expectations regarding our diagnostic company partnerships; our ability to have the targeted Atlas platform transferred to our pulmonology indications; our expectations regarding the Percepta Lung Cancer Atlas;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Thyroid Cytopathology Partners, or TCP,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175"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When used in this report, all references to "Veracyte," the "company," "we," "our" and "us" refer to Veracyte, Inc.</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Veracyte, the Veracyte logo, HalioDx, Decipher, Decipher GRID, Afirma, Percepta, Envisia, Prosigna, LymphMark, Immunoscore, “Know by Design” and “More about You” are registered trademarks of Veracyte, Inc. and its affiliates in the U.S. and selected countries. nCounter is the registered trademark of NanoString Technologies, Inc. in the U.S. and selected countries and used by Veracyte under license.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4"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We are a global diagnostics company that improves patient care by answering important clinical questions to inform diagnosis and treatment decisions throughout the patient journey in cancer and other diseases. Our growing menu of tests leverage advances in genomic science and machine learning technology to change care for patients, enabling them to avoid unnecessary and potentially harmful procedures and interventions, and accelerate time to more appropriate treatment. In addition to making our genomic tests available in the United States through our central laboratories, we believe our exclusive access to the nCounter Analysis System, a best-in-class diagnostics platform, positions us to deliver our tests to patients worldwide through laboratories and hospitals that can perform them locally.</w:t>
      </w:r>
    </w:p>
    <w:p>
      <w:pPr>
        <w:spacing w:after="0" w:line="17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In August 2021, we acquired HalioDx SAS, a Marseille, France based immuno-oncology diagnostics company with robust in vitro diagnostics, or IVD, test development and manufacturing, as well as biopharmaceutical service offerings, to augment our international growth and strengthen our global leadership in cancer diagnostics. We believe the HalioDx acquisition provides three key strategic benefits to Veracyte:</w:t>
      </w:r>
    </w:p>
    <w:p>
      <w:pPr>
        <w:spacing w:after="0" w:line="201" w:lineRule="exact"/>
        <w:rPr>
          <w:sz w:val="20"/>
          <w:szCs w:val="20"/>
          <w:color w:val="auto"/>
        </w:rPr>
      </w:pPr>
    </w:p>
    <w:p>
      <w:pPr>
        <w:jc w:val="both"/>
        <w:ind w:left="620" w:hanging="314"/>
        <w:spacing w:after="0" w:line="260"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Enables Veracyte to develop and manufacture tests for the nCounter diagnostic platform</w:t>
      </w:r>
      <w:r>
        <w:rPr>
          <w:rFonts w:ascii="Arial" w:cs="Arial" w:eastAsia="Arial" w:hAnsi="Arial"/>
          <w:sz w:val="17"/>
          <w:szCs w:val="17"/>
          <w:color w:val="auto"/>
        </w:rPr>
        <w:t>. We plan to transition manufacturing of our tests,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produced by NanoString in the U.S., to HalioDx’s manufacturing facility in France. We believe that this will accelerate the expansion of our test menu on the nCounter platform in Europe and other strategic global markets.</w:t>
      </w:r>
    </w:p>
    <w:p>
      <w:pPr>
        <w:spacing w:after="0" w:line="2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Deepens Veracyte’s scientific capabilities</w:t>
      </w:r>
      <w:r>
        <w:rPr>
          <w:rFonts w:ascii="Arial" w:cs="Arial" w:eastAsia="Arial" w:hAnsi="Arial"/>
          <w:sz w:val="17"/>
          <w:szCs w:val="17"/>
          <w:color w:val="auto"/>
        </w:rPr>
        <w:t>. HalioDx’s immuno-oncology platform offers potential pipeline development opportunities in a range of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and can serve as a platform to grow our biopharma partnering business.</w:t>
      </w:r>
    </w:p>
    <w:p>
      <w:pPr>
        <w:spacing w:after="0" w:line="13"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Expands Veracyte’s cancer diagnostics portfolio to 8 of the 10 most common cancers in the United States</w:t>
      </w:r>
      <w:r>
        <w:rPr>
          <w:rFonts w:ascii="Arial" w:cs="Arial" w:eastAsia="Arial" w:hAnsi="Arial"/>
          <w:sz w:val="17"/>
          <w:szCs w:val="17"/>
          <w:color w:val="auto"/>
        </w:rPr>
        <w:t>. The addition of HalioDx’s Immunoscore test to</w:t>
      </w:r>
      <w:r>
        <w:rPr>
          <w:rFonts w:ascii="Arial" w:cs="Arial" w:eastAsia="Arial" w:hAnsi="Arial"/>
          <w:sz w:val="17"/>
          <w:szCs w:val="17"/>
          <w:i w:val="1"/>
          <w:iCs w:val="1"/>
          <w:color w:val="auto"/>
        </w:rPr>
        <w:t xml:space="preserve"> </w:t>
      </w:r>
      <w:r>
        <w:rPr>
          <w:rFonts w:ascii="Arial" w:cs="Arial" w:eastAsia="Arial" w:hAnsi="Arial"/>
          <w:sz w:val="17"/>
          <w:szCs w:val="17"/>
          <w:color w:val="auto"/>
        </w:rPr>
        <w:t>guide treatment decisions in colorectal cancer will further expand our menu of high-value advanced diagnostic tests that address unmet needs at multiple points in the patient care continuum.</w:t>
      </w:r>
    </w:p>
    <w:p>
      <w:pPr>
        <w:spacing w:after="0" w:line="201"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5"/>
          <w:szCs w:val="15"/>
          <w:color w:val="auto"/>
        </w:rPr>
        <w:t>We design our tests to address specific unmet needs in the diagnosis, prognosis and treatment of cancer and other diseases to thus improve patient outcomes, while delivering clinical and economic utility to physicians, payers and the healthcare system. We develop and publish extensive clinical performance and utility data for our tests, or classifiers, which has enabled us to secure Medicare reimbursement for each of our genomic classifiers in our commercial indications. We endeavor to position our tests to integrate seamlessly into the way physicians currently evaluate patients in order to facilitate adoption.</w:t>
      </w:r>
    </w:p>
    <w:p>
      <w:pPr>
        <w:spacing w:after="0" w:line="172"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6"/>
          <w:szCs w:val="16"/>
          <w:color w:val="auto"/>
        </w:rPr>
        <w:t>We develop our genomic tests using advanced scientific methods, such as RNA whole-transcriptome analysis and machine learning. Most of our genomic tests are performed in our CLIA certified laboratories in South San Francisco and San Diego, California. In December 2019, we acquired from NanoString Technologies, Inc. the exclusive global diagnostics rights to the nCounter Analysis System, a fully-automated, easy-to-use instrument that can analyze up to 800 genes simultaneously. Through the transaction, we also acquired two genomic tests – one commercialized and one in development – for use on the instrument. We expect to adapt select tests that are currently performed in our CLIA certified labs to be performed as in vitro diagnostics on the nCounter Analysis System to make them available to physicians and patients in global markets. Additionally, we perform our immuno-oncology tests obtained through the HalioDx acquisition in our CLIA certified labs in Marseille, France, and Richmond, Virginia.</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Diagnostic Tests</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currently offer clinical tests that are improving diagnosis and patient care in thyroid cancer; prostate cancer; bladder cancer; breast cancer; lung cancer; interstitial lung diseases, or ILD, including idiopathic pulmonary fibrosis, or IPF; and colon cancer.</w:t>
      </w:r>
    </w:p>
    <w:p>
      <w:pPr>
        <w:spacing w:after="0" w:line="192" w:lineRule="exact"/>
        <w:rPr>
          <w:sz w:val="20"/>
          <w:szCs w:val="20"/>
          <w:color w:val="auto"/>
        </w:rPr>
      </w:pPr>
    </w:p>
    <w:p>
      <w:pPr>
        <w:jc w:val="both"/>
        <w:ind w:left="620" w:hanging="314"/>
        <w:spacing w:after="0" w:line="277" w:lineRule="auto"/>
        <w:tabs>
          <w:tab w:leader="none" w:pos="616"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Thyroid Cancer - Afirma Genomic Sequencing Classifier, or GSC. </w:t>
      </w:r>
      <w:r>
        <w:rPr>
          <w:rFonts w:ascii="Arial" w:cs="Arial" w:eastAsia="Arial" w:hAnsi="Arial"/>
          <w:sz w:val="16"/>
          <w:szCs w:val="16"/>
          <w:color w:val="auto"/>
        </w:rPr>
        <w:t>Our Afirma GSC provides physicians with clinically actionable results from a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fine needle aspiration, or FNA biopsy, to improve thyroid cancer diagnosis. The Afirma GSC was developed with RNA whole-transcriptome sequencing and machine learning, and is used to identify patients with benign thyroid nodules among those with indeterminate cytopathology results in order to rule out unnecessary thyroid surgery. As part of this offering, the Afirma Xpression Atlas provides genomic alteration content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20"/>
        <w:spacing w:after="0" w:line="272" w:lineRule="auto"/>
        <w:rPr>
          <w:sz w:val="20"/>
          <w:szCs w:val="20"/>
          <w:color w:val="auto"/>
        </w:rPr>
      </w:pPr>
      <w:r>
        <w:rPr>
          <w:rFonts w:ascii="Arial" w:cs="Arial" w:eastAsia="Arial" w:hAnsi="Arial"/>
          <w:sz w:val="17"/>
          <w:szCs w:val="17"/>
          <w:color w:val="auto"/>
        </w:rPr>
        <w:t>from the same FNA samples used in Afirma GSC testing to help physicians decide with greater confidence on the surgical or therapeutic pathway for their patients.</w:t>
      </w:r>
    </w:p>
    <w:p>
      <w:pPr>
        <w:spacing w:after="0" w:line="64" w:lineRule="exact"/>
        <w:rPr>
          <w:sz w:val="20"/>
          <w:szCs w:val="20"/>
          <w:color w:val="auto"/>
        </w:rPr>
      </w:pPr>
    </w:p>
    <w:p>
      <w:pPr>
        <w:jc w:val="both"/>
        <w:ind w:left="620" w:hanging="314"/>
        <w:spacing w:after="0" w:line="253"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Prostate Cancer - Decipher Prostate Biopsy and Radical Prostatectomy, or RP, Genomic Classifiers. </w:t>
      </w:r>
      <w:r>
        <w:rPr>
          <w:rFonts w:ascii="Arial" w:cs="Arial" w:eastAsia="Arial" w:hAnsi="Arial"/>
          <w:sz w:val="17"/>
          <w:szCs w:val="17"/>
          <w:color w:val="auto"/>
        </w:rPr>
        <w:t>The Decipher Prostate cancer tests, developed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RNA whole-transcriptome analysis, predict a patient’s risk of progressing to metastatic disease, which helps physicians determine an appropriate treatment plan. The Decipher Prostate Biopsy test is used for patients following a cancer diagnosis to inform whether the patient is a candidate for active surveillance, needs monotherapy or may benefit from multi-modal or intensified therapy. The Decipher Prostate RP test is used following surgery to guide decision-making regarding treatment timing following radical prostatectomy and whether patients undergoing salvage radiotherapy may benefit from the addition of hormone therapy.</w:t>
      </w:r>
    </w:p>
    <w:p>
      <w:pPr>
        <w:spacing w:after="0" w:line="82" w:lineRule="exact"/>
        <w:rPr>
          <w:rFonts w:ascii="Arial" w:cs="Arial" w:eastAsia="Arial" w:hAnsi="Arial"/>
          <w:sz w:val="17"/>
          <w:szCs w:val="17"/>
          <w:color w:val="auto"/>
        </w:rPr>
      </w:pPr>
    </w:p>
    <w:p>
      <w:pPr>
        <w:jc w:val="both"/>
        <w:ind w:left="620" w:hanging="314"/>
        <w:spacing w:after="0" w:line="274"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Breast Cancer - Prosigna Breast Cancer Prognostic Gene Signature Assay. </w:t>
      </w:r>
      <w:r>
        <w:rPr>
          <w:rFonts w:ascii="Arial" w:cs="Arial" w:eastAsia="Arial" w:hAnsi="Arial"/>
          <w:sz w:val="16"/>
          <w:szCs w:val="16"/>
          <w:color w:val="auto"/>
        </w:rPr>
        <w:t>The Prosigna test uses advanced genomic technology to inform next steps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with early-stage breast cancer, based on the genomic make-up of their disease. The test uses a set of 50 genes known as the PAM50 gene signature and can provide a breast cancer patient and their physician with a prognostic score that indicates the probability of cancer recurrence over ten years. The Prosigna test is performed as an IVD test on the nCounter Analysis System and is offered in the U.S. and global markets. Patient test results outside of the United States include intrinsic breast cancer subtypes to complement the risk-of-recurrence score.</w:t>
      </w:r>
    </w:p>
    <w:p>
      <w:pPr>
        <w:spacing w:after="0" w:line="65" w:lineRule="exact"/>
        <w:rPr>
          <w:rFonts w:ascii="Arial" w:cs="Arial" w:eastAsia="Arial" w:hAnsi="Arial"/>
          <w:sz w:val="16"/>
          <w:szCs w:val="16"/>
          <w:color w:val="auto"/>
        </w:rPr>
      </w:pPr>
    </w:p>
    <w:p>
      <w:pPr>
        <w:jc w:val="both"/>
        <w:ind w:left="620" w:hanging="314"/>
        <w:spacing w:after="0" w:line="274"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Lung Cancer - Percepta Genomic Sequencing Classifier (GSC). </w:t>
      </w:r>
      <w:r>
        <w:rPr>
          <w:rFonts w:ascii="Arial" w:cs="Arial" w:eastAsia="Arial" w:hAnsi="Arial"/>
          <w:sz w:val="16"/>
          <w:szCs w:val="16"/>
          <w:color w:val="auto"/>
        </w:rPr>
        <w:t>The Percepta GSC improves lung cancer diagnosis when diagnostic bronchoscopy results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inconclusive. The test, developed with RNA whole-transcriptome sequencing, identifies patients with lung nodules who are at low risk of cancer and may avoid further, invasive procedures as well as patients at high risk of cancer so they may obtain faster diagnosis and treatment. The test is built upon foundational "field of injury" science - through which genomic changes associated with lung cancer in current and former smokers can be identified with a simple brushing of a patient's airway - without the need to sample the often hard-to-reach nodule directly.</w:t>
      </w:r>
    </w:p>
    <w:p>
      <w:pPr>
        <w:spacing w:after="0" w:line="65" w:lineRule="exact"/>
        <w:rPr>
          <w:rFonts w:ascii="Arial" w:cs="Arial" w:eastAsia="Arial" w:hAnsi="Arial"/>
          <w:sz w:val="16"/>
          <w:szCs w:val="16"/>
          <w:color w:val="auto"/>
        </w:rPr>
      </w:pPr>
    </w:p>
    <w:p>
      <w:pPr>
        <w:jc w:val="both"/>
        <w:ind w:left="620" w:hanging="314"/>
        <w:spacing w:after="0" w:line="260"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ILD/IPF - Envisia Genomic Classifier. </w:t>
      </w:r>
      <w:r>
        <w:rPr>
          <w:rFonts w:ascii="Arial" w:cs="Arial" w:eastAsia="Arial" w:hAnsi="Arial"/>
          <w:sz w:val="17"/>
          <w:szCs w:val="17"/>
          <w:color w:val="auto"/>
        </w:rPr>
        <w:t>The Envisia classifier improves diagnosis of ILDs, including IPF, without the need for surgery. The test identifies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genomic pattern of usual interstitial pneumonia, or UIP, a hallmark of IPF, with high accuracy on patient samples that are obtained through transbronchial biopsy, a nonsurgical procedure that is commonly used in lung evaluation.</w:t>
      </w:r>
    </w:p>
    <w:p>
      <w:pPr>
        <w:spacing w:after="0" w:line="74" w:lineRule="exact"/>
        <w:rPr>
          <w:rFonts w:ascii="Arial" w:cs="Arial" w:eastAsia="Arial" w:hAnsi="Arial"/>
          <w:sz w:val="17"/>
          <w:szCs w:val="17"/>
          <w:color w:val="auto"/>
        </w:rPr>
      </w:pPr>
    </w:p>
    <w:p>
      <w:pPr>
        <w:jc w:val="both"/>
        <w:ind w:left="620" w:hanging="314"/>
        <w:spacing w:after="0" w:line="277"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Colon Cancer - Immunoscore Colon Cancer Test. </w:t>
      </w:r>
      <w:r>
        <w:rPr>
          <w:rFonts w:ascii="Arial" w:cs="Arial" w:eastAsia="Arial" w:hAnsi="Arial"/>
          <w:sz w:val="16"/>
          <w:szCs w:val="16"/>
          <w:color w:val="auto"/>
        </w:rPr>
        <w:t>The Immunoscore platform combines advances in immuno-oncology science and digital pathology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assess lymphocytic infiltration in human tumors and is used to predict patient outcomes in several indications. The Immunoscore Colon Cancer test is available as a CLIA or CE-marked test that can be used in Stage II localized colon cancer to help physicians identify patients who may be spared adjuvant chemotherapy, and in Stage III localized colon cancer to guide physicians in their adjuvant chemotherapy prescription.</w:t>
      </w:r>
    </w:p>
    <w:p>
      <w:pPr>
        <w:spacing w:after="0" w:line="63" w:lineRule="exact"/>
        <w:rPr>
          <w:rFonts w:ascii="Arial" w:cs="Arial" w:eastAsia="Arial" w:hAnsi="Arial"/>
          <w:sz w:val="16"/>
          <w:szCs w:val="16"/>
          <w:color w:val="auto"/>
        </w:rPr>
      </w:pPr>
    </w:p>
    <w:p>
      <w:pPr>
        <w:jc w:val="both"/>
        <w:ind w:left="620" w:hanging="314"/>
        <w:spacing w:after="0" w:line="253"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Bladder Cancer - Decipher Bladder Genomic Classifier. </w:t>
      </w:r>
      <w:r>
        <w:rPr>
          <w:rFonts w:ascii="Arial" w:cs="Arial" w:eastAsia="Arial" w:hAnsi="Arial"/>
          <w:sz w:val="17"/>
          <w:szCs w:val="17"/>
          <w:color w:val="222222"/>
        </w:rPr>
        <w:t>Decipher Bladder is a genomic test that measures the molecular profile of bladder cancer 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22222"/>
        </w:rPr>
        <w:t>gene expression analysis from transurethral resected bladder tumor specimens. It was developed for bladder cancer patients with high-grade non-muscle-invasive disease who are being considered for treatment and patients with muscle-i</w:t>
      </w:r>
      <w:r>
        <w:rPr>
          <w:rFonts w:ascii="Arial" w:cs="Arial" w:eastAsia="Arial" w:hAnsi="Arial"/>
          <w:sz w:val="17"/>
          <w:szCs w:val="17"/>
          <w:color w:val="000000"/>
        </w:rPr>
        <w:t>nvasive disease who face the question of immediate cystectomy or</w:t>
      </w:r>
      <w:r>
        <w:rPr>
          <w:rFonts w:ascii="Arial" w:cs="Arial" w:eastAsia="Arial" w:hAnsi="Arial"/>
          <w:sz w:val="17"/>
          <w:szCs w:val="17"/>
          <w:color w:val="222222"/>
        </w:rPr>
        <w:t xml:space="preserve"> </w:t>
      </w:r>
      <w:r>
        <w:rPr>
          <w:rFonts w:ascii="Arial" w:cs="Arial" w:eastAsia="Arial" w:hAnsi="Arial"/>
          <w:sz w:val="17"/>
          <w:szCs w:val="17"/>
          <w:color w:val="000000"/>
        </w:rPr>
        <w:t>systemic treatment in the neoadjuvant setting prior to cystectomy (NAC). Decipher Bladder reports the molecular subtype of the tumor specimen as Luminal or Non-Luminal (Luminal Infiltrated, Basal, Basal Claudin-Low or Neuroendocrine-like), with each subtype having distinct biological composition, clinical behavior and predicted benefit from NAC.</w:t>
      </w:r>
    </w:p>
    <w:p>
      <w:pPr>
        <w:spacing w:after="0" w:line="20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Patients access our tests through their physician. Our Afirma, Decipher, Percepta, Envisia and Immunoscore tests are marketed as laboratory developed tests. Cytopathology services for Afirma testing are performed in our CLIA-certified laboratory in Austin, Texas. Prosigna is an FDA-cleared IVD test that is performed on the nCounter Analysis System in laboratories globally.</w:t>
      </w:r>
    </w:p>
    <w:p>
      <w:pPr>
        <w:spacing w:after="0" w:line="201"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We expect to continue expanding our offerings in our current indications, as well as potentially in others that we believe will benefit from our technology and approach. Our product development pipelines address what we believe to be significant market opportunities in early detection, diagnosis, staging/prognosis, therapy selection/surgery and disease monitoring across the aforementioned indications. We plan to commercially introduce multiple products in the near term. These include our Percepta Nasal Swab test to improve early lung cancer detection and our Percepta Genomic Atlas which, together with the Percepta GSC, form a comprehensive lung cancer testing portfolio that we believe may improve lung cancer diagnosis and treatment decisions. We began making the Percepta Nasal Swab test available to a limited number of sites in the U.S. in the fourth quarter of 2021. We recently received Medicare coverage for our Decipher Bladder test to help guide treatment decisions for patients with bladder cancer and initiated expanded commercialization of the test in the fourth quarter of 2021. We believe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Decipher Bladder will be the only genomic subtyping tool available to physicians in the United States treating patients with locally advanced bladder cancer.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Scientific Platform</w:t>
      </w:r>
    </w:p>
    <w:p>
      <w:pPr>
        <w:spacing w:after="0" w:line="236"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We believe our powerful scientific expertise, technology and biorepositories form the foundation of our business, fueling development of our clinical diagnostic tests and our biopharmaceutical partnerships.</w:t>
      </w:r>
    </w:p>
    <w:p>
      <w:pPr>
        <w:spacing w:after="0" w:line="191" w:lineRule="exact"/>
        <w:rPr>
          <w:sz w:val="20"/>
          <w:szCs w:val="20"/>
          <w:color w:val="auto"/>
        </w:rPr>
      </w:pPr>
    </w:p>
    <w:p>
      <w:pPr>
        <w:jc w:val="both"/>
        <w:ind w:left="620" w:hanging="314"/>
        <w:spacing w:after="0" w:line="272" w:lineRule="auto"/>
        <w:tabs>
          <w:tab w:leader="none" w:pos="616"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Genomics </w:t>
      </w:r>
      <w:r>
        <w:rPr>
          <w:rFonts w:ascii="Arial" w:cs="Arial" w:eastAsia="Arial" w:hAnsi="Arial"/>
          <w:sz w:val="16"/>
          <w:szCs w:val="16"/>
          <w:color w:val="auto"/>
        </w:rPr>
        <w:t>– Our comprehensive approach to developing new genomic classifiers includes building and leveraging robust biorepositories of patient samples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inform our discovery and validation efforts. We extract extensive genomic information from these patient samples using our RNA whole-transcriptome approach, including RNA sequencing, and then apply our proprietary machine-learning algorithms to answer specific clinical questions. We believe this comprehensive approach enables the algorithm to determine which genomic, clinical or other features are most relevant for developing high-performing tests, versus relying on a pre-determined set of genes derived from the literature. In addition, our bioinformatics pipelines are built to extract genomic variant content from the same assay to develop tests that may inform therapeutic selection.</w:t>
      </w:r>
    </w:p>
    <w:p>
      <w:pPr>
        <w:spacing w:after="0" w:line="67" w:lineRule="exact"/>
        <w:rPr>
          <w:rFonts w:ascii="Arial" w:cs="Arial" w:eastAsia="Arial" w:hAnsi="Arial"/>
          <w:sz w:val="16"/>
          <w:szCs w:val="16"/>
          <w:b w:val="1"/>
          <w:bCs w:val="1"/>
          <w:i w:val="1"/>
          <w:iCs w:val="1"/>
          <w:color w:val="auto"/>
        </w:rPr>
      </w:pPr>
    </w:p>
    <w:p>
      <w:pPr>
        <w:jc w:val="both"/>
        <w:ind w:left="620" w:hanging="314"/>
        <w:spacing w:after="0" w:line="254" w:lineRule="auto"/>
        <w:tabs>
          <w:tab w:leader="none" w:pos="616"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Immuno-Oncology </w:t>
      </w:r>
      <w:r>
        <w:rPr>
          <w:rFonts w:ascii="Arial" w:cs="Arial" w:eastAsia="Arial" w:hAnsi="Arial"/>
          <w:sz w:val="16"/>
          <w:szCs w:val="16"/>
          <w:color w:val="auto"/>
        </w:rPr>
        <w:t>– By combining cutting-edge spatial molecular analysis and bioinformatics with novel immuno-oncology science, we convert complex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immune monitoring data into actionable insights to clarify decision-making and resolve unmet medical needs. Our foundational Immunoscore platform assesses lymphocytic infiltration in human tumors and is used to predict patient outcomes and response to therapies in several indications. The Immunoscore Colon Cancer test is our first commercially available test using this approach. Additionally, our multi-modal Immunogram platform integrates genomic, transcriptomic and spatial immunohistochemistry biomarkers to provide actionable data visualization at the patient level. Outputs for biopharmaceutical partners are key insights into drug mode of action, key biomarker signatures for companion diagnostics development, including predicting response or toxicity to new agents in clinical development.</w:t>
      </w:r>
    </w:p>
    <w:p>
      <w:pPr>
        <w:spacing w:after="0" w:line="69" w:lineRule="exact"/>
        <w:rPr>
          <w:rFonts w:ascii="Arial" w:cs="Arial" w:eastAsia="Arial" w:hAnsi="Arial"/>
          <w:sz w:val="16"/>
          <w:szCs w:val="16"/>
          <w:color w:val="auto"/>
        </w:rPr>
      </w:pPr>
    </w:p>
    <w:p>
      <w:pPr>
        <w:jc w:val="both"/>
        <w:ind w:left="620" w:hanging="314"/>
        <w:spacing w:after="0" w:line="256"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Machine Learning/Artificial Intelligence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22222"/>
        </w:rPr>
        <w:t>Our machine learning approach recognizes patterns of genes that correspond with clinical characteristics.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22222"/>
        </w:rPr>
        <w:t>use next-generation RNA sequencing to extract rich feat</w:t>
      </w:r>
      <w:r>
        <w:rPr>
          <w:rFonts w:ascii="Arial" w:cs="Arial" w:eastAsia="Arial" w:hAnsi="Arial"/>
          <w:sz w:val="17"/>
          <w:szCs w:val="17"/>
          <w:color w:val="000000"/>
        </w:rPr>
        <w:t>ure sets – gene expression, DNA variants, RNA fusions, mitochondrial DNA content and loss of</w:t>
      </w:r>
      <w:r>
        <w:rPr>
          <w:rFonts w:ascii="Arial" w:cs="Arial" w:eastAsia="Arial" w:hAnsi="Arial"/>
          <w:sz w:val="17"/>
          <w:szCs w:val="17"/>
          <w:color w:val="222222"/>
        </w:rPr>
        <w:t xml:space="preserve"> </w:t>
      </w:r>
      <w:r>
        <w:rPr>
          <w:rFonts w:ascii="Arial" w:cs="Arial" w:eastAsia="Arial" w:hAnsi="Arial"/>
          <w:sz w:val="17"/>
          <w:szCs w:val="17"/>
          <w:color w:val="000000"/>
        </w:rPr>
        <w:t>heterozygosity – from the RNA transcriptome of patient samples obtained through minimally invasive procedures. These feature sets enable us to create the highest-resolution genomic picture possible.</w:t>
      </w:r>
    </w:p>
    <w:p>
      <w:pPr>
        <w:spacing w:after="0" w:line="78" w:lineRule="exact"/>
        <w:rPr>
          <w:rFonts w:ascii="Arial" w:cs="Arial" w:eastAsia="Arial" w:hAnsi="Arial"/>
          <w:sz w:val="17"/>
          <w:szCs w:val="17"/>
          <w:color w:val="auto"/>
        </w:rPr>
      </w:pPr>
    </w:p>
    <w:p>
      <w:pPr>
        <w:jc w:val="both"/>
        <w:ind w:left="620"/>
        <w:spacing w:after="0" w:line="260" w:lineRule="auto"/>
        <w:rPr>
          <w:rFonts w:ascii="Arial" w:cs="Arial" w:eastAsia="Arial" w:hAnsi="Arial"/>
          <w:sz w:val="17"/>
          <w:szCs w:val="17"/>
          <w:color w:val="auto"/>
        </w:rPr>
      </w:pPr>
      <w:r>
        <w:rPr>
          <w:rFonts w:ascii="Arial" w:cs="Arial" w:eastAsia="Arial" w:hAnsi="Arial"/>
          <w:sz w:val="17"/>
          <w:szCs w:val="17"/>
          <w:color w:val="222222"/>
        </w:rPr>
        <w:t>We train our proprietary machine learning algorithms to interpret this vast genomic data using large numbers of diverse patient samples that represent the broad spectrum of disease that our genomic tests may likely encounter in a clinical setting. In some cases, we deploy ensemble algorithms to differentiate between complex biologies.</w:t>
      </w:r>
    </w:p>
    <w:p>
      <w:pPr>
        <w:spacing w:after="0" w:line="74" w:lineRule="exact"/>
        <w:rPr>
          <w:rFonts w:ascii="Arial" w:cs="Arial" w:eastAsia="Arial" w:hAnsi="Arial"/>
          <w:sz w:val="17"/>
          <w:szCs w:val="17"/>
          <w:color w:val="auto"/>
        </w:rPr>
      </w:pPr>
    </w:p>
    <w:p>
      <w:pPr>
        <w:jc w:val="both"/>
        <w:ind w:left="620"/>
        <w:spacing w:after="0" w:line="260" w:lineRule="auto"/>
        <w:rPr>
          <w:rFonts w:ascii="Arial" w:cs="Arial" w:eastAsia="Arial" w:hAnsi="Arial"/>
          <w:sz w:val="17"/>
          <w:szCs w:val="17"/>
          <w:color w:val="auto"/>
        </w:rPr>
      </w:pPr>
      <w:r>
        <w:rPr>
          <w:rFonts w:ascii="Arial" w:cs="Arial" w:eastAsia="Arial" w:hAnsi="Arial"/>
          <w:sz w:val="17"/>
          <w:szCs w:val="17"/>
          <w:color w:val="222222"/>
        </w:rPr>
        <w:t>As scientific understanding continues to progress, additional features that inform disease status, such as more-refined genomic features or even imaging data, can potentially help us identify clinical attributes with ever-more precision, enabling development of tests that provide even clearer answers to important clinical questions.</w:t>
      </w:r>
    </w:p>
    <w:p>
      <w:pPr>
        <w:spacing w:after="0" w:line="302" w:lineRule="exact"/>
        <w:rPr>
          <w:rFonts w:ascii="Arial" w:cs="Arial" w:eastAsia="Arial" w:hAnsi="Arial"/>
          <w:sz w:val="17"/>
          <w:szCs w:val="17"/>
          <w:color w:val="auto"/>
        </w:rPr>
      </w:pPr>
    </w:p>
    <w:p>
      <w:pPr>
        <w:jc w:val="both"/>
        <w:ind w:left="620" w:hanging="314"/>
        <w:spacing w:after="0" w:line="279" w:lineRule="auto"/>
        <w:tabs>
          <w:tab w:leader="none" w:pos="616"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Unique Biorepositories </w:t>
      </w:r>
      <w:r>
        <w:rPr>
          <w:rFonts w:ascii="Arial" w:cs="Arial" w:eastAsia="Arial" w:hAnsi="Arial"/>
          <w:sz w:val="15"/>
          <w:szCs w:val="15"/>
          <w:color w:val="auto"/>
        </w:rPr>
        <w:t>– Through our capabilities in executing large-scale, prospectively enrolled, multisite clinical trials, we are able to curate large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amounts of data and clinical information that can be used to inform new products or biopharmaceutical programs for new therapies or clinical trials. Our biorepositories may include RNA, DNA, variant, fusion and other genomic data; immune-response data; and well-curated clinical, radiological, outcome and other information. In urologic cancers, for example, our Decipher GRID (Genomic Resource for Intelligent Discovery) platform contains over 300 proprietary gene expression signatures that are run on each patient's tumor, with data analyzed and stored as part of our commercial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Biopharmaceutical Partnerships</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We have formed multiple biopharmaceutical partnerships, which leverage our scientific expertise and unique biorepositories. These include our collaboration with the Lung Cancer Initiative at Johnson &amp; Johnson, which began in 2018, has helped advance our pipeline, including the launch in 2019 of our Percepta GSC on our RNA whole-transcriptome sequencing platform and development of the first noninvasive nasal swab test designed to improve early lung cancer detection. In December 2020, we expanded our program with Johnson &amp; Johnson to potentially develop future tests designed to detect lung disease before cancer develops. We have a biopharmaceutical partnership with Acerta Pharma, the hematology research and development arm of AstraZeneca, for a companion diagnostic program for our LymphMark lymphoma subtyping test, which is in development. We also support pharmaceutical companies in urological clinical trials. These include SPARTAN, a pivotal clinical trial of ERLEADA, which has been approved by the FDA and is marketed by Janssen for the treatment of nonmetastatic castration-resistant prostate cancer, or nmCRPC, as well as clinical trials being conducted by Astellas and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color w:val="auto"/>
        </w:rPr>
        <w:t>Dendreon in localized prostate cancer. Additionally, we support biopharmaceutical companies with our immuno-oncology offerings. These include a strategic collaboration with Kite Pharma, a Gilead company, aimed at developing and validating immune-based biomarkers for Kite’s investigational therapies in blood cancer.</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IVD Development and Manufacturing</w:t>
      </w:r>
    </w:p>
    <w:p>
      <w:pPr>
        <w:spacing w:after="0" w:line="236" w:lineRule="exact"/>
        <w:rPr>
          <w:sz w:val="20"/>
          <w:szCs w:val="20"/>
          <w:color w:val="auto"/>
        </w:rPr>
      </w:pPr>
    </w:p>
    <w:p>
      <w:pPr>
        <w:jc w:val="both"/>
        <w:ind w:firstLine="380"/>
        <w:spacing w:after="0" w:line="249" w:lineRule="auto"/>
        <w:rPr>
          <w:sz w:val="20"/>
          <w:szCs w:val="20"/>
          <w:color w:val="auto"/>
        </w:rPr>
      </w:pPr>
      <w:r>
        <w:rPr>
          <w:rFonts w:ascii="Arial" w:cs="Arial" w:eastAsia="Arial" w:hAnsi="Arial"/>
          <w:sz w:val="17"/>
          <w:szCs w:val="17"/>
          <w:color w:val="auto"/>
        </w:rPr>
        <w:t>We combine our strong expertise and 15-year track record in IVD test development and manufacturing to offer a complete range of IVD, companion diagnostics and clinical trial assay services to biopharmaceutical companies and diagnostic companies whose products are not competitive to Veracyte. Test development is performed using a mature, efficient and proven design control process. We also provide full-coverage IVD manufacturing capabilities, which include quality control, assay and process transfer and supply chain management. These services are provided and performed using regulatory-compliant processes in our Marseille, France, and Richmond, Virginia, facilities.</w:t>
      </w:r>
    </w:p>
    <w:p>
      <w:pPr>
        <w:spacing w:after="0" w:line="235" w:lineRule="auto"/>
        <w:rPr>
          <w:sz w:val="20"/>
          <w:szCs w:val="20"/>
          <w:color w:val="auto"/>
        </w:rPr>
      </w:pPr>
      <w:r>
        <w:rPr>
          <w:rFonts w:ascii="Arial" w:cs="Arial" w:eastAsia="Arial" w:hAnsi="Arial"/>
          <w:sz w:val="17"/>
          <w:szCs w:val="17"/>
          <w:color w:val="FFFFFF"/>
        </w:rPr>
        <w:t>and</w:t>
      </w:r>
    </w:p>
    <w:p>
      <w:pPr>
        <w:spacing w:after="0"/>
        <w:rPr>
          <w:sz w:val="20"/>
          <w:szCs w:val="20"/>
          <w:color w:val="auto"/>
        </w:rPr>
      </w:pPr>
      <w:r>
        <w:rPr>
          <w:rFonts w:ascii="Arial" w:cs="Arial" w:eastAsia="Arial" w:hAnsi="Arial"/>
          <w:sz w:val="17"/>
          <w:szCs w:val="17"/>
          <w:b w:val="1"/>
          <w:bCs w:val="1"/>
          <w:color w:val="auto"/>
        </w:rPr>
        <w:t>Impact of COVID-19</w:t>
      </w:r>
    </w:p>
    <w:p>
      <w:pPr>
        <w:spacing w:after="0" w:line="222"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While our business has continued to rebound following an April 2020 low in reported test volumes, we believe the continuation of the COVID-19 outbreak and its recent escalation due to the Delta variant has impacted our test volumes. Our customers, third-party contract manufacturers, suppliers and collaboration partners have been affected by the closure of hospitals, doctors' offices, manufacturing sites, or country borders, among other measures put in place around the world. Layoffs, furloughs and unplanned loss of staff (due to vaccination status or other reasons)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w:t>
      </w:r>
    </w:p>
    <w:p>
      <w:pPr>
        <w:spacing w:after="0" w:line="194"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Our Decipher Prostate test has been least impacted by the pandemic because our customers are mostly community-based urology practices, which generally remain more accessible to patients and our sales reps. Our Afirma thyroid cancer test has been impacted by COVID because a majority of our samples come from institutions, which are less accessible to patients and our reps. Our pulmonology business continues to be most impacted since the bronchoscopy procedures used to collect samples for our Percepta and Envisia tests are performed in hospital settings, which continue to be more restrictive, and these tests are ordered by pulmonologists who are currently largely preoccupied with caring for COVID patients. Our Prosigna breast cancer business has continued to recover.</w:t>
      </w:r>
    </w:p>
    <w:p>
      <w:pPr>
        <w:spacing w:after="0" w:line="17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The rapid increase in daily COVID-19 testing consumes reagents and supplies otherwise available to diagnostic testing companies like ours across the United States. When not limited by the expiration date of products and when we feel it reasonable and feasible to do so, we are taking steps to manage our level of stock reserves, to develop alternative sources of supply and to implement procedures to mitigate the impact on our supply chain and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194"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5"/>
          <w:szCs w:val="15"/>
          <w:color w:val="auto"/>
        </w:rPr>
        <w:t>The extent of the impact of COVID-19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and the impact to our sales and renewal cycles. See Risk Factors for further discussion of the possible impact of the COVID-19 pandemic on our business.</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Reported Test Volume</w:t>
      </w:r>
    </w:p>
    <w:p>
      <w:pPr>
        <w:spacing w:after="0" w:line="21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Our performance depends on the number of tests that we perform and report as completed in our CLIA-certified laboratories and Prosigna tests processed on the nCounter Analysis System. Factors impacting the number of tests that we report as completed include, but are not limited to:</w:t>
      </w:r>
    </w:p>
    <w:p>
      <w:pPr>
        <w:spacing w:after="0" w:line="165" w:lineRule="exact"/>
        <w:rPr>
          <w:sz w:val="20"/>
          <w:szCs w:val="20"/>
          <w:color w:val="auto"/>
        </w:rPr>
      </w:pPr>
    </w:p>
    <w:p>
      <w:pPr>
        <w:ind w:left="900" w:hanging="290"/>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COVID-19 on patients seeking to have tests performed;</w:t>
      </w:r>
    </w:p>
    <w:p>
      <w:pPr>
        <w:spacing w:after="0" w:line="19" w:lineRule="exact"/>
        <w:rPr>
          <w:rFonts w:ascii="Arial" w:cs="Arial" w:eastAsia="Arial" w:hAnsi="Arial"/>
          <w:sz w:val="17"/>
          <w:szCs w:val="17"/>
          <w:color w:val="auto"/>
        </w:rPr>
      </w:pPr>
    </w:p>
    <w:p>
      <w:pPr>
        <w:ind w:left="900" w:hanging="290"/>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availability of hospital staff to perform and support procedures needed to collect samples for our tests;</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samples that we receive that meet the medical indication for each test performed;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900" w:hanging="290"/>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quantity and quality of the sample received;</w:t>
      </w:r>
    </w:p>
    <w:p>
      <w:pPr>
        <w:spacing w:after="0" w:line="19" w:lineRule="exact"/>
        <w:rPr>
          <w:rFonts w:ascii="Arial" w:cs="Arial" w:eastAsia="Arial" w:hAnsi="Arial"/>
          <w:sz w:val="17"/>
          <w:szCs w:val="17"/>
          <w:color w:val="auto"/>
        </w:rPr>
      </w:pPr>
    </w:p>
    <w:p>
      <w:pPr>
        <w:ind w:left="900" w:hanging="290"/>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patient's ability to pay or provide necessary insurance coverage for the tests performed;</w:t>
      </w:r>
    </w:p>
    <w:p>
      <w:pPr>
        <w:spacing w:after="0" w:line="7" w:lineRule="exact"/>
        <w:rPr>
          <w:rFonts w:ascii="Arial" w:cs="Arial" w:eastAsia="Arial" w:hAnsi="Arial"/>
          <w:sz w:val="17"/>
          <w:szCs w:val="17"/>
          <w:color w:val="auto"/>
        </w:rPr>
      </w:pPr>
    </w:p>
    <w:p>
      <w:pPr>
        <w:ind w:left="900" w:hanging="290"/>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time it takes us to perform our tests and report the results;</w:t>
      </w:r>
    </w:p>
    <w:p>
      <w:pPr>
        <w:spacing w:after="0" w:line="7" w:lineRule="exact"/>
        <w:rPr>
          <w:rFonts w:ascii="Arial" w:cs="Arial" w:eastAsia="Arial" w:hAnsi="Arial"/>
          <w:sz w:val="17"/>
          <w:szCs w:val="17"/>
          <w:color w:val="auto"/>
        </w:rPr>
      </w:pPr>
    </w:p>
    <w:p>
      <w:pPr>
        <w:ind w:left="920" w:hanging="310"/>
        <w:spacing w:after="0" w:line="249" w:lineRule="auto"/>
        <w:tabs>
          <w:tab w:leader="none" w:pos="9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920" w:hanging="310"/>
        <w:spacing w:after="0" w:line="258" w:lineRule="auto"/>
        <w:tabs>
          <w:tab w:leader="none" w:pos="9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obtain prior authorization or meet other requirements instituted by payers, benefit managers, or regulators necessary to be paid for our tests.</w:t>
      </w:r>
    </w:p>
    <w:p>
      <w:pPr>
        <w:spacing w:after="0" w:line="202"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We generate a substantial amount of our revenue from Afirma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our Products</w:t>
      </w:r>
    </w:p>
    <w:p>
      <w:pPr>
        <w:spacing w:after="0" w:line="210"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To drive increased adoption of our products, we increased our sales force and marketing efforts over the last several years.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Integrating acquired assets and advances to our collaborations</w:t>
      </w:r>
    </w:p>
    <w:p>
      <w:pPr>
        <w:spacing w:after="0" w:line="210"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Revenue growth, operational results and advances to our business strategy depends on our ability to integrate any acquired assets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NanoString in December 2019, Decipher Biosciences in March 2021 and HalioDx in August 2021 may impact our revenue and operating results through integration of various functions, development of a product supply operation and manufacturing operations and the expansion of our business internationally with a broad menu of advanced tests that may be offered.</w:t>
      </w:r>
    </w:p>
    <w:p>
      <w:pPr>
        <w:spacing w:after="0" w:line="18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Revenue growth or reimbursement from our collaborations depends on our ability to deliver services or information and achieve milestones required from our collaborative partners. Our collaboration partners pay us for the provision of data and other services and the achievement of milestones. Under a collaboration with Johnson &amp; Johnson in 2018, we provided data services required under this agreement in 2019 and 2020; however, there remains $9.0 million of revenue associated with development and commercialization milestones yet to be achieved.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Testing Revenue</w:t>
      </w:r>
    </w:p>
    <w:p>
      <w:pPr>
        <w:spacing w:after="0" w:line="214"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 xml:space="preserve">We recognize testing revenue in accordance with the provisions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We bill for testing services at the time of test completion as defined by the delivery of test results. We recognize revenue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the agreed upon rate (if applicable), amount paid per test and any current developments or changes that could impact reimbursement. These estimates require significant judgment by management.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6"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67"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tests performed during the relevant period divided by the number of these tests performed during that same period.</w:t>
      </w:r>
    </w:p>
    <w:p>
      <w:pPr>
        <w:spacing w:after="0" w:line="167"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incur expense for tests in the period in which the test is conducted and recognize revenue for tests in the period in which our revenue recognition criteria are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met.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Revenue</w:t>
      </w:r>
    </w:p>
    <w:p>
      <w:pPr>
        <w:spacing w:after="0" w:line="21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recognize product revenue in accordance with the provisions of ASC 606. Our products consist of the Prosigna breast cancer assay, the nCounter Analysis System and related diagnostic kits.</w:t>
      </w:r>
    </w:p>
    <w:p>
      <w:pPr>
        <w:spacing w:after="0" w:line="165"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Revenues are presented net of the taxes that are collected from customers and remitted to governmental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Biopharmaceutical and Other Revenues</w:t>
      </w:r>
    </w:p>
    <w:p>
      <w:pPr>
        <w:spacing w:after="0" w:line="214"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We enter into arrangements to license or provide access to our assets or services, including testing services, clinical and medical services, research and development, contract manufacturing and other services. Such arrangements may require us to deliver various rights, data, services, access and/or testing services to partner biopharmaceutical companies.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Milestone payments which fall under the scope of ASC Topic 808, Collaborative Arrangements, or ASC 808, are classified under collaboration revenue. Payments received that are not related to sales or services to a customer or collaboration revenue are recorded as offsets against research and development expense or cost of biopharmaceutical and other revenue in our consolidated statements of operations.</w:t>
      </w:r>
    </w:p>
    <w:p>
      <w:pPr>
        <w:spacing w:after="0" w:line="18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arrangements involving more than one good or service, each good or service is evaluated to determine whether it qualifies as a distinct performance obligation based on whether (i) the customer can benefit from the good or service either 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19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Additional Tests</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We continue to advance our portfolio of diagnostic tests to further improve patient guidance and care globally. For this, we leverage innovations in genomic science, sequencing technology, digital pathology and machine learning, as well as our robust biorepositories and our exclusive diagnostics rights to the nCounter Analysis System.</w:t>
      </w:r>
    </w:p>
    <w:p>
      <w:pPr>
        <w:spacing w:after="0" w:line="201"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Our Afirma tests provide physicians with a comprehensive solution for thyroid nodule diagnosis. In May 2017, we introduced the Afirma GSC, supported by rigorous clinical validation data showing that the RNA sequencing-based test can help significantly more patients avoid unnecessary surgery in thyroid cancer diagnosis, compared to the original Afirma classifier. The Afirma GSC was developed with RNA whole-transcriptome sequencing and machine learning and is performed on fine needle aspiration, or FNA, samples. The test helps identify patients with benign thyroid nodules among those with indeterminate cytopathology so that they may be monitored noninvasively.</w:t>
      </w:r>
    </w:p>
    <w:p>
      <w:pPr>
        <w:spacing w:after="0" w:line="208"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When the Afirma GSC deems a patient’s thyroid nodule as suspicious for cancer, our medullary thyroid cancer, or MTC, and BRAF V600E classifiers provide additional information that can help guide surgical strategy and treatment decisions. MTC is an aggressive form of thyroid cancer, for which clinical guidelines recommend specific preoperative assessment protocols, as well as more extensive surgery: a total thyroidectomy with lymph node dissection. When the diagnosis of MTC is unknown, patients often do not receive appropriate initial surgery. Patients who are positive for BRAF V600E have a very high risk of malignancy, along with increased risk of invasive cancer. Such conditions may guide the physician to perform a more comprehensive, total thyroidectomy as opposed to a more conservative operation that may be appropriate for less aggressive tumors.</w:t>
      </w:r>
    </w:p>
    <w:p>
      <w:pPr>
        <w:spacing w:after="0" w:line="20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For those patients with suspected thyroid cancer the Afirma Xpression Atlas, or XA, may be performed. This genomic profiling test provides physicians with additional genomic alteration content from the same FNA sample as the original Afirma GSC and may help physicians decide with greater confidence on the surgical or therapeutic pathway for their patients. The Afirma XA can identify 905 DNA variants and 235 RNA fusion partners in 593 genes. Several drugs that target molecular alterations reported by the Afirma XA are available and others are currently under investigation. Our broad ability to serve the thyroid diagnostic market also enables us to enter research collaborations with biopharmaceutical companies, which are intended to support their development of targeted therapies for genetically defined cancers, including thyroid cancer.</w:t>
      </w:r>
    </w:p>
    <w:p>
      <w:pPr>
        <w:spacing w:after="0" w:line="209"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 xml:space="preserve">In pulmonology, our Percepta Genomic Sequencing Classifier, or GSC, improves lung cancer diagnosis following an inconclusive bronchoscopy by identifying patients with lung nodules who are at low risk of cancer and may avoid further, invasive procedures and those with a high risk of lung cancer, so they may 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 We commercially introduced the Percepta classifier in 2015, with clinical validation data subsequently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In June 2019, we launched the next-generation Percepta test, providing expanded lung cancer risk information to further inform treatment decisions. The Percepta classifier is the first product of its kind to be available commercially and the first to obtain Medicare coverage for improved lung cancer diagnosis.</w:t>
      </w:r>
    </w:p>
    <w:p>
      <w:pPr>
        <w:spacing w:after="0" w:line="194"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We are currently leveraging the same “field of injury” technology that powers our Percepta GSC to develop a novel, noninvasive nasal swab test that can enable earlier lung cancer diagnosis and ultimately, we believe, help reduce lung cancer deaths. In May 2021, we reported clinical validation data for our nasal swab classifier showing that the novel genomic test could identify, with a high degree of accuracy, patients whose lung nodules were low risk of cancer so they could avoid unnecessary invasive procedures and those who were high risk for cancer so they could obtain prompt diagnosis and potential treatment. In October 2021, we shared expanded clinical validation data showing that the Percepta Nasal Swab test delivers strong clinical performance across different lung nodule sizes and cancer stages, and for patients who already had other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cancer(s) except for lung cancer. We are also developing the Percepta Genomic Atlas, which is intended to inform treatment decisions by detecting gene alterations in small samples collected at the time of diagnosis.</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Additionally, our Envisia Genomic Classifier, launched in October 2016, is the first commercial test to improve the diagnosis of IPF among patients with a suspected interstitial lung disease. The Envisia test is also covered for Medicare patients.</w:t>
      </w:r>
    </w:p>
    <w:p>
      <w:pPr>
        <w:spacing w:after="0" w:line="191"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Further, our LymphMark lymphoma subtyping test is being developed as a companion diagnostic for Acerta Pharma and AstraZeneca’s acalabrutinib (Calquence®). In April 2021, Veracyte announced that the first patient has been enrolled and randomized in Acerta Pharma’s Phase 3 ESCALADE trial, which is using the investigational LymphMark test to identify patients with untreated diffuse large B-cell lymphoma (DLBCL) who may benefit from Calquence in combination with rituximab, cyclophosphamide, doxorubicin, vincristine and prednisone (R-CHOP) therapy. The LymphMark test utilizes gene-expression profiling of RNA extracted from formalin-fixed paraffin-embedded tissue to classify the “cell of origin” subtype of DLBCL tumors.</w:t>
      </w:r>
    </w:p>
    <w:p>
      <w:pPr>
        <w:spacing w:after="0" w:line="192"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In 2015, Decipher Biosciences received a Local Coverage Determination, or LCD, for its first commercial product, Decipher Prostate RP, for use in the early salvage setting. Decipher Biosciences expanded into biopsy and received an LCD for the first two Decipher Prostate Biopsy products in May 2019 covering the Very Low and Low National Comprehensive Cancer Network, or NCCN, risk groups and a second LCD in January 2020 covering Decipher Prostate Biopsy for Favorable Intermediate and Unfavorable Intermediate NCCN risk groups. In November 2020, Decipher Biosciences received another expanded LCD and launched its High and Very High biopsy product and now covers the entire localized and biochemically recurrent prostate cancer care continuum.</w:t>
      </w:r>
    </w:p>
    <w:p>
      <w:pPr>
        <w:spacing w:after="0" w:line="179"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We have also developed Decipher Bladder, which helps determine which patients with muscle-invasive bladder cancer may benefit from neoadjuvant chemotherapy prior to radical cystectomy. Veracyte believes its test is the only genomic subtyping tool available to physicians in the United States treating patients with locally advanced bladder cancer. Recently, we also received a final Medicare coverage policy for the Decipher Bladder test from Noridian, a Medicare Administrative Contractor, through the MolDX program. The Decipher Bladder test is available in Veracyte’s CLIA laboratory and the Company has recently expanded its commercial launch of the test.</w:t>
      </w:r>
    </w:p>
    <w:p>
      <w:pPr>
        <w:spacing w:after="0" w:line="208"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HalioDx introduced the Immunoscore Colon Cancer test, marking the first commercial application of the company’s novel Immunoscore technology platform. The Immunoscore Colon Cancer test is used in Stage II localized colon cancer to help physicians identify patients who may be spared adjuvant chemotherapy, and in Stage III localized colon cancer to guide physicians in their adjuvant chemotherapy prescription. In 2020, the European Society for Medical Oncology (ESMO) included the Immunoscore Colon Cancer test in its clinical practice guidelines for the diagnosis, treatment and follow-up of colon cancer.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198"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Through September 30, 2021, we had derived most of our revenue from the sale of Afirma and the Decipher urologic tests, delivered primarily to physicians in the United States. We generally invoice third-party payers upon delivery of a patient report to the prescribing physician. As such, we take the assignment of benefits and the risk of cash collection from the third-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party payer and individual patients. Third-party payers and other customers in excess of 10% of total revenue and their related revenue as a percentage of total revenue were as follows: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416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5"/>
                <w:szCs w:val="15"/>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2020</w:t>
            </w:r>
          </w:p>
        </w:tc>
      </w:tr>
      <w:tr>
        <w:trPr>
          <w:trHeight w:val="19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Medicare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r>
      <w:tr>
        <w:trPr>
          <w:trHeight w:val="199"/>
        </w:trPr>
        <w:tc>
          <w:tcPr>
            <w:tcW w:w="5320" w:type="dxa"/>
            <w:vAlign w:val="bottom"/>
            <w:gridSpan w:val="2"/>
          </w:tcPr>
          <w:p>
            <w:pPr>
              <w:ind w:left="20"/>
              <w:spacing w:after="0"/>
              <w:rPr>
                <w:sz w:val="20"/>
                <w:szCs w:val="20"/>
                <w:color w:val="auto"/>
              </w:rPr>
            </w:pPr>
            <w:r>
              <w:rPr>
                <w:rFonts w:ascii="Arial" w:cs="Arial" w:eastAsia="Arial" w:hAnsi="Arial"/>
                <w:sz w:val="15"/>
                <w:szCs w:val="15"/>
                <w:color w:val="auto"/>
              </w:rPr>
              <w:t>UnitedHealthcare</w:t>
            </w:r>
          </w:p>
        </w:tc>
        <w:tc>
          <w:tcPr>
            <w:tcW w:w="540" w:type="dxa"/>
            <w:vAlign w:val="bottom"/>
          </w:tcPr>
          <w:p>
            <w:pPr>
              <w:jc w:val="right"/>
              <w:spacing w:after="0"/>
              <w:rPr>
                <w:sz w:val="20"/>
                <w:szCs w:val="20"/>
                <w:color w:val="auto"/>
              </w:rPr>
            </w:pPr>
            <w:r>
              <w:rPr>
                <w:rFonts w:ascii="Arial" w:cs="Arial" w:eastAsia="Arial" w:hAnsi="Arial"/>
                <w:sz w:val="15"/>
                <w:szCs w:val="15"/>
                <w:color w:val="auto"/>
              </w:rPr>
              <w:t>9 %</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11 %</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11 %</w:t>
            </w:r>
          </w:p>
        </w:tc>
      </w:tr>
      <w:tr>
        <w:trPr>
          <w:trHeight w:val="221"/>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10"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The components of our cost of testing revenue are laboratory expenses, sample collection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efficiencies in processing these new tests.</w:t>
      </w:r>
    </w:p>
    <w:p>
      <w:pPr>
        <w:spacing w:after="0" w:line="15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18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Our cost of biopharmaceutical and other revenue are the costs of performing activities under arrangements that require us to perform research and development, commercialization, contract manufacturing and contract testing services on behalf of a customer, and is mainly comprised of compensation expense, laboratory supplies and pass through costs.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10"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a majority of our research and development expenses in support of our pipeline products in 2020 and in the nine months ended September 30, 2021, and expect this to continue in the remainder of 2021 and beyond.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10"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Selling and marketing expenses consist of compensation expenses, direct marketing expenses, professional fees, other expenses such as travel and communications costs and allocation of facility and information technology expenses. Our sales team of approximately 150 representatives is organized by business unit, with separate teams calling on thyroid cancer, urologic cancers, breast cancer, pulmonology and colorectal cancers physicians. The business units have dedicated marketing support, as well as a marketing operations team that serves the commercial organization broadly. Prosigna sales outside of the U.S. are led by country managers that call on laboratories and breast cancer oncologists, and have dedicated marketing support.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10"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nine months ended September 30, 2021, costs related to the acquisitions of Decipher Biosciences and HalioDx were included in general and administrative compensation expense and professional fees. For the nine months ended September 30, 2021, approximately 53% of the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 Amortization</w:t>
      </w:r>
    </w:p>
    <w:p>
      <w:pPr>
        <w:spacing w:after="0" w:line="210"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Our finite-lived intangible assets, acquired in business combinations, are being amortized over 4 to 15 years, using the straight-line method. Amortization expense is expected to be approximately $16.0 million in 2021, approximately $22.2 million per year through 2024 and decrease thereafter.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expense is attributable to our borrowings under debt agreements and costs associated with the prepayment of debt.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(Loss) Income, Net</w:t>
      </w:r>
    </w:p>
    <w:p>
      <w:pPr>
        <w:spacing w:after="0" w:line="21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Other (loss) income, net consists primarily of realized and unrealized gains and losses on foreign currency transactions and interest income from our cash held in interest bearing accounts.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23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The functional currency of our foreign subsidiary HalioDx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Revenues and expenses from our foreign subsidiaries are translated using the monthly average exchange rates in effect during the period in which the transactions occur. Foreign currency transaction gains and losses are recorded in other (loss) income,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and nine months ended September 30, 2021 and 2020 (in thousands of dollars, except percentages and test volume):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9"/>
          </w:tcPr>
          <w:p>
            <w:pPr>
              <w:ind w:left="580"/>
              <w:spacing w:after="0"/>
              <w:rPr>
                <w:sz w:val="20"/>
                <w:szCs w:val="20"/>
                <w:color w:val="auto"/>
              </w:rPr>
            </w:pPr>
            <w:r>
              <w:rPr>
                <w:rFonts w:ascii="Arial" w:cs="Arial" w:eastAsia="Arial" w:hAnsi="Arial"/>
                <w:sz w:val="15"/>
                <w:szCs w:val="15"/>
                <w:b w:val="1"/>
                <w:bCs w:val="1"/>
                <w:color w:val="auto"/>
                <w:w w:val="93"/>
              </w:rPr>
              <w:t>Three Months Ended 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8"/>
          </w:tcPr>
          <w:p>
            <w:pPr>
              <w:ind w:left="580"/>
              <w:spacing w:after="0"/>
              <w:rPr>
                <w:sz w:val="20"/>
                <w:szCs w:val="20"/>
                <w:color w:val="auto"/>
              </w:rPr>
            </w:pPr>
            <w:r>
              <w:rPr>
                <w:rFonts w:ascii="Arial" w:cs="Arial" w:eastAsia="Arial" w:hAnsi="Arial"/>
                <w:sz w:val="15"/>
                <w:szCs w:val="15"/>
                <w:b w:val="1"/>
                <w:bCs w:val="1"/>
                <w:color w:val="auto"/>
                <w:w w:val="94"/>
              </w:rPr>
              <w:t>Nine Months Ended September 30,</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ind w:left="60"/>
              <w:spacing w:after="0"/>
              <w:rPr>
                <w:sz w:val="20"/>
                <w:szCs w:val="20"/>
                <w:color w:val="auto"/>
              </w:rPr>
            </w:pPr>
            <w:r>
              <w:rPr>
                <w:rFonts w:ascii="Arial" w:cs="Arial" w:eastAsia="Arial" w:hAnsi="Arial"/>
                <w:sz w:val="15"/>
                <w:szCs w:val="15"/>
                <w:b w:val="1"/>
                <w:bCs w:val="1"/>
                <w:color w:val="auto"/>
              </w:rPr>
              <w:t>Change</w:t>
            </w:r>
          </w:p>
        </w:tc>
        <w:tc>
          <w:tcPr>
            <w:tcW w:w="740" w:type="dxa"/>
            <w:vAlign w:val="bottom"/>
          </w:tcPr>
          <w:p>
            <w:pPr>
              <w:jc w:val="center"/>
              <w:ind w:right="2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Change</w:t>
            </w:r>
          </w:p>
        </w:tc>
        <w:tc>
          <w:tcPr>
            <w:tcW w:w="72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80" w:type="dxa"/>
            <w:vAlign w:val="bottom"/>
          </w:tcPr>
          <w:p>
            <w:pPr>
              <w:ind w:left="140"/>
              <w:spacing w:after="0"/>
              <w:rPr>
                <w:sz w:val="20"/>
                <w:szCs w:val="20"/>
                <w:color w:val="auto"/>
              </w:rPr>
            </w:pPr>
            <w:r>
              <w:rPr>
                <w:rFonts w:ascii="Arial" w:cs="Arial" w:eastAsia="Arial" w:hAnsi="Arial"/>
                <w:sz w:val="15"/>
                <w:szCs w:val="15"/>
                <w:color w:val="auto"/>
              </w:rPr>
              <w:t>Testing revenue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50,897</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28,270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22,627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24"/>
              <w:spacing w:after="0"/>
              <w:rPr>
                <w:sz w:val="20"/>
                <w:szCs w:val="20"/>
                <w:color w:val="auto"/>
              </w:rPr>
            </w:pPr>
            <w:r>
              <w:rPr>
                <w:rFonts w:ascii="Arial" w:cs="Arial" w:eastAsia="Arial" w:hAnsi="Arial"/>
                <w:sz w:val="15"/>
                <w:szCs w:val="15"/>
                <w:color w:val="auto"/>
                <w:w w:val="93"/>
              </w:rPr>
              <w:t>80%</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134,768</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70,473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64,295</w:t>
            </w: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3"/>
              </w:rPr>
              <w:t>91%</w:t>
            </w: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Product revenue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22%</w:t>
            </w:r>
          </w:p>
        </w:tc>
        <w:tc>
          <w:tcPr>
            <w:tcW w:w="0" w:type="dxa"/>
            <w:vAlign w:val="bottom"/>
          </w:tcPr>
          <w:p>
            <w:pPr>
              <w:spacing w:after="0"/>
              <w:rPr>
                <w:sz w:val="1"/>
                <w:szCs w:val="1"/>
                <w:color w:val="auto"/>
              </w:rPr>
            </w:pPr>
          </w:p>
        </w:tc>
      </w:tr>
      <w:tr>
        <w:trPr>
          <w:trHeight w:val="199"/>
        </w:trPr>
        <w:tc>
          <w:tcPr>
            <w:tcW w:w="33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Biopharmaceutical and other revenue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6,514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5,690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center"/>
              <w:ind w:right="24"/>
              <w:spacing w:after="0"/>
              <w:rPr>
                <w:sz w:val="20"/>
                <w:szCs w:val="20"/>
                <w:color w:val="auto"/>
              </w:rPr>
            </w:pPr>
            <w:r>
              <w:rPr>
                <w:rFonts w:ascii="Arial" w:cs="Arial" w:eastAsia="Arial" w:hAnsi="Arial"/>
                <w:sz w:val="15"/>
                <w:szCs w:val="15"/>
                <w:color w:val="auto"/>
                <w:w w:val="93"/>
              </w:rPr>
              <w:t>691%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3,379</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3"/>
              </w:rPr>
              <w:t>63%</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revenue</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60,370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31,121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94%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152,178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82,947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69,231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83%</w:t>
            </w:r>
          </w:p>
        </w:tc>
        <w:tc>
          <w:tcPr>
            <w:tcW w:w="0" w:type="dxa"/>
            <w:vAlign w:val="bottom"/>
          </w:tcPr>
          <w:p>
            <w:pPr>
              <w:spacing w:after="0"/>
              <w:rPr>
                <w:sz w:val="1"/>
                <w:szCs w:val="1"/>
                <w:color w:val="auto"/>
              </w:rPr>
            </w:pPr>
          </w:p>
        </w:tc>
      </w:tr>
      <w:tr>
        <w:trPr>
          <w:trHeight w:val="192"/>
        </w:trPr>
        <w:tc>
          <w:tcPr>
            <w:tcW w:w="3380" w:type="dxa"/>
            <w:vAlign w:val="bottom"/>
          </w:tcPr>
          <w:p>
            <w:pPr>
              <w:ind w:left="20"/>
              <w:spacing w:after="0"/>
              <w:rPr>
                <w:sz w:val="20"/>
                <w:szCs w:val="20"/>
                <w:color w:val="auto"/>
              </w:rPr>
            </w:pPr>
            <w:r>
              <w:rPr>
                <w:rFonts w:ascii="Arial" w:cs="Arial" w:eastAsia="Arial" w:hAnsi="Arial"/>
                <w:sz w:val="15"/>
                <w:szCs w:val="15"/>
                <w:color w:val="auto"/>
              </w:rPr>
              <w:t>Operating expense: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testing revenue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16,073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42,494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26,157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16,337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62%</w:t>
            </w:r>
          </w:p>
        </w:tc>
        <w:tc>
          <w:tcPr>
            <w:tcW w:w="0" w:type="dxa"/>
            <w:vAlign w:val="bottom"/>
          </w:tcPr>
          <w:p>
            <w:pPr>
              <w:spacing w:after="0"/>
              <w:rPr>
                <w:sz w:val="1"/>
                <w:szCs w:val="1"/>
                <w:color w:val="auto"/>
              </w:rPr>
            </w:pPr>
          </w:p>
        </w:tc>
      </w:tr>
      <w:tr>
        <w:trPr>
          <w:trHeight w:val="199"/>
        </w:trPr>
        <w:tc>
          <w:tcPr>
            <w:tcW w:w="3380" w:type="dxa"/>
            <w:vAlign w:val="bottom"/>
          </w:tcPr>
          <w:p>
            <w:pPr>
              <w:ind w:left="140"/>
              <w:spacing w:after="0"/>
              <w:rPr>
                <w:sz w:val="20"/>
                <w:szCs w:val="20"/>
                <w:color w:val="auto"/>
              </w:rPr>
            </w:pPr>
            <w:r>
              <w:rPr>
                <w:rFonts w:ascii="Arial" w:cs="Arial" w:eastAsia="Arial" w:hAnsi="Arial"/>
                <w:sz w:val="15"/>
                <w:szCs w:val="15"/>
                <w:color w:val="auto"/>
              </w:rPr>
              <w:t>Cost of product revenue</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1,491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24"/>
              <w:spacing w:after="0"/>
              <w:rPr>
                <w:sz w:val="20"/>
                <w:szCs w:val="20"/>
                <w:color w:val="auto"/>
              </w:rPr>
            </w:pPr>
            <w:r>
              <w:rPr>
                <w:rFonts w:ascii="Arial" w:cs="Arial" w:eastAsia="Arial" w:hAnsi="Arial"/>
                <w:sz w:val="15"/>
                <w:szCs w:val="15"/>
                <w:color w:val="auto"/>
                <w:w w:val="93"/>
              </w:rPr>
              <w:t>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4,304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3,539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765</w:t>
            </w: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3"/>
              </w:rPr>
              <w:t>22%</w:t>
            </w: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biopharmaceutical and other revenue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4"/>
              </w:rPr>
              <w:t>1,900%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4,148</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725%</w:t>
            </w:r>
          </w:p>
        </w:tc>
        <w:tc>
          <w:tcPr>
            <w:tcW w:w="0" w:type="dxa"/>
            <w:vAlign w:val="bottom"/>
          </w:tcPr>
          <w:p>
            <w:pPr>
              <w:spacing w:after="0"/>
              <w:rPr>
                <w:sz w:val="1"/>
                <w:szCs w:val="1"/>
                <w:color w:val="auto"/>
              </w:rPr>
            </w:pPr>
          </w:p>
        </w:tc>
      </w:tr>
      <w:tr>
        <w:trPr>
          <w:trHeight w:val="199"/>
        </w:trPr>
        <w:tc>
          <w:tcPr>
            <w:tcW w:w="338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8,006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24"/>
              <w:spacing w:after="0"/>
              <w:rPr>
                <w:sz w:val="20"/>
                <w:szCs w:val="20"/>
                <w:color w:val="auto"/>
              </w:rPr>
            </w:pPr>
            <w:r>
              <w:rPr>
                <w:rFonts w:ascii="Arial" w:cs="Arial" w:eastAsia="Arial" w:hAnsi="Arial"/>
                <w:sz w:val="15"/>
                <w:szCs w:val="15"/>
                <w:color w:val="auto"/>
                <w:w w:val="93"/>
              </w:rPr>
              <w:t>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19,591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12,618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6,973</w:t>
            </w: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3"/>
              </w:rPr>
              <w:t>55%</w:t>
            </w: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Selling and marketing</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21,670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57,628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39,240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18,388</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47%</w:t>
            </w:r>
          </w:p>
        </w:tc>
        <w:tc>
          <w:tcPr>
            <w:tcW w:w="0" w:type="dxa"/>
            <w:vAlign w:val="bottom"/>
          </w:tcPr>
          <w:p>
            <w:pPr>
              <w:spacing w:after="0"/>
              <w:rPr>
                <w:sz w:val="1"/>
                <w:szCs w:val="1"/>
                <w:color w:val="auto"/>
              </w:rPr>
            </w:pPr>
          </w:p>
        </w:tc>
      </w:tr>
      <w:tr>
        <w:trPr>
          <w:trHeight w:val="199"/>
        </w:trPr>
        <w:tc>
          <w:tcPr>
            <w:tcW w:w="338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20,749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8,546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12,203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24"/>
              <w:spacing w:after="0"/>
              <w:rPr>
                <w:sz w:val="20"/>
                <w:szCs w:val="20"/>
                <w:color w:val="auto"/>
              </w:rPr>
            </w:pPr>
            <w:r>
              <w:rPr>
                <w:rFonts w:ascii="Arial" w:cs="Arial" w:eastAsia="Arial" w:hAnsi="Arial"/>
                <w:sz w:val="15"/>
                <w:szCs w:val="15"/>
                <w:color w:val="auto"/>
                <w:w w:val="93"/>
              </w:rPr>
              <w:t>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82,504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24,316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58,188</w:t>
            </w: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3"/>
              </w:rPr>
              <w:t>239%</w:t>
            </w: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asset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4,983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291%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10,507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3,822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6,685</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175%</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operating expenses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77,051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35,187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41,864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center"/>
              <w:ind w:right="24"/>
              <w:spacing w:after="0"/>
              <w:rPr>
                <w:sz w:val="20"/>
                <w:szCs w:val="20"/>
                <w:color w:val="auto"/>
              </w:rPr>
            </w:pPr>
            <w:r>
              <w:rPr>
                <w:rFonts w:ascii="Arial" w:cs="Arial" w:eastAsia="Arial" w:hAnsi="Arial"/>
                <w:sz w:val="15"/>
                <w:szCs w:val="15"/>
                <w:color w:val="auto"/>
                <w:w w:val="93"/>
              </w:rPr>
              <w:t>119%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221,748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110,264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111,484</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3"/>
              </w:rPr>
              <w:t>101%</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310%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(42,253)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155%</w:t>
            </w:r>
          </w:p>
        </w:tc>
        <w:tc>
          <w:tcPr>
            <w:tcW w:w="0" w:type="dxa"/>
            <w:vAlign w:val="bottom"/>
          </w:tcPr>
          <w:p>
            <w:pPr>
              <w:spacing w:after="0"/>
              <w:rPr>
                <w:sz w:val="1"/>
                <w:szCs w:val="1"/>
                <w:color w:val="auto"/>
              </w:rPr>
            </w:pPr>
          </w:p>
        </w:tc>
      </w:tr>
      <w:tr>
        <w:trPr>
          <w:trHeight w:val="199"/>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(loss), net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center"/>
              <w:ind w:right="24"/>
              <w:spacing w:after="0"/>
              <w:rPr>
                <w:sz w:val="20"/>
                <w:szCs w:val="20"/>
                <w:color w:val="auto"/>
              </w:rPr>
            </w:pPr>
            <w:r>
              <w:rPr>
                <w:rFonts w:ascii="Arial" w:cs="Arial" w:eastAsia="Arial" w:hAnsi="Arial"/>
                <w:sz w:val="15"/>
                <w:szCs w:val="15"/>
                <w:color w:val="auto"/>
                <w:w w:val="91"/>
              </w:rPr>
              <w:t>(2,172)%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(1,214)</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0"/>
              </w:rPr>
              <w:t>(269)%</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before income tax benefit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275%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(43,467)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162%</w:t>
            </w:r>
          </w:p>
        </w:tc>
        <w:tc>
          <w:tcPr>
            <w:tcW w:w="0" w:type="dxa"/>
            <w:vAlign w:val="bottom"/>
          </w:tcPr>
          <w:p>
            <w:pPr>
              <w:spacing w:after="0"/>
              <w:rPr>
                <w:sz w:val="1"/>
                <w:szCs w:val="1"/>
                <w:color w:val="auto"/>
              </w:rPr>
            </w:pPr>
          </w:p>
        </w:tc>
      </w:tr>
      <w:tr>
        <w:trPr>
          <w:trHeight w:val="199"/>
        </w:trPr>
        <w:tc>
          <w:tcPr>
            <w:tcW w:w="3380" w:type="dxa"/>
            <w:vAlign w:val="bottom"/>
          </w:tcPr>
          <w:p>
            <w:pPr>
              <w:ind w:left="20"/>
              <w:spacing w:after="0"/>
              <w:rPr>
                <w:sz w:val="20"/>
                <w:szCs w:val="20"/>
                <w:color w:val="auto"/>
              </w:rPr>
            </w:pPr>
            <w:r>
              <w:rPr>
                <w:rFonts w:ascii="Arial" w:cs="Arial" w:eastAsia="Arial" w:hAnsi="Arial"/>
                <w:sz w:val="15"/>
                <w:szCs w:val="15"/>
                <w:color w:val="auto"/>
              </w:rPr>
              <w:t>Income tax benefit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200"/>
              <w:spacing w:after="0"/>
              <w:rPr>
                <w:sz w:val="20"/>
                <w:szCs w:val="20"/>
                <w:color w:val="auto"/>
              </w:rPr>
            </w:pPr>
            <w:r>
              <w:rPr>
                <w:rFonts w:ascii="Arial" w:cs="Arial" w:eastAsia="Arial" w:hAnsi="Arial"/>
                <w:sz w:val="15"/>
                <w:szCs w:val="15"/>
                <w:color w:val="auto"/>
              </w:rPr>
              <w:t>NM</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(5,297)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(5,297)</w:t>
            </w:r>
          </w:p>
        </w:tc>
        <w:tc>
          <w:tcPr>
            <w:tcW w:w="120" w:type="dxa"/>
            <w:vAlign w:val="bottom"/>
          </w:tcPr>
          <w:p>
            <w:pPr>
              <w:spacing w:after="0"/>
              <w:rPr>
                <w:sz w:val="17"/>
                <w:szCs w:val="17"/>
                <w:color w:val="auto"/>
              </w:rPr>
            </w:pPr>
          </w:p>
        </w:tc>
        <w:tc>
          <w:tcPr>
            <w:tcW w:w="720" w:type="dxa"/>
            <w:vAlign w:val="bottom"/>
          </w:tcPr>
          <w:p>
            <w:pPr>
              <w:ind w:left="24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24"/>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jc w:val="center"/>
              <w:ind w:right="24"/>
              <w:spacing w:after="0"/>
              <w:rPr>
                <w:sz w:val="20"/>
                <w:szCs w:val="20"/>
                <w:color w:val="auto"/>
              </w:rPr>
            </w:pPr>
            <w:r>
              <w:rPr>
                <w:rFonts w:ascii="Arial" w:cs="Arial" w:eastAsia="Arial" w:hAnsi="Arial"/>
                <w:sz w:val="15"/>
                <w:szCs w:val="15"/>
                <w:color w:val="auto"/>
                <w:w w:val="93"/>
              </w:rPr>
              <w:t>243%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142%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Other Operating Data:</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Diagnostic tests reported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18,842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50,127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26,180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23,947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91%</w:t>
            </w:r>
          </w:p>
        </w:tc>
        <w:tc>
          <w:tcPr>
            <w:tcW w:w="0" w:type="dxa"/>
            <w:vAlign w:val="bottom"/>
          </w:tcPr>
          <w:p>
            <w:pPr>
              <w:spacing w:after="0"/>
              <w:rPr>
                <w:sz w:val="1"/>
                <w:szCs w:val="1"/>
                <w:color w:val="auto"/>
              </w:rPr>
            </w:pPr>
          </w:p>
        </w:tc>
      </w:tr>
      <w:tr>
        <w:trPr>
          <w:trHeight w:val="199"/>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Product tests sold</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2,130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center"/>
              <w:ind w:right="24"/>
              <w:spacing w:after="0"/>
              <w:rPr>
                <w:sz w:val="20"/>
                <w:szCs w:val="20"/>
                <w:color w:val="auto"/>
              </w:rPr>
            </w:pPr>
            <w:r>
              <w:rPr>
                <w:rFonts w:ascii="Arial" w:cs="Arial" w:eastAsia="Arial" w:hAnsi="Arial"/>
                <w:sz w:val="15"/>
                <w:szCs w:val="15"/>
                <w:color w:val="auto"/>
                <w:w w:val="93"/>
              </w:rPr>
              <w:t>47%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6,138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5,179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959</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3"/>
              </w:rPr>
              <w:t>19%</w:t>
            </w:r>
          </w:p>
        </w:tc>
        <w:tc>
          <w:tcPr>
            <w:tcW w:w="0" w:type="dxa"/>
            <w:vAlign w:val="bottom"/>
          </w:tcPr>
          <w:p>
            <w:pPr>
              <w:spacing w:after="0"/>
              <w:rPr>
                <w:sz w:val="1"/>
                <w:szCs w:val="1"/>
                <w:color w:val="auto"/>
              </w:rPr>
            </w:pPr>
          </w:p>
        </w:tc>
      </w:tr>
      <w:tr>
        <w:trPr>
          <w:trHeight w:val="22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test volume</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20,972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9,282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ind w:right="24"/>
              <w:spacing w:after="0"/>
              <w:rPr>
                <w:sz w:val="20"/>
                <w:szCs w:val="20"/>
                <w:color w:val="auto"/>
              </w:rPr>
            </w:pPr>
            <w:r>
              <w:rPr>
                <w:rFonts w:ascii="Arial" w:cs="Arial" w:eastAsia="Arial" w:hAnsi="Arial"/>
                <w:sz w:val="15"/>
                <w:szCs w:val="15"/>
                <w:color w:val="auto"/>
                <w:w w:val="93"/>
              </w:rPr>
              <w:t>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56,265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31,359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24,906</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79%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 expense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208%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13,189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7,270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123%</w:t>
            </w: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8,234</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3,090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5,144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24"/>
              <w:spacing w:after="0"/>
              <w:rPr>
                <w:sz w:val="20"/>
                <w:szCs w:val="20"/>
                <w:color w:val="auto"/>
              </w:rPr>
            </w:pPr>
            <w:r>
              <w:rPr>
                <w:rFonts w:ascii="Arial" w:cs="Arial" w:eastAsia="Arial" w:hAnsi="Arial"/>
                <w:sz w:val="15"/>
                <w:szCs w:val="15"/>
                <w:color w:val="auto"/>
                <w:w w:val="93"/>
              </w:rPr>
              <w:t>166%</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16,154</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9,354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6,800</w:t>
            </w: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3"/>
              </w:rPr>
              <w:t>73%</w:t>
            </w: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0"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Revenue increased $29.2 million for the three months ended September 30, 2021 compared to the same period in 2020. This was primarily due to a $22.6 million increase in testing revenue from an 84% volume increase in our genomic tests, as well as a $0.9 million increase in sales of Prosigna. Tests reported for the three months ended September 30, 2021 increased primarily due to the addition of the Decipher Prostate Biopsy and Decipher Prostate RP genomic tests following our acquisition of Decipher Biosciences on March 12, 2021, which contributed $21.3 million of revenue during the period. Biopharmaceutical and other revenue increased $5.7 million for the three months ended September 30, 2021 compared to the same period in 2020. Biopharmaceutical and other revenue for the three months ended September 30, 2021 includes the operations of HalioDx following its acquisition on August 2, 2021, which contributed approximately $4.7 million of revenue.</w:t>
      </w:r>
    </w:p>
    <w:p>
      <w:pPr>
        <w:spacing w:after="0" w:line="21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Revenue increased $69.2 million for the nine months ended September 30, 2021 compared to the same period in 2020. This was primarily due to a $64.3 million increase in testing revenue from a 91% volume increase in our Afirma, Decipher, Envisia and Percepta genomic tests, as well as a $1.6 million increase in sales of Prosigna. Tests reported for the nine months ended September 30, 2021 also includes the Decipher Prostate Biopsy and Decipher Prostate RP genomic tests, which contributed $44.0 million of revenue during the nine months ended September 30, 2021. Biopharmaceutical and other revenue increased $3.4 million for the nine months ended September 30, 2021 compared to the same period in 2020. Biopharmaceutical and other revenue for the nine months ended September 30, 2021 includes the operations of HalioDx following its acquisition.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Revenues included in biopharmaceutical and other revenue for the three and nine months ended September 30, 2021 and 2020 were as follows (in 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36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5"/>
                <w:szCs w:val="15"/>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5"/>
                <w:szCs w:val="15"/>
                <w:b w:val="1"/>
                <w:bCs w:val="1"/>
                <w:color w:val="auto"/>
              </w:rPr>
              <w:t>Nine Months Ended September 30,</w:t>
            </w:r>
          </w:p>
        </w:tc>
        <w:tc>
          <w:tcPr>
            <w:tcW w:w="460" w:type="dxa"/>
            <w:vAlign w:val="bottom"/>
            <w:tcBorders>
              <w:bottom w:val="single" w:sz="8" w:color="auto"/>
            </w:tcBorders>
          </w:tcPr>
          <w:p>
            <w:pPr>
              <w:spacing w:after="0"/>
              <w:rPr>
                <w:sz w:val="17"/>
                <w:szCs w:val="17"/>
                <w:color w:val="auto"/>
              </w:rPr>
            </w:pPr>
          </w:p>
        </w:tc>
      </w:tr>
      <w:tr>
        <w:trPr>
          <w:trHeight w:val="196"/>
        </w:trPr>
        <w:tc>
          <w:tcPr>
            <w:tcW w:w="43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2020</w:t>
            </w:r>
          </w:p>
        </w:tc>
        <w:tc>
          <w:tcPr>
            <w:tcW w:w="460" w:type="dxa"/>
            <w:vAlign w:val="bottom"/>
            <w:tcBorders>
              <w:bottom w:val="single" w:sz="8" w:color="auto"/>
            </w:tcBorders>
          </w:tcPr>
          <w:p>
            <w:pPr>
              <w:spacing w:after="0"/>
              <w:rPr>
                <w:sz w:val="17"/>
                <w:szCs w:val="17"/>
                <w:color w:val="auto"/>
              </w:rPr>
            </w:pPr>
          </w:p>
        </w:tc>
      </w:tr>
      <w:tr>
        <w:trPr>
          <w:trHeight w:val="199"/>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Development services</w:t>
            </w: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64"/>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4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5,242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1,780</w:t>
            </w:r>
          </w:p>
        </w:tc>
      </w:tr>
      <w:tr>
        <w:trPr>
          <w:trHeight w:val="199"/>
        </w:trPr>
        <w:tc>
          <w:tcPr>
            <w:tcW w:w="4360" w:type="dxa"/>
            <w:vAlign w:val="bottom"/>
          </w:tcPr>
          <w:p>
            <w:pPr>
              <w:ind w:left="20"/>
              <w:spacing w:after="0"/>
              <w:rPr>
                <w:sz w:val="20"/>
                <w:szCs w:val="20"/>
                <w:color w:val="auto"/>
              </w:rPr>
            </w:pPr>
            <w:r>
              <w:rPr>
                <w:rFonts w:ascii="Arial" w:cs="Arial" w:eastAsia="Arial" w:hAnsi="Arial"/>
                <w:sz w:val="15"/>
                <w:szCs w:val="15"/>
                <w:color w:val="auto"/>
              </w:rPr>
              <w:t>Provision of data</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1,392</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275</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1,839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1,545</w:t>
            </w:r>
          </w:p>
        </w:tc>
      </w:tr>
      <w:tr>
        <w:trPr>
          <w:trHeight w:val="206"/>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Milestones</w:t>
            </w:r>
          </w:p>
        </w:tc>
        <w:tc>
          <w:tcPr>
            <w:tcW w:w="1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199"/>
        </w:trPr>
        <w:tc>
          <w:tcPr>
            <w:tcW w:w="4360" w:type="dxa"/>
            <w:vAlign w:val="bottom"/>
          </w:tcPr>
          <w:p>
            <w:pPr>
              <w:ind w:left="20"/>
              <w:spacing w:after="0"/>
              <w:rPr>
                <w:sz w:val="20"/>
                <w:szCs w:val="20"/>
                <w:color w:val="auto"/>
              </w:rPr>
            </w:pPr>
            <w:r>
              <w:rPr>
                <w:rFonts w:ascii="Arial" w:cs="Arial" w:eastAsia="Arial" w:hAnsi="Arial"/>
                <w:sz w:val="15"/>
                <w:szCs w:val="15"/>
                <w:color w:val="auto"/>
              </w:rPr>
              <w:t>Development rights</w:t>
            </w:r>
          </w:p>
        </w:tc>
        <w:tc>
          <w:tcPr>
            <w:tcW w:w="1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206"/>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Contract manufacturing</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1,221</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1,221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360" w:type="dxa"/>
            <w:vAlign w:val="bottom"/>
          </w:tcPr>
          <w:p>
            <w:pPr>
              <w:ind w:left="20"/>
              <w:spacing w:after="0"/>
              <w:rPr>
                <w:sz w:val="20"/>
                <w:szCs w:val="20"/>
                <w:color w:val="auto"/>
              </w:rPr>
            </w:pPr>
            <w:r>
              <w:rPr>
                <w:rFonts w:ascii="Arial" w:cs="Arial" w:eastAsia="Arial" w:hAnsi="Arial"/>
                <w:sz w:val="15"/>
                <w:szCs w:val="15"/>
                <w:color w:val="auto"/>
              </w:rPr>
              <w:t>Contract testing</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4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110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64"/>
              <w:spacing w:after="0"/>
              <w:rPr>
                <w:sz w:val="20"/>
                <w:szCs w:val="20"/>
                <w:color w:val="auto"/>
              </w:rPr>
            </w:pPr>
            <w:r>
              <w:rPr>
                <w:rFonts w:ascii="Arial" w:cs="Arial" w:eastAsia="Arial" w:hAnsi="Arial"/>
                <w:sz w:val="15"/>
                <w:szCs w:val="15"/>
                <w:color w:val="auto"/>
                <w:w w:val="9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8,704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and nine months ended September 30, 2021 and 2020 is as follows (in thousands of dollars, except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9"/>
          </w:tcPr>
          <w:p>
            <w:pPr>
              <w:ind w:left="620"/>
              <w:spacing w:after="0"/>
              <w:rPr>
                <w:sz w:val="20"/>
                <w:szCs w:val="20"/>
                <w:color w:val="auto"/>
              </w:rPr>
            </w:pPr>
            <w:r>
              <w:rPr>
                <w:rFonts w:ascii="Arial" w:cs="Arial" w:eastAsia="Arial" w:hAnsi="Arial"/>
                <w:sz w:val="15"/>
                <w:szCs w:val="15"/>
                <w:b w:val="1"/>
                <w:bCs w:val="1"/>
                <w:color w:val="auto"/>
                <w:w w:val="96"/>
              </w:rPr>
              <w:t>Three Months Ended September 30,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9"/>
          </w:tcPr>
          <w:p>
            <w:pPr>
              <w:ind w:left="600"/>
              <w:spacing w:after="0"/>
              <w:rPr>
                <w:sz w:val="20"/>
                <w:szCs w:val="20"/>
                <w:color w:val="auto"/>
              </w:rPr>
            </w:pPr>
            <w:r>
              <w:rPr>
                <w:rFonts w:ascii="Arial" w:cs="Arial" w:eastAsia="Arial" w:hAnsi="Arial"/>
                <w:sz w:val="15"/>
                <w:szCs w:val="15"/>
                <w:b w:val="1"/>
                <w:bCs w:val="1"/>
                <w:color w:val="auto"/>
                <w:w w:val="97"/>
              </w:rPr>
              <w:t>Nine Months Ended September 30,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5"/>
                <w:szCs w:val="15"/>
                <w:b w:val="1"/>
                <w:bCs w:val="1"/>
                <w:color w:val="auto"/>
              </w:rPr>
              <w:t>Change</w:t>
            </w:r>
          </w:p>
        </w:tc>
        <w:tc>
          <w:tcPr>
            <w:tcW w:w="680" w:type="dxa"/>
            <w:vAlign w:val="bottom"/>
          </w:tcPr>
          <w:p>
            <w:pPr>
              <w:jc w:val="right"/>
              <w:ind w:right="32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60"/>
              <w:spacing w:after="0"/>
              <w:rPr>
                <w:sz w:val="20"/>
                <w:szCs w:val="20"/>
                <w:color w:val="auto"/>
              </w:rPr>
            </w:pPr>
            <w:r>
              <w:rPr>
                <w:rFonts w:ascii="Arial" w:cs="Arial" w:eastAsia="Arial" w:hAnsi="Arial"/>
                <w:sz w:val="15"/>
                <w:szCs w:val="15"/>
                <w:b w:val="1"/>
                <w:bCs w:val="1"/>
                <w:color w:val="auto"/>
              </w:rPr>
              <w:t>Change</w:t>
            </w:r>
          </w:p>
        </w:tc>
        <w:tc>
          <w:tcPr>
            <w:tcW w:w="660" w:type="dxa"/>
            <w:vAlign w:val="bottom"/>
          </w:tcPr>
          <w:p>
            <w:pPr>
              <w:jc w:val="right"/>
              <w:ind w:right="26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testing revenue: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80" w:type="dxa"/>
            <w:vAlign w:val="bottom"/>
          </w:tcPr>
          <w:p>
            <w:pPr>
              <w:ind w:left="140"/>
              <w:spacing w:after="0"/>
              <w:rPr>
                <w:sz w:val="20"/>
                <w:szCs w:val="20"/>
                <w:color w:val="auto"/>
              </w:rPr>
            </w:pPr>
            <w:r>
              <w:rPr>
                <w:rFonts w:ascii="Arial" w:cs="Arial" w:eastAsia="Arial" w:hAnsi="Arial"/>
                <w:sz w:val="15"/>
                <w:szCs w:val="15"/>
                <w:color w:val="auto"/>
              </w:rPr>
              <w:t>Laboratory costs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8,777</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5,002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3,775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75 %</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23,489</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14,103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9,386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67 %</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Sample collection costs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0" w:type="dxa"/>
            <w:vAlign w:val="bottom"/>
          </w:tcPr>
          <w:p>
            <w:pPr>
              <w:spacing w:after="0"/>
              <w:rPr>
                <w:sz w:val="1"/>
                <w:szCs w:val="1"/>
                <w:color w:val="auto"/>
              </w:rPr>
            </w:pPr>
          </w:p>
        </w:tc>
      </w:tr>
      <w:tr>
        <w:trPr>
          <w:trHeight w:val="199"/>
        </w:trPr>
        <w:tc>
          <w:tcPr>
            <w:tcW w:w="3280" w:type="dxa"/>
            <w:vAlign w:val="bottom"/>
          </w:tcPr>
          <w:p>
            <w:pPr>
              <w:ind w:left="14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1,707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8,381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5,164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62 %</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License fees and royalties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2,918 %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1,439 %</w:t>
            </w:r>
          </w:p>
        </w:tc>
        <w:tc>
          <w:tcPr>
            <w:tcW w:w="0" w:type="dxa"/>
            <w:vAlign w:val="bottom"/>
          </w:tcPr>
          <w:p>
            <w:pPr>
              <w:spacing w:after="0"/>
              <w:rPr>
                <w:sz w:val="1"/>
                <w:szCs w:val="1"/>
                <w:color w:val="auto"/>
              </w:rPr>
            </w:pPr>
          </w:p>
        </w:tc>
      </w:tr>
      <w:tr>
        <w:trPr>
          <w:trHeight w:val="199"/>
        </w:trPr>
        <w:tc>
          <w:tcPr>
            <w:tcW w:w="328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expenses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73 %</w:t>
            </w:r>
          </w:p>
        </w:tc>
        <w:tc>
          <w:tcPr>
            <w:tcW w:w="0" w:type="dxa"/>
            <w:vAlign w:val="bottom"/>
          </w:tcPr>
          <w:p>
            <w:pPr>
              <w:spacing w:after="0"/>
              <w:rPr>
                <w:sz w:val="1"/>
                <w:szCs w:val="1"/>
                <w:color w:val="auto"/>
              </w:rPr>
            </w:pPr>
          </w:p>
        </w:tc>
      </w:tr>
      <w:tr>
        <w:trPr>
          <w:trHeight w:val="199"/>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103 %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73 %</w:t>
            </w:r>
          </w:p>
        </w:tc>
        <w:tc>
          <w:tcPr>
            <w:tcW w:w="0" w:type="dxa"/>
            <w:vAlign w:val="bottom"/>
          </w:tcPr>
          <w:p>
            <w:pPr>
              <w:spacing w:after="0"/>
              <w:rPr>
                <w:sz w:val="1"/>
                <w:szCs w:val="1"/>
                <w:color w:val="auto"/>
              </w:rPr>
            </w:pPr>
          </w:p>
        </w:tc>
      </w:tr>
      <w:tr>
        <w:trPr>
          <w:trHeight w:val="224"/>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9,118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6,955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42,494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26,157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Cost of product revenue: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Product costs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0" w:type="dxa"/>
            <w:vAlign w:val="bottom"/>
          </w:tcPr>
          <w:p>
            <w:pPr>
              <w:spacing w:after="0"/>
              <w:rPr>
                <w:sz w:val="1"/>
                <w:szCs w:val="1"/>
                <w:color w:val="auto"/>
              </w:rPr>
            </w:pPr>
          </w:p>
        </w:tc>
      </w:tr>
      <w:tr>
        <w:trPr>
          <w:trHeight w:val="199"/>
        </w:trPr>
        <w:tc>
          <w:tcPr>
            <w:tcW w:w="3280" w:type="dxa"/>
            <w:vAlign w:val="bottom"/>
          </w:tcPr>
          <w:p>
            <w:pPr>
              <w:ind w:left="140"/>
              <w:spacing w:after="0"/>
              <w:rPr>
                <w:sz w:val="20"/>
                <w:szCs w:val="20"/>
                <w:color w:val="auto"/>
              </w:rPr>
            </w:pPr>
            <w:r>
              <w:rPr>
                <w:rFonts w:ascii="Arial" w:cs="Arial" w:eastAsia="Arial" w:hAnsi="Arial"/>
                <w:sz w:val="15"/>
                <w:szCs w:val="15"/>
                <w:color w:val="auto"/>
              </w:rPr>
              <w:t>License fees and royalties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27 %</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NM</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9"/>
        </w:trPr>
        <w:tc>
          <w:tcPr>
            <w:tcW w:w="328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1,491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1,048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42 %</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4,304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3,539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biopharmaceutical and other revenue: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80" w:type="dxa"/>
            <w:vAlign w:val="bottom"/>
          </w:tcPr>
          <w:p>
            <w:pPr>
              <w:ind w:left="14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1,770</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3,371 %</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1,862</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1,366 %</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Laboratory expense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NM</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9"/>
        </w:trPr>
        <w:tc>
          <w:tcPr>
            <w:tcW w:w="3280" w:type="dxa"/>
            <w:vAlign w:val="bottom"/>
          </w:tcPr>
          <w:p>
            <w:pPr>
              <w:ind w:left="140"/>
              <w:spacing w:after="0"/>
              <w:rPr>
                <w:sz w:val="20"/>
                <w:szCs w:val="20"/>
                <w:color w:val="auto"/>
              </w:rPr>
            </w:pPr>
            <w:r>
              <w:rPr>
                <w:rFonts w:ascii="Arial" w:cs="Arial" w:eastAsia="Arial" w:hAnsi="Arial"/>
                <w:sz w:val="15"/>
                <w:szCs w:val="15"/>
                <w:color w:val="auto"/>
              </w:rPr>
              <w:t>License fees and royalties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5"/>
                <w:szCs w:val="15"/>
                <w:color w:val="auto"/>
              </w:rPr>
              <w:t>NM</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NM</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9"/>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expenses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788 %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329 %</w:t>
            </w:r>
          </w:p>
        </w:tc>
        <w:tc>
          <w:tcPr>
            <w:tcW w:w="0" w:type="dxa"/>
            <w:vAlign w:val="bottom"/>
          </w:tcPr>
          <w:p>
            <w:pPr>
              <w:spacing w:after="0"/>
              <w:rPr>
                <w:sz w:val="1"/>
                <w:szCs w:val="1"/>
                <w:color w:val="auto"/>
              </w:rPr>
            </w:pPr>
          </w:p>
        </w:tc>
      </w:tr>
      <w:tr>
        <w:trPr>
          <w:trHeight w:val="224"/>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1,900 %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725 %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Cost of testing revenue increased $7.0 million for the three months ended September 30, 2021 compared to the same period in 2020. Following the acquisition of Decipher Biosciences in March 2021, its operations are included in cost of testing revenue and contributed approximately $5.0 million for the three months ended September 30, 2021. The increase in laboratory costs was primarily related to an 84% increase in the volume of diagnostic tests reported, including Decipher tests. The increase in compensation expense related to a headcount increase of 143%, including the addition of Decipher employees.</w:t>
      </w:r>
    </w:p>
    <w:p>
      <w:pPr>
        <w:spacing w:after="0" w:line="19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Cost of testing revenue increased $16.3 million for the nine months ended September 30, 2021 compared to the same period in 2020. The increase in the cost of testing results primarily from an increase in laboratory costs primarily related to a</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91% increase in the volume of diagnostic tests reported and an increase in compensation expense related to a headcount increase of 69%. Following the acquisition of Decipher Biosciences, its operations also contributed to the increase in the cost of testing revenue. Laboratory costs for the nine months ended September 30, 2020 include a $1.1 million write-down of supplies for the potential expiration of reagents due to an anticipated decline in volumes resulting from the COVID-19 pandemic.</w:t>
      </w:r>
    </w:p>
    <w:p>
      <w:pPr>
        <w:spacing w:after="0" w:line="180"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Cost of product revenue is related to sales of Prosigna. Cost of product revenue increased $0.4 million, or 42%, for the three months ended September 30, 2021 compared to the same period in 2020, primarily due to a 47% increase in product tests sold.</w:t>
      </w:r>
    </w:p>
    <w:p>
      <w:pPr>
        <w:spacing w:after="0" w:line="191"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Cost of product revenue increased $0.8 million, or 22%, for the nine months ended September 30, 2021 compared to the same period in 2020 primarily due to a 19% increase in product tests sold.</w:t>
      </w:r>
    </w:p>
    <w:p>
      <w:pPr>
        <w:spacing w:after="0" w:line="165"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Cost of biopharmaceutical and other revenue includes labor costs incurred by our employees working on customer projects and laboratory supplies and pass-through expenses incurred on these projects. Cost of biopharmaceutical and other revenue includes the operations of HalioDx following its acquisition on August 2, 2021, which contributed approximately $4.0 million of cost of revenue.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and nine months ended September 30, 2021 and 2020 is as follows (in thousands of dollars, except percentages):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9"/>
          </w:tcPr>
          <w:p>
            <w:pPr>
              <w:ind w:left="480"/>
              <w:spacing w:after="0"/>
              <w:rPr>
                <w:sz w:val="20"/>
                <w:szCs w:val="20"/>
                <w:color w:val="auto"/>
              </w:rPr>
            </w:pPr>
            <w:r>
              <w:rPr>
                <w:rFonts w:ascii="Arial" w:cs="Arial" w:eastAsia="Arial" w:hAnsi="Arial"/>
                <w:sz w:val="15"/>
                <w:szCs w:val="15"/>
                <w:b w:val="1"/>
                <w:bCs w:val="1"/>
                <w:color w:val="auto"/>
                <w:w w:val="94"/>
              </w:rPr>
              <w:t>Three Months Ended 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9"/>
          </w:tcPr>
          <w:p>
            <w:pPr>
              <w:ind w:left="600"/>
              <w:spacing w:after="0"/>
              <w:rPr>
                <w:sz w:val="20"/>
                <w:szCs w:val="20"/>
                <w:color w:val="auto"/>
              </w:rPr>
            </w:pPr>
            <w:r>
              <w:rPr>
                <w:rFonts w:ascii="Arial" w:cs="Arial" w:eastAsia="Arial" w:hAnsi="Arial"/>
                <w:sz w:val="15"/>
                <w:szCs w:val="15"/>
                <w:b w:val="1"/>
                <w:bCs w:val="1"/>
                <w:color w:val="auto"/>
                <w:w w:val="96"/>
              </w:rPr>
              <w:t>Nine Months Ended September 30,</w:t>
            </w:r>
          </w:p>
        </w:tc>
        <w:tc>
          <w:tcPr>
            <w:tcW w:w="640" w:type="dxa"/>
            <w:vAlign w:val="bottom"/>
            <w:tcBorders>
              <w:bottom w:val="single" w:sz="8" w:color="auto"/>
            </w:tcBorders>
          </w:tcPr>
          <w:p>
            <w:pPr>
              <w:spacing w:after="0"/>
              <w:rPr>
                <w:sz w:val="17"/>
                <w:szCs w:val="17"/>
                <w:color w:val="auto"/>
              </w:rPr>
            </w:pPr>
          </w:p>
        </w:tc>
      </w:tr>
      <w:tr>
        <w:trPr>
          <w:trHeight w:val="196"/>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ind w:left="40"/>
              <w:spacing w:after="0"/>
              <w:rPr>
                <w:sz w:val="20"/>
                <w:szCs w:val="20"/>
                <w:color w:val="auto"/>
              </w:rPr>
            </w:pPr>
            <w:r>
              <w:rPr>
                <w:rFonts w:ascii="Arial" w:cs="Arial" w:eastAsia="Arial" w:hAnsi="Arial"/>
                <w:sz w:val="15"/>
                <w:szCs w:val="15"/>
                <w:b w:val="1"/>
                <w:bCs w:val="1"/>
                <w:color w:val="auto"/>
              </w:rPr>
              <w:t>Change</w:t>
            </w:r>
          </w:p>
        </w:tc>
        <w:tc>
          <w:tcPr>
            <w:tcW w:w="600" w:type="dxa"/>
            <w:vAlign w:val="bottom"/>
          </w:tcPr>
          <w:p>
            <w:pPr>
              <w:jc w:val="center"/>
              <w:ind w:right="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4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jc w:val="right"/>
              <w:ind w:right="264"/>
              <w:spacing w:after="0"/>
              <w:rPr>
                <w:sz w:val="20"/>
                <w:szCs w:val="20"/>
                <w:color w:val="auto"/>
              </w:rPr>
            </w:pPr>
            <w:r>
              <w:rPr>
                <w:rFonts w:ascii="Arial" w:cs="Arial" w:eastAsia="Arial" w:hAnsi="Arial"/>
                <w:sz w:val="15"/>
                <w:szCs w:val="15"/>
                <w:b w:val="1"/>
                <w:bCs w:val="1"/>
                <w:color w:val="auto"/>
              </w:rPr>
              <w:t>%</w:t>
            </w:r>
          </w:p>
        </w:tc>
      </w:tr>
      <w:tr>
        <w:trPr>
          <w:trHeight w:val="19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Research and development expense:</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199"/>
        </w:trPr>
        <w:tc>
          <w:tcPr>
            <w:tcW w:w="3600" w:type="dxa"/>
            <w:vAlign w:val="bottom"/>
          </w:tcPr>
          <w:p>
            <w:pPr>
              <w:ind w:left="14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5,422</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2,783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2,639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right="4"/>
              <w:spacing w:after="0"/>
              <w:rPr>
                <w:sz w:val="20"/>
                <w:szCs w:val="20"/>
                <w:color w:val="auto"/>
              </w:rPr>
            </w:pPr>
            <w:r>
              <w:rPr>
                <w:rFonts w:ascii="Arial" w:cs="Arial" w:eastAsia="Arial" w:hAnsi="Arial"/>
                <w:sz w:val="15"/>
                <w:szCs w:val="15"/>
                <w:color w:val="auto"/>
                <w:w w:val="93"/>
              </w:rPr>
              <w:t>95%</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13,863</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8,340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5,523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66 %</w:t>
            </w:r>
          </w:p>
        </w:tc>
      </w:tr>
      <w:tr>
        <w:trPr>
          <w:trHeight w:val="206"/>
        </w:trPr>
        <w:tc>
          <w:tcPr>
            <w:tcW w:w="3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Direct research and development expense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right="4"/>
              <w:spacing w:after="0"/>
              <w:rPr>
                <w:sz w:val="20"/>
                <w:szCs w:val="20"/>
                <w:color w:val="auto"/>
              </w:rPr>
            </w:pPr>
            <w:r>
              <w:rPr>
                <w:rFonts w:ascii="Arial" w:cs="Arial" w:eastAsia="Arial" w:hAnsi="Arial"/>
                <w:sz w:val="15"/>
                <w:szCs w:val="15"/>
                <w:color w:val="auto"/>
                <w:w w:val="93"/>
              </w:rPr>
              <w:t>102%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r>
      <w:tr>
        <w:trPr>
          <w:trHeight w:val="199"/>
        </w:trPr>
        <w:tc>
          <w:tcPr>
            <w:tcW w:w="3600" w:type="dxa"/>
            <w:vAlign w:val="bottom"/>
          </w:tcPr>
          <w:p>
            <w:pPr>
              <w:ind w:left="140"/>
              <w:spacing w:after="0"/>
              <w:rPr>
                <w:sz w:val="20"/>
                <w:szCs w:val="20"/>
                <w:color w:val="auto"/>
              </w:rPr>
            </w:pPr>
            <w:r>
              <w:rPr>
                <w:rFonts w:ascii="Arial" w:cs="Arial" w:eastAsia="Arial" w:hAnsi="Arial"/>
                <w:sz w:val="15"/>
                <w:szCs w:val="15"/>
                <w:color w:val="auto"/>
              </w:rPr>
              <w:t>Professional fees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right="24"/>
              <w:spacing w:after="0"/>
              <w:rPr>
                <w:sz w:val="20"/>
                <w:szCs w:val="20"/>
                <w:color w:val="auto"/>
              </w:rPr>
            </w:pPr>
            <w:r>
              <w:rPr>
                <w:rFonts w:ascii="Arial" w:cs="Arial" w:eastAsia="Arial" w:hAnsi="Arial"/>
                <w:sz w:val="15"/>
                <w:szCs w:val="15"/>
                <w:color w:val="auto"/>
                <w:w w:val="94"/>
              </w:rPr>
              <w:t>(41)%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34 %</w:t>
            </w:r>
          </w:p>
        </w:tc>
      </w:tr>
      <w:tr>
        <w:trPr>
          <w:trHeight w:val="206"/>
        </w:trPr>
        <w:tc>
          <w:tcPr>
            <w:tcW w:w="3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right="4"/>
              <w:spacing w:after="0"/>
              <w:rPr>
                <w:sz w:val="20"/>
                <w:szCs w:val="20"/>
                <w:color w:val="auto"/>
              </w:rPr>
            </w:pPr>
            <w:r>
              <w:rPr>
                <w:rFonts w:ascii="Arial" w:cs="Arial" w:eastAsia="Arial" w:hAnsi="Arial"/>
                <w:sz w:val="15"/>
                <w:szCs w:val="15"/>
                <w:color w:val="auto"/>
                <w:w w:val="93"/>
              </w:rPr>
              <w:t>438%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r>
      <w:tr>
        <w:trPr>
          <w:trHeight w:val="199"/>
        </w:trPr>
        <w:tc>
          <w:tcPr>
            <w:tcW w:w="3600" w:type="dxa"/>
            <w:vAlign w:val="bottom"/>
          </w:tcPr>
          <w:p>
            <w:pPr>
              <w:ind w:left="140"/>
              <w:spacing w:after="0"/>
              <w:rPr>
                <w:sz w:val="20"/>
                <w:szCs w:val="20"/>
                <w:color w:val="auto"/>
              </w:rPr>
            </w:pPr>
            <w:r>
              <w:rPr>
                <w:rFonts w:ascii="Arial" w:cs="Arial" w:eastAsia="Arial" w:hAnsi="Arial"/>
                <w:sz w:val="15"/>
                <w:szCs w:val="15"/>
                <w:color w:val="auto"/>
              </w:rPr>
              <w:t>Other expenses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right="4"/>
              <w:spacing w:after="0"/>
              <w:rPr>
                <w:sz w:val="20"/>
                <w:szCs w:val="20"/>
                <w:color w:val="auto"/>
              </w:rPr>
            </w:pPr>
            <w:r>
              <w:rPr>
                <w:rFonts w:ascii="Arial" w:cs="Arial" w:eastAsia="Arial" w:hAnsi="Arial"/>
                <w:sz w:val="15"/>
                <w:szCs w:val="15"/>
                <w:color w:val="auto"/>
                <w:w w:val="93"/>
              </w:rPr>
              <w:t>765%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157 %</w:t>
            </w:r>
          </w:p>
        </w:tc>
      </w:tr>
      <w:tr>
        <w:trPr>
          <w:trHeight w:val="203"/>
        </w:trPr>
        <w:tc>
          <w:tcPr>
            <w:tcW w:w="3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right="4"/>
              <w:spacing w:after="0"/>
              <w:rPr>
                <w:sz w:val="20"/>
                <w:szCs w:val="20"/>
                <w:color w:val="auto"/>
              </w:rPr>
            </w:pPr>
            <w:r>
              <w:rPr>
                <w:rFonts w:ascii="Arial" w:cs="Arial" w:eastAsia="Arial" w:hAnsi="Arial"/>
                <w:sz w:val="15"/>
                <w:szCs w:val="15"/>
                <w:color w:val="auto"/>
                <w:w w:val="93"/>
              </w:rPr>
              <w:t>81%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63 %</w:t>
            </w:r>
          </w:p>
        </w:tc>
      </w:tr>
      <w:tr>
        <w:trPr>
          <w:trHeight w:val="199"/>
        </w:trPr>
        <w:tc>
          <w:tcPr>
            <w:tcW w:w="360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right="4"/>
              <w:spacing w:after="0"/>
              <w:rPr>
                <w:sz w:val="20"/>
                <w:szCs w:val="20"/>
                <w:color w:val="auto"/>
              </w:rPr>
            </w:pPr>
            <w:r>
              <w:rPr>
                <w:rFonts w:ascii="Arial" w:cs="Arial" w:eastAsia="Arial" w:hAnsi="Arial"/>
                <w:sz w:val="15"/>
                <w:szCs w:val="15"/>
                <w:color w:val="auto"/>
                <w:w w:val="93"/>
              </w:rPr>
              <w:t>98%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19,591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12,618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55 %</w:t>
            </w: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Research and development expense increased $4.0 million, or 98%, for the three months ended September 30, 2021 compared to the same period in 2020. The increase in compensation expense was primarily due to an increase in headcount including the addition of Decipher and HalioDx employees.</w:t>
      </w:r>
    </w:p>
    <w:p>
      <w:pPr>
        <w:spacing w:after="0" w:line="168"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Research and development expense increased $7.0 million, or 55%, for the nine months ended September 30, 2021 compared to the same period in 2020. The increase in compensation expense was primarily due to an increase in headcount, including the addition of Decipher and HalioDx employees.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and nine months ended September 30, 2021 and 2020 is as follows (in thousands of dollars, except percentages):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ind w:left="560"/>
              <w:spacing w:after="0"/>
              <w:rPr>
                <w:sz w:val="20"/>
                <w:szCs w:val="20"/>
                <w:color w:val="auto"/>
              </w:rPr>
            </w:pPr>
            <w:r>
              <w:rPr>
                <w:rFonts w:ascii="Arial" w:cs="Arial" w:eastAsia="Arial" w:hAnsi="Arial"/>
                <w:sz w:val="15"/>
                <w:szCs w:val="15"/>
                <w:b w:val="1"/>
                <w:bCs w:val="1"/>
                <w:color w:val="auto"/>
                <w:w w:val="97"/>
              </w:rPr>
              <w:t>Three Months Ended September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9"/>
          </w:tcPr>
          <w:p>
            <w:pPr>
              <w:ind w:left="600"/>
              <w:spacing w:after="0"/>
              <w:rPr>
                <w:sz w:val="20"/>
                <w:szCs w:val="20"/>
                <w:color w:val="auto"/>
              </w:rPr>
            </w:pPr>
            <w:r>
              <w:rPr>
                <w:rFonts w:ascii="Arial" w:cs="Arial" w:eastAsia="Arial" w:hAnsi="Arial"/>
                <w:sz w:val="15"/>
                <w:szCs w:val="15"/>
                <w:b w:val="1"/>
                <w:bCs w:val="1"/>
                <w:color w:val="auto"/>
                <w:w w:val="97"/>
              </w:rPr>
              <w:t>Nine Months Ended September 30,</w:t>
            </w:r>
          </w:p>
        </w:tc>
        <w:tc>
          <w:tcPr>
            <w:tcW w:w="660" w:type="dxa"/>
            <w:vAlign w:val="bottom"/>
            <w:tcBorders>
              <w:bottom w:val="single" w:sz="8" w:color="auto"/>
            </w:tcBorders>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Arial" w:cs="Arial" w:eastAsia="Arial" w:hAnsi="Arial"/>
                <w:sz w:val="15"/>
                <w:szCs w:val="15"/>
                <w:b w:val="1"/>
                <w:bCs w:val="1"/>
                <w:color w:val="auto"/>
              </w:rPr>
              <w:t>Change</w:t>
            </w:r>
          </w:p>
        </w:tc>
        <w:tc>
          <w:tcPr>
            <w:tcW w:w="620" w:type="dxa"/>
            <w:vAlign w:val="bottom"/>
          </w:tcPr>
          <w:p>
            <w:pPr>
              <w:jc w:val="right"/>
              <w:ind w:right="26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60"/>
              <w:spacing w:after="0"/>
              <w:rPr>
                <w:sz w:val="20"/>
                <w:szCs w:val="20"/>
                <w:color w:val="auto"/>
              </w:rPr>
            </w:pPr>
            <w:r>
              <w:rPr>
                <w:rFonts w:ascii="Arial" w:cs="Arial" w:eastAsia="Arial" w:hAnsi="Arial"/>
                <w:sz w:val="15"/>
                <w:szCs w:val="15"/>
                <w:b w:val="1"/>
                <w:bCs w:val="1"/>
                <w:color w:val="auto"/>
              </w:rPr>
              <w:t>Change</w:t>
            </w:r>
          </w:p>
        </w:tc>
        <w:tc>
          <w:tcPr>
            <w:tcW w:w="660" w:type="dxa"/>
            <w:vAlign w:val="bottom"/>
          </w:tcPr>
          <w:p>
            <w:pPr>
              <w:jc w:val="right"/>
              <w:ind w:right="264"/>
              <w:spacing w:after="0"/>
              <w:rPr>
                <w:sz w:val="20"/>
                <w:szCs w:val="20"/>
                <w:color w:val="auto"/>
              </w:rPr>
            </w:pPr>
            <w:r>
              <w:rPr>
                <w:rFonts w:ascii="Arial" w:cs="Arial" w:eastAsia="Arial" w:hAnsi="Arial"/>
                <w:sz w:val="15"/>
                <w:szCs w:val="15"/>
                <w:b w:val="1"/>
                <w:bCs w:val="1"/>
                <w:color w:val="auto"/>
              </w:rPr>
              <w:t>%</w:t>
            </w:r>
          </w:p>
        </w:tc>
      </w:tr>
      <w:tr>
        <w:trPr>
          <w:trHeight w:val="19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Selling and marketing expense: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199"/>
        </w:trPr>
        <w:tc>
          <w:tcPr>
            <w:tcW w:w="328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15,335</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8,484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6,851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81 %</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40,951</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29,334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11,617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40 %</w:t>
            </w:r>
          </w:p>
        </w:tc>
      </w:tr>
      <w:tr>
        <w:trPr>
          <w:trHeight w:val="206"/>
        </w:trPr>
        <w:tc>
          <w:tcPr>
            <w:tcW w:w="3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 marketing expense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131 %</w:t>
            </w:r>
          </w:p>
        </w:tc>
      </w:tr>
      <w:tr>
        <w:trPr>
          <w:trHeight w:val="199"/>
        </w:trPr>
        <w:tc>
          <w:tcPr>
            <w:tcW w:w="3280" w:type="dxa"/>
            <w:vAlign w:val="bottom"/>
          </w:tcPr>
          <w:p>
            <w:pPr>
              <w:ind w:left="120"/>
              <w:spacing w:after="0"/>
              <w:rPr>
                <w:sz w:val="20"/>
                <w:szCs w:val="20"/>
                <w:color w:val="auto"/>
              </w:rPr>
            </w:pPr>
            <w:r>
              <w:rPr>
                <w:rFonts w:ascii="Arial" w:cs="Arial" w:eastAsia="Arial" w:hAnsi="Arial"/>
                <w:sz w:val="15"/>
                <w:szCs w:val="15"/>
                <w:color w:val="auto"/>
              </w:rPr>
              <w:t>Professional fees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121 %</w:t>
            </w:r>
          </w:p>
        </w:tc>
      </w:tr>
      <w:tr>
        <w:trPr>
          <w:trHeight w:val="206"/>
        </w:trPr>
        <w:tc>
          <w:tcPr>
            <w:tcW w:w="3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47 %</w:t>
            </w:r>
          </w:p>
        </w:tc>
      </w:tr>
      <w:tr>
        <w:trPr>
          <w:trHeight w:val="199"/>
        </w:trPr>
        <w:tc>
          <w:tcPr>
            <w:tcW w:w="32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78 %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22 %</w:t>
            </w:r>
          </w:p>
        </w:tc>
      </w:tr>
      <w:tr>
        <w:trPr>
          <w:trHeight w:val="224"/>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57,628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bl>
    <w:p>
      <w:pPr>
        <w:spacing w:after="0" w:line="266"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Selling and marketing expense increased $10.7 million, or 98%, for the three months ended September 30, 2021 compared to the same period in 2020. The increase in compensation expense was primarily due to temporary furloughs and terminations of employees in 2020 as a result of the COVID-19, pandemic and by the addition of Decipher employees in March 2021 and HalioDx employees in August 2021. The increase in other expenses and direct marketing expenses were primarily due to increased travel and entertainment expenses as COVID-19 travel restrictions have eased.</w:t>
      </w:r>
    </w:p>
    <w:p>
      <w:pPr>
        <w:spacing w:after="0" w:line="190"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Selling and marketing expense increased $18.4 million, or 47%, for the nine months ended September 30, 2021 compared to the same period in 2020. The increase in compensation expense was primarily due to temporary furloughs and terminations of employees in 2020 as a result of the COVID-19 pandemic, and by the addition of Decipher employees in March 2021 and HalioDx employees in August 2021. The increase in direct marketing expenses were primarily due to increased travel and entertainment expenses as COVID-19 travel restrictions have eased.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and nine months ended September 30, 2021 and 2020 is as follows (in thousands of dollars, except percentages):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9"/>
          </w:tcPr>
          <w:p>
            <w:pPr>
              <w:ind w:left="560"/>
              <w:spacing w:after="0"/>
              <w:rPr>
                <w:sz w:val="20"/>
                <w:szCs w:val="20"/>
                <w:color w:val="auto"/>
              </w:rPr>
            </w:pPr>
            <w:r>
              <w:rPr>
                <w:rFonts w:ascii="Arial" w:cs="Arial" w:eastAsia="Arial" w:hAnsi="Arial"/>
                <w:sz w:val="15"/>
                <w:szCs w:val="15"/>
                <w:b w:val="1"/>
                <w:bCs w:val="1"/>
                <w:color w:val="auto"/>
                <w:w w:val="96"/>
              </w:rPr>
              <w:t>Three Months Ended September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9"/>
          </w:tcPr>
          <w:p>
            <w:pPr>
              <w:ind w:left="620"/>
              <w:spacing w:after="0"/>
              <w:rPr>
                <w:sz w:val="20"/>
                <w:szCs w:val="20"/>
                <w:color w:val="auto"/>
              </w:rPr>
            </w:pPr>
            <w:r>
              <w:rPr>
                <w:rFonts w:ascii="Arial" w:cs="Arial" w:eastAsia="Arial" w:hAnsi="Arial"/>
                <w:sz w:val="15"/>
                <w:szCs w:val="15"/>
                <w:b w:val="1"/>
                <w:bCs w:val="1"/>
                <w:color w:val="auto"/>
                <w:w w:val="97"/>
              </w:rPr>
              <w:t>Nine Months Ended September 30,</w:t>
            </w:r>
          </w:p>
        </w:tc>
        <w:tc>
          <w:tcPr>
            <w:tcW w:w="660" w:type="dxa"/>
            <w:vAlign w:val="bottom"/>
            <w:tcBorders>
              <w:bottom w:val="single" w:sz="8" w:color="auto"/>
            </w:tcBorders>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ind w:left="60"/>
              <w:spacing w:after="0"/>
              <w:rPr>
                <w:sz w:val="20"/>
                <w:szCs w:val="20"/>
                <w:color w:val="auto"/>
              </w:rPr>
            </w:pPr>
            <w:r>
              <w:rPr>
                <w:rFonts w:ascii="Arial" w:cs="Arial" w:eastAsia="Arial" w:hAnsi="Arial"/>
                <w:sz w:val="15"/>
                <w:szCs w:val="15"/>
                <w:b w:val="1"/>
                <w:bCs w:val="1"/>
                <w:color w:val="auto"/>
              </w:rPr>
              <w:t>Change</w:t>
            </w:r>
          </w:p>
        </w:tc>
        <w:tc>
          <w:tcPr>
            <w:tcW w:w="620" w:type="dxa"/>
            <w:vAlign w:val="bottom"/>
          </w:tcPr>
          <w:p>
            <w:pPr>
              <w:jc w:val="right"/>
              <w:ind w:right="26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ind w:left="60"/>
              <w:spacing w:after="0"/>
              <w:rPr>
                <w:sz w:val="20"/>
                <w:szCs w:val="20"/>
                <w:color w:val="auto"/>
              </w:rPr>
            </w:pPr>
            <w:r>
              <w:rPr>
                <w:rFonts w:ascii="Arial" w:cs="Arial" w:eastAsia="Arial" w:hAnsi="Arial"/>
                <w:sz w:val="15"/>
                <w:szCs w:val="15"/>
                <w:b w:val="1"/>
                <w:bCs w:val="1"/>
                <w:color w:val="auto"/>
              </w:rPr>
              <w:t>Change</w:t>
            </w:r>
          </w:p>
        </w:tc>
        <w:tc>
          <w:tcPr>
            <w:tcW w:w="660" w:type="dxa"/>
            <w:vAlign w:val="bottom"/>
          </w:tcPr>
          <w:p>
            <w:pPr>
              <w:jc w:val="right"/>
              <w:ind w:right="264"/>
              <w:spacing w:after="0"/>
              <w:rPr>
                <w:sz w:val="20"/>
                <w:szCs w:val="20"/>
                <w:color w:val="auto"/>
              </w:rPr>
            </w:pPr>
            <w:r>
              <w:rPr>
                <w:rFonts w:ascii="Arial" w:cs="Arial" w:eastAsia="Arial" w:hAnsi="Arial"/>
                <w:sz w:val="15"/>
                <w:szCs w:val="15"/>
                <w:b w:val="1"/>
                <w:bCs w:val="1"/>
                <w:color w:val="auto"/>
              </w:rPr>
              <w:t>%</w:t>
            </w:r>
          </w:p>
        </w:tc>
      </w:tr>
      <w:tr>
        <w:trPr>
          <w:trHeight w:val="19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General and administrative expense:</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199"/>
        </w:trPr>
        <w:tc>
          <w:tcPr>
            <w:tcW w:w="328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12,135</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5,706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6,429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113 %</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52,871</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15,798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37,073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235 %</w:t>
            </w:r>
          </w:p>
        </w:tc>
      </w:tr>
      <w:tr>
        <w:trPr>
          <w:trHeight w:val="206"/>
        </w:trPr>
        <w:tc>
          <w:tcPr>
            <w:tcW w:w="3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Professional fees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271 %</w:t>
            </w:r>
          </w:p>
        </w:tc>
      </w:tr>
      <w:tr>
        <w:trPr>
          <w:trHeight w:val="199"/>
        </w:trPr>
        <w:tc>
          <w:tcPr>
            <w:tcW w:w="3280" w:type="dxa"/>
            <w:vAlign w:val="bottom"/>
          </w:tcPr>
          <w:p>
            <w:pPr>
              <w:ind w:left="120"/>
              <w:spacing w:after="0"/>
              <w:rPr>
                <w:sz w:val="20"/>
                <w:szCs w:val="20"/>
                <w:color w:val="auto"/>
              </w:rPr>
            </w:pPr>
            <w:r>
              <w:rPr>
                <w:rFonts w:ascii="Arial" w:cs="Arial" w:eastAsia="Arial" w:hAnsi="Arial"/>
                <w:sz w:val="15"/>
                <w:szCs w:val="15"/>
                <w:color w:val="auto"/>
              </w:rPr>
              <w:t>Occupancy expenses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1,994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82 %</w:t>
            </w:r>
          </w:p>
        </w:tc>
      </w:tr>
      <w:tr>
        <w:trPr>
          <w:trHeight w:val="206"/>
        </w:trPr>
        <w:tc>
          <w:tcPr>
            <w:tcW w:w="3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r>
      <w:tr>
        <w:trPr>
          <w:trHeight w:val="199"/>
        </w:trPr>
        <w:tc>
          <w:tcPr>
            <w:tcW w:w="3280" w:type="dxa"/>
            <w:vAlign w:val="bottom"/>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5,266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3,572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47 %</w:t>
            </w:r>
          </w:p>
        </w:tc>
      </w:tr>
      <w:tr>
        <w:trPr>
          <w:trHeight w:val="203"/>
        </w:trPr>
        <w:tc>
          <w:tcPr>
            <w:tcW w:w="3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(8,197)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46 %</w:t>
            </w:r>
          </w:p>
        </w:tc>
      </w:tr>
      <w:tr>
        <w:trPr>
          <w:trHeight w:val="199"/>
        </w:trPr>
        <w:tc>
          <w:tcPr>
            <w:tcW w:w="328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20,749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8,546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143 %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82,504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24,316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239 %</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General and administrative expense increased $12.2 million for the three months ended September 30, 2021 compared to the same period in 2020. General and administrative expense for the three months ended September 30, 2021 includes costs related to the acquisition of HalioDx, including $2.0 million of stock-based compensation and $3.9 million of professional fees and other costs associated with the transaction. Following the acquisitions of Decipher Biosciences in March 2021 and HalioDx in August 2021, their operations also contributed to the increase in general and administrative expenses. The increase in compensation expense was primarily due to an increase in headcount, including the addition of Decipher and HalioDx employees. The increase in other expenses was primarily due to increased IT costs partially offset by a decrease in the revaluation of the contingent consideration for the NanoString transaction.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General and administrative expense increased $58.2 million for the nine months ended September 30, 2021 compared to the same period in 2020. General and administrative expense for the nine months ended September 30, 2021 includes costs related to the acquisitions of Decipher Biosciences and HalioDx including $27.0 million of stock-based compensation and $18.3 million of professional fees and other costs associated with the transactions. Following the acquisitions, Decipher Biosciences and HalioDx operations also contributed to the increase in general and administrative expenses. The increase in compensation expense was also due to an increase in headcount, including the addition of Decipher and HalioDx employees. The increase in other expenses was primarily due to increased IT costs.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(loss), net</w:t>
      </w:r>
    </w:p>
    <w:p>
      <w:pPr>
        <w:spacing w:after="0" w:line="23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Other income (loss), net, increased $1.3 million for the three months ended September 30, 2021 compared to the same period in 2020, due to an increase of $0.4 million from operations in France related to the French research tax credit during the period and an increase of $0.7 million of unrealized foreign currency gain (loss). The French research tax credits (“crédit d’impôt recherche” or “CIR”) are generated by our wholly owned subsidiary, HalioDx, in connection with its research efforts performed in Marseille, France. The Company recognizes other income from the CIR over time based on when the research and development expenses are incurred.</w:t>
      </w:r>
    </w:p>
    <w:p>
      <w:pPr>
        <w:spacing w:after="0" w:line="208"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Other income (loss), net, decreased $1.2 million for the nine months ended September 30, 2021 compared to the same period in 2020, due to a decrease of $1.2 million of unrealized foreign currency gain(loss) partially offset by an increase of $0.4 million from the French research tax credit during the period.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We recorded an income tax benefit of approximately $1.4 million and $5.3 million for the three and nine months ended September 30, 2021 primarily due to to a partial release of the valuation allowance from the acquisition of Decipher Biosciences which provided a future source of income to support the realization of our deferred tax assets and a current year loss from HalioDx.</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4"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From inception through September 30, 2021, we have been financed primarily through net proceeds from the sale of our equity securities. We have incurred net losses since our inception. For the nine months ended September 30, 2021, we had a net loss of $65.0 million, and as of September 30, 2021, we had an accumulated deficit of $346.6 million. We expect to incur additional losses for the remainder of 2021 and potentially in future years.</w:t>
      </w:r>
    </w:p>
    <w:p>
      <w:pPr>
        <w:spacing w:after="0" w:line="184"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5"/>
          <w:szCs w:val="15"/>
          <w:color w:val="auto"/>
        </w:rPr>
        <w:t>We believe our existing cash and cash equivalents of $164.0 million as of September 30, 2021, our available revolving line of credit, and our revenue during the next 12 months will be sufficient to meet our anticipated cash requirements for at least the next 12 months from the filing date of this report. We expect that our near-and longer-term liquidity requirements will continue to consist of costs to run our laboratories, research and development expenses, selling and marketing expenses, general and administrative expenses, working capital, costs to service our Loan and Security Agreement (See Note 7 to our unaudited condensed consolidated financial statements included in this Quarterly Report on Form 10-Q for more information about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including due to the impacts of the COVID-19 pandemic,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Offering of Common Stock</w:t>
      </w:r>
    </w:p>
    <w:p>
      <w:pPr>
        <w:spacing w:after="0" w:line="210"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On February 9,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approximately $593.8 million, after deducting underwriting discounts and commissions and offering expenses of $38.7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and Security Agreement</w:t>
      </w:r>
    </w:p>
    <w:p>
      <w:pPr>
        <w:spacing w:after="0" w:line="210"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w:t>
      </w:r>
    </w:p>
    <w:p>
      <w:pPr>
        <w:spacing w:after="0" w:line="21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We may prepay the outstanding principal amount under the Term Loan plus accrued and unpaid interest and, if the Term Loan is repaid in full, a prepayment premium of $250,000. If the Loan and Security Agreement is terminated before maturity, then a termination fee equal to 1% of the Revolving Line of Credit, or $0.1 million, will be due. In addition, a final payment on the Term Loan in the amount of $1.2 million is due upon the earlier of the maturity date of the Term Loan or its payment in full. In January 2019, May 2019 and August 2020, we prepaid $12.5 million, $12.4 million and $0.1 million of the principal amount of the Term Loan Advance, respectively, and did not incur any prepayment premium as we did not repay the Term Loan Advance in full. As of September 30, 2021, the principal balance outstanding was one dollar.</w:t>
      </w:r>
    </w:p>
    <w:p>
      <w:pPr>
        <w:spacing w:after="0" w:line="20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Loan and Security Agreement contains customary representations, warranties, and events of default, as well as affirmative and negative covenants. As of September 30, 2021, we were in compliance with debt covenants.</w:t>
      </w:r>
    </w:p>
    <w:p>
      <w:pPr>
        <w:spacing w:after="0" w:line="16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Our obligations under the Loan and Security Agreement are secured by substantially all of our assets (excluding intellectual property), subject to certain customary exceptions.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cash flows for the nine months ended September 30, 2021 and 2020 (in thousands of dollars):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0" w:type="dxa"/>
            <w:vAlign w:val="bottom"/>
          </w:tcPr>
          <w:p>
            <w:pPr>
              <w:spacing w:after="0"/>
              <w:rPr>
                <w:sz w:val="17"/>
                <w:szCs w:val="17"/>
                <w:color w:val="auto"/>
              </w:rPr>
            </w:pPr>
          </w:p>
        </w:tc>
        <w:tc>
          <w:tcPr>
            <w:tcW w:w="3140" w:type="dxa"/>
            <w:vAlign w:val="bottom"/>
            <w:tcBorders>
              <w:bottom w:val="single" w:sz="8" w:color="auto"/>
            </w:tcBorders>
            <w:gridSpan w:val="4"/>
          </w:tcPr>
          <w:p>
            <w:pPr>
              <w:ind w:left="780"/>
              <w:spacing w:after="0"/>
              <w:rPr>
                <w:sz w:val="20"/>
                <w:szCs w:val="20"/>
                <w:color w:val="auto"/>
              </w:rPr>
            </w:pPr>
            <w:r>
              <w:rPr>
                <w:rFonts w:ascii="Arial" w:cs="Arial" w:eastAsia="Arial" w:hAnsi="Arial"/>
                <w:sz w:val="15"/>
                <w:szCs w:val="15"/>
                <w:b w:val="1"/>
                <w:bCs w:val="1"/>
                <w:color w:val="auto"/>
                <w:w w:val="94"/>
              </w:rPr>
              <w:t>Nine Months Ended September 30,</w:t>
            </w:r>
          </w:p>
        </w:tc>
        <w:tc>
          <w:tcPr>
            <w:tcW w:w="660" w:type="dxa"/>
            <w:vAlign w:val="bottom"/>
            <w:tcBorders>
              <w:bottom w:val="single" w:sz="8" w:color="auto"/>
            </w:tcBorders>
          </w:tcPr>
          <w:p>
            <w:pPr>
              <w:spacing w:after="0"/>
              <w:rPr>
                <w:sz w:val="17"/>
                <w:szCs w:val="17"/>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780"/>
              <w:spacing w:after="0"/>
              <w:rPr>
                <w:sz w:val="20"/>
                <w:szCs w:val="20"/>
                <w:color w:val="auto"/>
              </w:rPr>
            </w:pPr>
            <w:r>
              <w:rPr>
                <w:rFonts w:ascii="Arial" w:cs="Arial" w:eastAsia="Arial" w:hAnsi="Arial"/>
                <w:sz w:val="15"/>
                <w:szCs w:val="15"/>
                <w:b w:val="1"/>
                <w:bCs w:val="1"/>
                <w:color w:val="auto"/>
              </w:rPr>
              <w:t>2021</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2020</w:t>
            </w:r>
          </w:p>
        </w:tc>
        <w:tc>
          <w:tcPr>
            <w:tcW w:w="660" w:type="dxa"/>
            <w:vAlign w:val="bottom"/>
            <w:tcBorders>
              <w:bottom w:val="single" w:sz="8" w:color="auto"/>
            </w:tcBorders>
          </w:tcPr>
          <w:p>
            <w:pPr>
              <w:spacing w:after="0"/>
              <w:rPr>
                <w:sz w:val="17"/>
                <w:szCs w:val="17"/>
                <w:color w:val="auto"/>
              </w:rPr>
            </w:pP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operating activities</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(40,067)</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(11,972)</w:t>
            </w:r>
          </w:p>
        </w:tc>
      </w:tr>
      <w:tr>
        <w:trPr>
          <w:trHeight w:val="199"/>
        </w:trPr>
        <w:tc>
          <w:tcPr>
            <w:tcW w:w="740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(739,591)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(2,949)</w:t>
            </w:r>
          </w:p>
        </w:tc>
      </w:tr>
      <w:tr>
        <w:trPr>
          <w:trHeight w:val="20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596,147</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200,684</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21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Cash used in operating activities for the nine months ended September 30, 2021 was $40.1 million. The net loss of $65.0 million includes non-cash charges of $15.8 million of stock-based compensation expense, $13.2 million of depreciation and amortization, which includes $10.5 million of intangible asset amortization, noncash lease expense of $1.6 million, a $0.3 million expense for the revaluation of the contingent consideration related to the NanoString transaction and $5.3 million of deferred income taxes. Cash used as a result of changes in operating assets and liabilities was $2.3 million primarily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comprised of an increase in accounts receivable of $6.3 million, an increase in prepaid expense and other current assets of $1.9 million and a decrease in operating lease liability of $1.7 million partially offset by an increase in accounts payable of $3.9 million and an increase in accrued liabilities and deferred revenue of $3.3 million.</w:t>
      </w:r>
    </w:p>
    <w:p>
      <w:pPr>
        <w:spacing w:after="0" w:line="17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Cash used in operating activities for the nine months ended September 30, 2020 was $12.0 million. The net loss of $26.9 million includes non-cash charges of $9.4 million of stock-based compensation expense, $5.9 million of depreciation and amortization, which includes $3.8 million of intangible asset amortization, a $1.1 million write-down of supplies, noncash lease expense of $0.7 million and a $0.3 million expense for the revaluation of the contingent consideration related to the NanoString transaction. Cash used as a result of changes in operating assets and liabilities was $2.7 million, primarily comprised of a decrease in accrued liabilities of $3.3 million, a decrease in operating lease liability of $1.0 million, and an increase in prepaid expense and other current assets of $0.9 million, partially offset by a decrease in accounts receivable of $1.7 million and a decrease in supplies of $1.3 million.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21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Cash used in investing activities for the nine months ended September 30, 2021 was $739.6 million consisting of $574.4 million for the acquisition of Decipher Biosciences, $163.6 million for the acquisition of HalioDx and $4.5 million for the acquisition of property and equipment partially offset by $3.0 million of proceeds from the sale of an equity investment.</w:t>
      </w:r>
    </w:p>
    <w:p>
      <w:pPr>
        <w:spacing w:after="0" w:line="17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Cash used in investing activities for the nine months ended September 30, 2020 was $1.9 million for the acquisition of property and equipment and $1.0 million for the purchase of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210"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Cash provided by financing activities for the nine months ended September 30, 2021 was $596.1 million, consisting of $593.8 million in net proceeds from the issuance of common stock in a public offering in February 2021 and $10.6 million in proceeds from the exercise of options to purchase our common stock and the purchase of stock under our Employee Stock Purchase Plan, or ESPP, partially offset by $8.3 million in tax payments during the period related to the vesting of restricted stock units granted to employees.</w:t>
      </w:r>
    </w:p>
    <w:p>
      <w:pPr>
        <w:spacing w:after="0" w:line="180"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Cash provided by financing activities for the nine months ended September 30, 2020 was $200.7 million, consisting of $193.8 million in net proceeds from the issuance of common stock in a public offering in August 2020 and $10.1 million in proceeds from the exercise of options to purchase our common stock and the purchase of stock under our ESPP, partially offset by $3.2 million in tax payments during the period related to the vesting of restricted stock units granted to employees.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4"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5"/>
          <w:szCs w:val="15"/>
          <w:color w:val="auto"/>
        </w:rPr>
        <w:t>As of September 30, 2021, our future principal and end-of-term debt obligation payments due under the Loan and Security Agreement were limited to $1.2 million in 2022. Following the acquisitions of Decipher Biosciences in March 2021 and HalioDx in August 2021, our payments due under our lease obligations are $1.0 million for the remainder of 2021, $8.5 million for the year 2022 to 2023, $8.7 million for the year 2024 to 2025, and $2.5 million for the year 2026 and beyond.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not entered into any off-balance sheet arrangements.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4"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 xml:space="preserve">In December 2019, the Financial Accounting Standards Board, or the FASB, issued Accounting Standards Update, or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This standard simplifies the accounting for income taxes by removing certain exceptions to the general principles in</w:t>
      </w:r>
      <w:r>
        <w:rPr>
          <w:rFonts w:ascii="Arial" w:cs="Arial" w:eastAsia="Arial" w:hAnsi="Arial"/>
          <w:sz w:val="16"/>
          <w:szCs w:val="16"/>
          <w:i w:val="1"/>
          <w:iCs w:val="1"/>
          <w:color w:val="auto"/>
        </w:rPr>
        <w:t xml:space="preserve"> </w:t>
      </w:r>
      <w:r>
        <w:rPr>
          <w:rFonts w:ascii="Arial" w:cs="Arial" w:eastAsia="Arial" w:hAnsi="Arial"/>
          <w:sz w:val="16"/>
          <w:szCs w:val="16"/>
          <w:color w:val="auto"/>
        </w:rPr>
        <w:t>Topic 740. This ASU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The amendments in this ASU also improve consistency and simplify other areas of Topic 740 by clarifying and amending existing guidance. The revised guidance will be applied prospectively and became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effective for us beginning January 1, 2021 and the adoption of ASU 2019-12 did not have a material impact on our condensed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$164.0 million as of September 30, 2021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w:t>
      </w:r>
    </w:p>
    <w:p>
      <w:pPr>
        <w:spacing w:after="0" w:line="23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Included in our cash and cash equivalents as of September 30, 2021 were $5.6 million of bank deposits denominated in Euros. Such Euro denominated deposits carry a degree of risk from changes in currency exchange rates as the gains or losses from changes in exchange rates are included in our net loss and comprehensive loss. In addition, in connection with our acquisition of HalioDx, our exposure to foreign currency risk will increase. As of September 30, 2021 a hypothetical 10% appreciation or depreciation of the U.S. dollar relative to the Euro would have increased or decreased our net loss by $0.6 million for nine months ended September 30, 2021.</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(a) Evaluation of Disclosure Controls and Procedures</w:t>
      </w:r>
    </w:p>
    <w:p>
      <w:pPr>
        <w:spacing w:after="0" w:line="240"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(b) Changes in Internal Control over Financial Reporting</w:t>
      </w:r>
    </w:p>
    <w:p>
      <w:pPr>
        <w:spacing w:after="0" w:line="240"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We continuously seek to improve the efficiency and effectiveness of our internal controls. This results in refinements to processes throughout our Company. We acquired Decipher Biosciences in March 2021 and HalioDx in August 2021. We are in the process of incorporating Decipher Biosciences and HalioDx into our evaluation of internal control over financial reporting. Other than the two acquisitions, there were no changes in our internal control over financial reporting (as such term is defined in Rule 13a-15(f) under the Exchange Act) identified in connection with the evaluation identified above that occurred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Risk Factors</w:t>
      </w:r>
    </w:p>
    <w:p>
      <w:pPr>
        <w:spacing w:after="0" w:line="227"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91" w:lineRule="exact"/>
        <w:rPr>
          <w:sz w:val="20"/>
          <w:szCs w:val="20"/>
          <w:color w:val="auto"/>
        </w:rPr>
      </w:pPr>
    </w:p>
    <w:p>
      <w:pPr>
        <w:ind w:left="600" w:hanging="294"/>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We have a history of losses, and we expect to incur net losses for the foreseeable future and may never achieve or sustain profitability.</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Our financial results currently depend mainly on sales of our Afirma and Decipher Prostate tests, and we will need to generate sufficient revenue from these and other diagnostic solutions to grow our business.</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11"/>
        </w:numPr>
        <w:rPr>
          <w:rFonts w:ascii="Arial" w:cs="Arial" w:eastAsia="Arial" w:hAnsi="Arial"/>
          <w:sz w:val="15"/>
          <w:szCs w:val="15"/>
          <w:color w:val="231F20"/>
        </w:rPr>
      </w:pPr>
      <w:r>
        <w:rPr>
          <w:rFonts w:ascii="Arial" w:cs="Arial" w:eastAsia="Arial" w:hAnsi="Arial"/>
          <w:sz w:val="15"/>
          <w:szCs w:val="15"/>
          <w:color w:val="231F20"/>
        </w:rPr>
        <w:t>If we are unable to grow sales of our portfolio of tests including Percepta, Envisia, Decipher Bladder, Prosigna and Immunoscore, our business may suffer.</w:t>
      </w:r>
    </w:p>
    <w:p>
      <w:pPr>
        <w:spacing w:after="0" w:line="81" w:lineRule="exact"/>
        <w:rPr>
          <w:rFonts w:ascii="Arial" w:cs="Arial" w:eastAsia="Arial" w:hAnsi="Arial"/>
          <w:sz w:val="15"/>
          <w:szCs w:val="15"/>
          <w:color w:val="231F20"/>
        </w:rPr>
      </w:pPr>
    </w:p>
    <w:p>
      <w:pPr>
        <w:ind w:left="620" w:hanging="314"/>
        <w:spacing w:after="0" w:line="272" w:lineRule="auto"/>
        <w:tabs>
          <w:tab w:leader="none" w:pos="616"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We depend on a few payers for a significant portion of our revenue and if one or more significant payers stops providing reimbursement or decreases the amount of reimbursement for our tests, our revenue could decline.</w:t>
      </w:r>
    </w:p>
    <w:p>
      <w:pPr>
        <w:spacing w:after="0" w:line="13" w:lineRule="exact"/>
        <w:rPr>
          <w:rFonts w:ascii="Arial" w:cs="Arial" w:eastAsia="Arial" w:hAnsi="Arial"/>
          <w:sz w:val="17"/>
          <w:szCs w:val="17"/>
          <w:color w:val="231F20"/>
        </w:rPr>
      </w:pPr>
    </w:p>
    <w:p>
      <w:pPr>
        <w:ind w:left="620" w:hanging="314"/>
        <w:spacing w:after="0" w:line="272" w:lineRule="auto"/>
        <w:tabs>
          <w:tab w:leader="none" w:pos="616"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3" w:lineRule="exact"/>
        <w:rPr>
          <w:rFonts w:ascii="Arial" w:cs="Arial" w:eastAsia="Arial" w:hAnsi="Arial"/>
          <w:sz w:val="17"/>
          <w:szCs w:val="17"/>
          <w:color w:val="231F20"/>
        </w:rPr>
      </w:pPr>
    </w:p>
    <w:p>
      <w:pPr>
        <w:ind w:left="600" w:hanging="294"/>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We may experience limits on our revenue if physicians decide not to order our tests or if patients decide not to use our tests.</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If we fail to comply with federal, state and foreign licensing requirements, we could lose the ability to perform our tests or experience disruptions to our business.</w:t>
      </w:r>
    </w:p>
    <w:p>
      <w:pPr>
        <w:spacing w:after="0" w:line="13" w:lineRule="exact"/>
        <w:rPr>
          <w:rFonts w:ascii="Arial" w:cs="Arial" w:eastAsia="Arial" w:hAnsi="Arial"/>
          <w:sz w:val="17"/>
          <w:szCs w:val="17"/>
          <w:color w:val="231F20"/>
        </w:rPr>
      </w:pPr>
    </w:p>
    <w:p>
      <w:pPr>
        <w:ind w:left="620" w:hanging="314"/>
        <w:spacing w:after="0" w:line="272" w:lineRule="auto"/>
        <w:tabs>
          <w:tab w:leader="none" w:pos="616"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3" w:lineRule="exact"/>
        <w:rPr>
          <w:rFonts w:ascii="Arial" w:cs="Arial" w:eastAsia="Arial" w:hAnsi="Arial"/>
          <w:sz w:val="17"/>
          <w:szCs w:val="17"/>
          <w:color w:val="231F20"/>
        </w:rPr>
      </w:pPr>
    </w:p>
    <w:p>
      <w:pPr>
        <w:ind w:left="600" w:hanging="294"/>
        <w:spacing w:after="0"/>
        <w:tabs>
          <w:tab w:leader="none" w:pos="60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Our future success and international growth depends, in part, on our ability to adapt select tests to be performed on the nCounter Analysis System.</w:t>
      </w:r>
    </w:p>
    <w:p>
      <w:pPr>
        <w:spacing w:after="0" w:line="69" w:lineRule="exact"/>
        <w:rPr>
          <w:rFonts w:ascii="Arial" w:cs="Arial" w:eastAsia="Arial" w:hAnsi="Arial"/>
          <w:sz w:val="16"/>
          <w:szCs w:val="16"/>
          <w:color w:val="231F20"/>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If we are not successful in advancing our collaborations with Johnson &amp; Johnson and others, or if our general strategy of seeking growth through such collaborations is not successful, our prospects and financial condition will suffer.</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COVID-19 has had an adverse effect on our business, results of operations and financial condition.</w:t>
      </w:r>
    </w:p>
    <w:p>
      <w:pPr>
        <w:spacing w:after="0" w:line="58" w:lineRule="exact"/>
        <w:rPr>
          <w:rFonts w:ascii="Arial" w:cs="Arial" w:eastAsia="Arial" w:hAnsi="Arial"/>
          <w:sz w:val="17"/>
          <w:szCs w:val="17"/>
          <w:color w:val="231F20"/>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We rely on sole suppliers for some of the reagents, equipment, and other materials used to perform our tests, and we may not be able to find replacements or transition to alternative suppliers.</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We depend on a specialized cytopathology practice to perform the cytopathology component of our Afirma test, and our ability to perform our diagnostic solution would be harmed if we were required to secure a replacement.</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Our quarterly operating results may fluctuate significantly or may fall below the expectations of investors or securities analysts for various reasons, including in response to the way we recognize revenue, which may cause our stock price to fluctuate or decline.</w:t>
      </w:r>
    </w:p>
    <w:p>
      <w:pPr>
        <w:spacing w:after="0" w:line="13" w:lineRule="exact"/>
        <w:rPr>
          <w:rFonts w:ascii="Arial" w:cs="Arial" w:eastAsia="Arial" w:hAnsi="Arial"/>
          <w:sz w:val="17"/>
          <w:szCs w:val="17"/>
          <w:color w:val="231F20"/>
        </w:rPr>
      </w:pPr>
    </w:p>
    <w:p>
      <w:pPr>
        <w:ind w:left="600" w:hanging="294"/>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We may be unable to manage our future growth effectively, which could make it difficult to execute our business strategy.</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If we are unable to support demand for our commercial tests, our business could suffer.</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Changes in healthcare policy, including legislation reforming the U.S. healthcare system, may have a material adverse effect on our financial condition and operations.</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Because of Medicare billing rules, we may not receive reimbursement for all tests provided to Medicare patients.</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FDA or foreign authorities were to begin regulating those of our tests that are not currently regulated, we could incur substantial costs and delays associated with trying to obtain premarket clearance, approval or certification.</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Obtaining marketing authorization or certification by the FDA and foreign regulatory authorities for our diagnostic tests will take significant time and require significant research, development and clinical study expenditures and ultimately may not succeed.</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are unable to obtain marketing authorizations, approvals, clearances or certifications to market Prosigna in additional countries or if regulatory limitations are placed on our diagnostic kit products, our business and growth will be harmed.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00" w:hanging="294"/>
        <w:spacing w:after="0"/>
        <w:tabs>
          <w:tab w:leader="none" w:pos="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are subject to ongoing and extensive regulatory requirements, and our failure to comply with these requirements could substantially harm our business.</w:t>
      </w:r>
    </w:p>
    <w:p>
      <w:pPr>
        <w:spacing w:after="0" w:line="81" w:lineRule="exact"/>
        <w:rPr>
          <w:rFonts w:ascii="Arial" w:cs="Arial" w:eastAsia="Arial" w:hAnsi="Arial"/>
          <w:sz w:val="15"/>
          <w:szCs w:val="15"/>
          <w:color w:val="auto"/>
        </w:rPr>
      </w:pPr>
    </w:p>
    <w:p>
      <w:pPr>
        <w:ind w:left="600" w:hanging="294"/>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are unable to compete successfully, we may be unable to increase or sustain our revenue or achieve profitability.</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experienced significant changes in our senior management team, the loss of one or more of our executive officers, or any inability to attract and retain highly-skilled employees and other key personnel could adversely affect our business.</w:t>
      </w:r>
    </w:p>
    <w:p>
      <w:pPr>
        <w:spacing w:after="0" w:line="13" w:lineRule="exact"/>
        <w:rPr>
          <w:rFonts w:ascii="Arial" w:cs="Arial" w:eastAsia="Arial" w:hAnsi="Arial"/>
          <w:sz w:val="17"/>
          <w:szCs w:val="17"/>
          <w:color w:val="auto"/>
        </w:rPr>
      </w:pPr>
    </w:p>
    <w:p>
      <w:pPr>
        <w:ind w:left="600" w:hanging="294"/>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Billing for our diagnostic tests is complex, and we must dedicate substantial time and resources to the billing process to be paid.</w:t>
      </w:r>
    </w:p>
    <w:p>
      <w:pPr>
        <w:spacing w:after="0" w:line="58" w:lineRule="exact"/>
        <w:rPr>
          <w:rFonts w:ascii="Arial" w:cs="Arial" w:eastAsia="Arial" w:hAnsi="Arial"/>
          <w:sz w:val="17"/>
          <w:szCs w:val="17"/>
          <w:color w:val="auto"/>
        </w:rPr>
      </w:pPr>
    </w:p>
    <w:p>
      <w:pPr>
        <w:ind w:left="620" w:hanging="314"/>
        <w:spacing w:after="0" w:line="317" w:lineRule="auto"/>
        <w:tabs>
          <w:tab w:leader="none" w:pos="616" w:val="left"/>
        </w:tabs>
        <w:numPr>
          <w:ilvl w:val="0"/>
          <w:numId w:val="12"/>
        </w:numPr>
        <w:rPr>
          <w:rFonts w:ascii="Arial" w:cs="Arial" w:eastAsia="Arial" w:hAnsi="Arial"/>
          <w:sz w:val="15"/>
          <w:szCs w:val="15"/>
          <w:color w:val="auto"/>
        </w:rPr>
      </w:pPr>
      <w:r>
        <w:rPr>
          <w:rFonts w:ascii="Arial" w:cs="Arial" w:eastAsia="Arial" w:hAnsi="Arial"/>
          <w:sz w:val="15"/>
          <w:szCs w:val="15"/>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ind w:left="620" w:hanging="314"/>
        <w:spacing w:after="0" w:line="272"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Developing new products involves a lengthy and complex process, and if we do not achieve our projected development and commercialization goals in the time frames we announce and expect, our business will suffer and our stock price may decline.</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International expansion of our business exposes us to business, personnel, regulatory, political, operational, financial, and economic risks associated with doing business outside of the United States.</w:t>
      </w:r>
    </w:p>
    <w:p>
      <w:pPr>
        <w:spacing w:after="0" w:line="13" w:lineRule="exact"/>
        <w:rPr>
          <w:rFonts w:ascii="Arial" w:cs="Arial" w:eastAsia="Arial" w:hAnsi="Arial"/>
          <w:sz w:val="17"/>
          <w:szCs w:val="17"/>
          <w:color w:val="auto"/>
        </w:rPr>
      </w:pPr>
    </w:p>
    <w:p>
      <w:pPr>
        <w:ind w:left="620" w:hanging="314"/>
        <w:spacing w:after="0" w:line="297" w:lineRule="auto"/>
        <w:tabs>
          <w:tab w:leader="none" w:pos="6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 w:lineRule="exact"/>
        <w:rPr>
          <w:rFonts w:ascii="Arial" w:cs="Arial" w:eastAsia="Arial" w:hAnsi="Arial"/>
          <w:sz w:val="16"/>
          <w:szCs w:val="16"/>
          <w:color w:val="auto"/>
        </w:rPr>
      </w:pPr>
    </w:p>
    <w:p>
      <w:pPr>
        <w:ind w:left="600" w:hanging="294"/>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are unable to protect our intellectual property effectively, our business would be harmed.</w:t>
      </w:r>
    </w:p>
    <w:p>
      <w:pPr>
        <w:spacing w:after="0" w:line="58"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be involved in litigation related to intellectual property, which could be time-intensive and costly and may adversely affect our business, operating results or financial condition.</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2"/>
        </w:numPr>
        <w:rPr>
          <w:rFonts w:ascii="Arial" w:cs="Arial" w:eastAsia="Arial" w:hAnsi="Arial"/>
          <w:sz w:val="17"/>
          <w:szCs w:val="17"/>
          <w:color w:val="231F20"/>
        </w:rPr>
      </w:pPr>
      <w:r>
        <w:rPr>
          <w:rFonts w:ascii="Arial" w:cs="Arial" w:eastAsia="Arial" w:hAnsi="Arial"/>
          <w:sz w:val="17"/>
          <w:szCs w:val="17"/>
          <w:color w:val="231F20"/>
        </w:rPr>
        <w:t>The recently completed acquisitions of HalioDx and Decipher Biosciences presents risks and we must successfully integrate the HalioDx and Decipher Biosciences businesses to realize the financial goals that we currently anticipate.</w:t>
      </w:r>
    </w:p>
    <w:p>
      <w:pPr>
        <w:spacing w:after="0" w:line="13" w:lineRule="exact"/>
        <w:rPr>
          <w:rFonts w:ascii="Arial" w:cs="Arial" w:eastAsia="Arial" w:hAnsi="Arial"/>
          <w:sz w:val="17"/>
          <w:szCs w:val="17"/>
          <w:color w:val="231F20"/>
        </w:rPr>
      </w:pPr>
    </w:p>
    <w:p>
      <w:pPr>
        <w:ind w:left="620" w:hanging="314"/>
        <w:spacing w:after="0" w:line="272" w:lineRule="auto"/>
        <w:tabs>
          <w:tab w:leader="none" w:pos="616" w:val="left"/>
        </w:tabs>
        <w:numPr>
          <w:ilvl w:val="0"/>
          <w:numId w:val="12"/>
        </w:numPr>
        <w:rPr>
          <w:rFonts w:ascii="Arial" w:cs="Arial" w:eastAsia="Arial" w:hAnsi="Arial"/>
          <w:sz w:val="17"/>
          <w:szCs w:val="17"/>
          <w:color w:val="231F20"/>
        </w:rPr>
      </w:pPr>
      <w:r>
        <w:rPr>
          <w:rFonts w:ascii="Arial" w:cs="Arial" w:eastAsia="Arial" w:hAnsi="Arial"/>
          <w:sz w:val="17"/>
          <w:szCs w:val="17"/>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3" w:lineRule="exact"/>
        <w:rPr>
          <w:rFonts w:ascii="Arial" w:cs="Arial" w:eastAsia="Arial" w:hAnsi="Arial"/>
          <w:sz w:val="17"/>
          <w:szCs w:val="17"/>
          <w:color w:val="231F20"/>
        </w:rPr>
      </w:pPr>
    </w:p>
    <w:p>
      <w:pPr>
        <w:ind w:left="600" w:hanging="294"/>
        <w:spacing w:after="0"/>
        <w:tabs>
          <w:tab w:leader="none" w:pos="600" w:val="left"/>
        </w:tabs>
        <w:numPr>
          <w:ilvl w:val="0"/>
          <w:numId w:val="12"/>
        </w:numPr>
        <w:rPr>
          <w:rFonts w:ascii="Arial" w:cs="Arial" w:eastAsia="Arial" w:hAnsi="Arial"/>
          <w:sz w:val="17"/>
          <w:szCs w:val="17"/>
          <w:color w:val="231F20"/>
        </w:rPr>
      </w:pPr>
      <w:r>
        <w:rPr>
          <w:rFonts w:ascii="Arial" w:cs="Arial" w:eastAsia="Arial" w:hAnsi="Arial"/>
          <w:sz w:val="17"/>
          <w:szCs w:val="17"/>
          <w:color w:val="auto"/>
        </w:rPr>
        <w:t>Our stock price may be volatile, and you may not be able to sell shares of our common stock at or above the price you paid.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a history of losses, and we expect to incur net losses for the foreseeable future and may never achieve or sustain profitability.</w:t>
      </w:r>
    </w:p>
    <w:p>
      <w:pPr>
        <w:spacing w:after="0" w:line="236"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We have incurred net losses since our inception. For the nine months ended September 30, 2021, we had a net loss of $65 million and as of September 30, 2021, we had an accumulated deficit of $347 million. We expect to incur additional losses in the future, and we may never achieve revenue sufficient to offset our expenses. We expect to continue to devote substantially all of our resources to increase adoption of and reimbursement for our Afirma, Percepta, Decipher, Envisia, Immunoscore and Prosigna tests, and the development of additional tests. We may never achieve or sustain profitability, and our failure to achieve and sustain profitability in the future could cause the market price of our common stock to decline.</w:t>
      </w:r>
    </w:p>
    <w:p>
      <w:pPr>
        <w:spacing w:after="0" w:line="192"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financial results currently depend mainly on sales of our Afirma and Decipher Prostate tests, and we will need to generate sufficient revenue from these and other diagnostic solutions to grow our business.</w:t>
      </w:r>
    </w:p>
    <w:p>
      <w:pPr>
        <w:spacing w:after="0" w:line="191"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Most of our revenue to date has been derived from the sale of our Afirma tests, which are used in the diagnosis of thyroid cancer. Our second largest source of revenue in the third quarter of 2021 was our urological tests, which we began marketing and selling following our acquisition of Decipher Biosciences in March 2021. Over the next few years, we expect to continue to derive a substantial portion of our revenue from sales of our Afirma and Decipher tests. To date, we have derived a smaller portion of our revenue from our Percepta, Prosigna and Envisia tests. Once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will be able to successfully commercialize solutions for these diseases and obtain the evidence and coverage decisions from payers. If we are unable to increase sales and expand reimbursement for our Afirma, Percepta, Envisia, Decipher, Immunoscore and Prosigna tests, or develop and commercialize other solutions, our revenue and our ability to achieve and sustain profitability would be impaired, and the market price of our common stock could decline.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are unable to grow sales of our portfolio of tests including Percepta, Envisia, Decipher Bladder, Prosigna and Immunoscore, our business may suffer.</w:t>
      </w:r>
    </w:p>
    <w:p>
      <w:pPr>
        <w:spacing w:after="0" w:line="259"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We have focused on developing a robust pulmonology business, led by our Percepta and Envisia products. In addition, in 2020, we acquired the Prosigna breast cancer test and, in 2021 we acquired the Decipher Bladder and Immunoscore tests. Although these products have not contributed significant revenue to date, we expect them to grow and become an increasingly important component of our strategic focus, as well as our results of operations. We plan to introduce a nasal swab test for early lung cancer detection which, together with our Percepta Genomic Atlas and the Percepta GSC, we expect to form a comprehensive lung cancer testing portfolio that we believe may improve lung cancer diagnosis and treatment decisions. However, due to the COVID-19 pandemic, pulmonologists have been focused on treatment planning and care for COVID-19 patients and we believe fewer bronchoscopy procedures have been performed where Percepta and Envisia brushings and biopsies have been taken and sent to us for genomic testing. There can be no assurance that physicians will perform bronchoscopy procedures or send brushings or biopsies to us in sufficient volumes for our revenue to recover to pre-pandemic levels or to meet our projections. Additionally, we anticipate expanding the reach of our lung, urology, bladder and breast cancer tests to international markets through the distribution of the nCounter Analysis System; if our distribution of this platform is unsuccessful, or if our products are not widely adopted internationally, our business and results of operations may be adversely affected.</w:t>
      </w:r>
    </w:p>
    <w:p>
      <w:pPr>
        <w:spacing w:after="0" w:line="187"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91"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Revenue for tests performed on patients covered by Medicare and UnitedHealthcare Group was 31% and 10%, respectively, of our revenue for the nine months ended September 30, 2021, compared with 24% and 11%, respectively, for the nine months ended September 30, 2020.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an LCD.</w:t>
      </w:r>
    </w:p>
    <w:p>
      <w:pPr>
        <w:spacing w:after="0" w:line="19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20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We submitted the dossier of clinical evidence needed to obtain Medicare coverage for the Envisia Genomic Classifier through the MolDX technical assessment process in 2018, and received Medicare coverage for the classifier, with an effective date of April 1, 2019.</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 LCD was issued for Prosigna by Palmetto GBA in August 2015, which has been in effect since October 1, 2015.</w:t>
      </w:r>
    </w:p>
    <w:p>
      <w:pPr>
        <w:spacing w:after="0" w:line="23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Prostate tests were assigned a new American Medical Association Current Procedural Terminology code, or CPT code, 81542, for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20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HalioDx’s Immunoscore test is not subject to a coverage policy from Medicare or any of the MACs. Immunoscore has been assigned CPT code 0261U effective October 1, 2021.</w:t>
      </w:r>
    </w:p>
    <w:p>
      <w:pPr>
        <w:spacing w:after="0" w:line="191"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On a five-year rotational basis, Medicare requests bids for its regional MAC services. Any future changes in the MAC processing or coding for Medicare claims for the Afirma, Percepta, Decipher or Envisia tests, for Prosigna, or for Immunoscore, could result in a change in the coverage or reimbursement rates for such products, or the loss of coverage, and could also result in increased difficulties in obtaining and maintaining coverage for future products.</w:t>
      </w:r>
    </w:p>
    <w:p>
      <w:pPr>
        <w:spacing w:after="0" w:line="184"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Coronavirus Aid, Relief, and Economic Security, or CARES Act, Congress further delayed the next reporting period to 2022 for final payments made between January 1 and June 30, 2019, extending the applicability of the payment rates based on 2017 reporting through December 31, 2022. If going forward the rate is negatively updated, it may materially impact our average selling price of the test and therefore revenue.</w:t>
      </w:r>
    </w:p>
    <w:p>
      <w:pPr>
        <w:spacing w:after="0" w:line="184"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New CPT Proprietary Laboratory Analyses, or PLA, codes have also been established for Afirma Xpression Atlas (0204U) and Afirma MTC (0208U), effective October 1, 2020. CMS has priced 0204U at the same rate of $2,919.60 as CPT 81455. The new payment rates for 81546 and 0204U became effective January 1, 2021. In 2020 CMS did not price 0208U, and instead assigned the code to the “gapfilling” process, under which the individual MACs will set the payment rate for the test in 2021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In July 2021, Veracyte submitted an application to the CPT Editorial Panel to request deletion of 0208U in order to replace the code with two new CPT codes, one for each distinct clinical situation in which Afirma MTC is provided. On October 1, the CPT Editorial Panel deleted CPT code 0208U effective January 1, 2022, so the median of MAC gapfill rates will not take effect on January 1, 2022.</w:t>
      </w:r>
    </w:p>
    <w:p>
      <w:pPr>
        <w:spacing w:after="0" w:line="19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There can be no assurance that the Afirma or Prosigna rates (or the rates for Afirma Xpression Atlas or Afirma MTC) will not decrease during subsequent reporting cycles under PAMA.</w:t>
      </w:r>
    </w:p>
    <w:p>
      <w:pPr>
        <w:spacing w:after="0" w:line="191"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submit claims to Medicare for Percepta using an unlisted code under the MolDX program. A specific CPT code assigned to Percepta may be required to go through the national payment determination process, and there can be no assurance that the Medicare payment rate Percepta receives through this process will not be lower than its current rate. There can also be no assurance that the Medicare payment rate for Percepta will not be reduced when it is set based on the volume-weighted median of private payer rates when we are required to report private payer rates for Percepta under PAMA.</w:t>
      </w:r>
    </w:p>
    <w:p>
      <w:pPr>
        <w:spacing w:after="0" w:line="190"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for the test. Veracyte reported private payer rates for Envisia in March 2021, reflecting final payments between October 1, 2020 and February 28, 2021. The volume-weighted median of these reported rates, which was $5,500, will set the payment rate for Envisia from July 1, 2021 through December 31, 2022, after which Envisia will be priced based on private payer rates collected and reported annually. There can be no assurance that the Medicare payment rate for Envisia will not be reduced when it is set based on the volume-weighted median of private payer rates when we are required to report private payer rates for Envisia under PAMA in subsequent reporting cycles.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submit claims to Medicare for Decipher Prostate Biopsy and Decipher Prostate RP using CPT code 81542. CMS assigned 81542 to the gapfilling process in 2020, and it has been priced effective January 1, 2021 at $3,873, based on CMS’ revision of the median of payment rates set by the MACs through the gapfilling process. There can be no assurance that the Medicare payment rates for Decipher Prostate Biopsy and Decipher Prostate RP will not decrease during a future reporting cycle under PAMA.</w:t>
      </w:r>
    </w:p>
    <w:p>
      <w:pPr>
        <w:spacing w:after="0" w:line="20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We will submit claims to Medicare for Decipher Bladder using CPT code 0016M. CMS assigned 0016M to the gapfilling process in 2021. There is no assurance that the gapfilling process will not result in a lower than expected payment rate for 0016M, or that the Medicare payment rate for Decipher Bladder will not decrease during a future reporting cycle under PAMA.</w:t>
      </w:r>
    </w:p>
    <w:p>
      <w:pPr>
        <w:spacing w:after="0" w:line="20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HalioDx’s Immunoscore test has been assigned CPT code 0261U effective October 1, 2021. The Immunoscore code is currently going through the national payment determination process and will be either crosswalked or assigned to gapfill effective January 1, 2022. There is no assurance that the payment determination process will not result in a lower than expected payment rate for 0261U, or that the Medicare payment rate for Immunoscore will not decrease during a future reporting cycle under PAMA.</w:t>
      </w:r>
    </w:p>
    <w:p>
      <w:pPr>
        <w:spacing w:after="0" w:line="206"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Moreover, 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192"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208" w:lineRule="exact"/>
        <w:rPr>
          <w:sz w:val="20"/>
          <w:szCs w:val="20"/>
          <w:color w:val="auto"/>
        </w:rPr>
      </w:pPr>
    </w:p>
    <w:p>
      <w:pPr>
        <w:jc w:val="both"/>
        <w:ind w:firstLine="122"/>
        <w:spacing w:after="0" w:line="304"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6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1" w:lineRule="exact"/>
        <w:rPr>
          <w:sz w:val="20"/>
          <w:szCs w:val="20"/>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pre-authorized and appropriate for the specific patient;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Since each payer makes its own decision as to whether to establish a coverage policy or enter into a contract to reimburse our tests, seeking these approvals is a time-consuming and costly process.</w:t>
      </w:r>
    </w:p>
    <w:p>
      <w:pPr>
        <w:spacing w:after="0" w:line="191"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We do not have a contracted rate of reimbursement with some payers for our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Percepta, Envisia, Immunoscore and Decipher tests, Prosigna and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our tests.</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expect to continue to experience, a significant reduction in patient demand or physician recommendations, which has and may continue to adversely affect our business.</w:t>
      </w:r>
    </w:p>
    <w:p>
      <w:pPr>
        <w:spacing w:after="0" w:line="209"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globally. Because our Afirma, Percepta, Envisia, Decipher Prostate Biopsy, Decipher Prostate RP, Decipher Bladder, and Immunoscore testing services are performed by our certified laboratories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194"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The strength of the clinical data supporting the use of the Decipher Prostate Biopsy and Decipher Prostate RP tests have led to the tests’ inclusion in national guidelines. For example, in the 2020 NCCN Practice Guidelines for Prostate Cancer, the Decipher Prostate RP test is “recommended” for use to improve therapy decision making. It is the only test to achieve this designation for post-surgery patients with localized prostate cancer. Further, in September 2021, the 2022 NCCN guidelines were released and recommend specific treatment decisions for patients based on their Decipher Prostate RP score.</w:t>
      </w:r>
    </w:p>
    <w:p>
      <w:pPr>
        <w:spacing w:after="0" w:line="190"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or are unable to cause our genomic tests to be included in other influential guidelines, we may be at a disadvantage in gaining market acceptance and market share relative to our competitors.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limits on our revenue if patients decide not to use our tests.</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we have experienced, and may continue to experience, a significant reduction in patient demand, which has and may continue to adversely affect our business.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comply with federal and state licensing requirements, we could lose the ability to perform our tests or experience disruptions to our business.</w:t>
      </w:r>
    </w:p>
    <w:p>
      <w:pPr>
        <w:spacing w:after="0" w:line="259"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If we fail to maintain CLIA certificates in our South San Francisco, California, San Diego, California, Austin, Texas, Marseille, France or Richmond, Virginia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79"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5"/>
          <w:szCs w:val="15"/>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State. We have received approval for the Afirma, Percepta, Envisia, Decipher Prostate and Decipher Bladder tests, and will be seeking approval for the Immunoscore test. We will be required to obtain approval for other tests we may offer in the future. If we were to lose our CLIA certificate or California license for our South San Francisco, San Diego, or Richmond laboratories,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 receipt and storage of fine needle aspirations, or FNAs, as well as the slide preparation for cytopathology, to South San Francisco, which could result in a delay in processing tests during that transition and increased costs. If we were to lose our CLIA certificate for our Marseille or Richmond laboratories, whether as a result of revocation, suspension or limitation, we would no longer be able to perform our Immunoscore test.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7"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91"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As an element of our growth strategy, we may pursue opportunities to license assets or purchase companies or assets that we believe would complement our current business or help us expand into new markets. For example, in December 2019, we acquired the nCounter Analysis System and Prosigna test from NanoString, in March 2021, we acquired Decipher Biosciences, and in August 2021, we acquired HalioDx. We may pursue additional acquisitions of complementary businesses or assets as part of our business strategy. There can be no assurance that we will successfully integrate the assets acquired from such acquisitions into our existing business, in general, or that our 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94"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future success and international growth depends, in part, on our ability to adapt select tests to be performed on the nCounter Analysis System.</w:t>
      </w:r>
    </w:p>
    <w:p>
      <w:pPr>
        <w:spacing w:after="0" w:line="25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Our strategy to expand into international markets depends on our ability to successfully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genomic classifiers to be performed on the nCounter Analysis System, or if the nCounter Analysis System fails to be competitive against other diagnostic tests, our prospects for growth could suffer. In addition, to the extent international markets have existing practices and standards of care that are different than those in the United States, we may face challenges with the adoption of the nCounter Analysis System in international markets.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not successful in advancing our collaborations with Johnson &amp; Johnson and others, our prospects and financial condition will suffer.</w:t>
      </w:r>
    </w:p>
    <w:p>
      <w:pPr>
        <w:spacing w:after="0" w:line="247"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We have previously entered into technology licensing and collaboration arrangements, such as our collaborations with Johnson &amp; Johnson in December 2018, with Acerta Pharma, the hematology research and development arm of AstraZeneca, in December 2019 and with CareDx in May 2020, as well as our investment in MAVIDx in July 2020, which reflect an important element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COVID-19 has had an adverse effect on our business, results of operations and financial condition.</w:t>
      </w:r>
    </w:p>
    <w:p>
      <w:pPr>
        <w:spacing w:after="0" w:line="236"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COVID-19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Changes in our operations in response to COVID-19 or employee illnesses resulting from the pandemic may result in inefficiencies or delays, including in sales and product development efforts and additional costs related to business continuity initiatives, that cannot be fully mitigated through succession planning, employees working remotely or teleconferencing technologies. As of September 30, 2021, the FDA has approved one vaccine and issued Emergency Use Authorizations, or EUAs, for two vaccines. Although vaccines are increasingly available in the United States and Europe, there can be no guarantee that the vaccines will be effective against new strains of the virus or that the vaccines will be broadly accepted. Also there can be no guarantee that federal, state, local and foreign agencies will not continue to take other cautionary steps to combat the virus to reduce the incidence of new cases, which could negatively impact our volumes and revenue and limit our ability to reliably forecast our test volumes and levels of revenue.</w:t>
      </w:r>
    </w:p>
    <w:p>
      <w:pPr>
        <w:spacing w:after="0" w:line="18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91" w:lineRule="exact"/>
        <w:rPr>
          <w:sz w:val="20"/>
          <w:szCs w:val="20"/>
          <w:color w:val="auto"/>
        </w:rPr>
      </w:pPr>
    </w:p>
    <w:p>
      <w:pPr>
        <w:ind w:left="620" w:hanging="314"/>
        <w:spacing w:after="0" w:line="27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not be able to manage our business effectively due to key employees becoming ill, working from home inefficiently and being unable to travel to our facilities.</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and our customers, suppliers, third-party contract manufacturers, and collaboration partners may be prevented from operating worksites, including manufacturing facilities, due to employee illness, reluctance to appear at work or “stay-at-home” regulations.</w:t>
      </w:r>
    </w:p>
    <w:p>
      <w:pPr>
        <w:spacing w:after="0" w:line="190" w:lineRule="exact"/>
        <w:rPr>
          <w:rFonts w:ascii="Arial" w:cs="Arial" w:eastAsia="Arial" w:hAnsi="Arial"/>
          <w:sz w:val="17"/>
          <w:szCs w:val="17"/>
          <w:color w:val="auto"/>
        </w:rPr>
      </w:pPr>
    </w:p>
    <w:p>
      <w:pPr>
        <w:jc w:val="both"/>
        <w:ind w:left="620" w:hanging="314"/>
        <w:spacing w:after="0" w:line="292" w:lineRule="auto"/>
        <w:tabs>
          <w:tab w:leader="none" w:pos="616"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Interruptions in manufacturing (including the sourcing of reagents or supplies) and shipment of our products. We believe the rapid increase in daily testing volumes is consuming reagents and supplies otherwise available to genomic testing companies like ours across the United States. In October 2020, we experienced supply chain disruptions in the supply of plastic materials used in the processing of samples.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these interruptions in manufacturing (including the sourcing of reagents or supplies) may negatively impact our test volumes or levels of revenue.</w:t>
      </w:r>
    </w:p>
    <w:p>
      <w:pPr>
        <w:spacing w:after="0" w:line="234" w:lineRule="exact"/>
        <w:rPr>
          <w:sz w:val="20"/>
          <w:szCs w:val="20"/>
          <w:color w:val="auto"/>
        </w:rPr>
      </w:pPr>
    </w:p>
    <w:p>
      <w:pPr>
        <w:ind w:left="620" w:right="80" w:hanging="314"/>
        <w:spacing w:after="0" w:line="241"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Reduced patient demand for, or provider capacity to deliver, diagnostic testing and elective procedures generally (which may impact our ability to deliver to our revenue estimates).</w:t>
      </w:r>
    </w:p>
    <w:p>
      <w:pPr>
        <w:spacing w:after="0" w:line="20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Disruptions of the operations of our third-party contract manufacturers and suppliers, which could impact our ability to purchase components at efficient prices and in sufficient amounts.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need to raise capital, and if we raise capital by issuing equity securities, our common stock may be diluted.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market price of our common stock may drop or remain volatile.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Inability of healthcare providers to deliver anticipated testing volumes due to temporary or permanent staff attrition as a result of vaccine mandates.</w:t>
      </w:r>
    </w:p>
    <w:p>
      <w:pPr>
        <w:spacing w:after="0" w:line="247" w:lineRule="exact"/>
        <w:rPr>
          <w:rFonts w:ascii="Arial" w:cs="Arial" w:eastAsia="Arial" w:hAnsi="Arial"/>
          <w:sz w:val="16"/>
          <w:szCs w:val="16"/>
          <w:color w:val="auto"/>
        </w:rPr>
      </w:pPr>
    </w:p>
    <w:p>
      <w:pPr>
        <w:ind w:left="600" w:hanging="294"/>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incur significant employee health care costs under our insurance programs.</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extent of the impact of COVID-19 on our business and financial results will depend largely on future developments, including the deployment, efficacy, availability and utilization of vaccines,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206"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and other materials used to perform our tests, and we may not be able to find replacements or transition to alternative suppliers.</w:t>
      </w:r>
    </w:p>
    <w:p>
      <w:pPr>
        <w:spacing w:after="0" w:line="191"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5"/>
          <w:szCs w:val="15"/>
          <w:color w:val="auto"/>
        </w:rPr>
        <w:t>We rely on sole suppliers for critical supply of reagents, equipment and other materials that we use to perform our tests and for the manufacture of the nCounter Analysis System for diagnostic use and Prosigna test kits sold to customers. We also purchase components used in our sample collection kits from sole-source suppliers. Some of these items are unique to these suppliers and vendors. In addition, we utilize a sole source to assemble and distribute our sample collection kits. We rely on NanoString for the supply of the nCounter Analysis System for diagnostic use and Prosigna test kits. As part of the HalioDx Acquisition we intend to migrate manufacture of the test kits for the nCounter from NanoString to HalioDx. 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Over the course of the COVID-19 pandemic, we experienced supply chain disruptions in the supply of plastic materials used in the processing of samples, although this has not resulted in delays in our ability to timely return test results. If these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spacing w:after="0" w:line="185"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91"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92" w:lineRule="exact"/>
        <w:rPr>
          <w:sz w:val="20"/>
          <w:szCs w:val="20"/>
          <w:color w:val="auto"/>
        </w:rPr>
      </w:pPr>
    </w:p>
    <w:p>
      <w:pPr>
        <w:jc w:val="both"/>
        <w:ind w:firstLine="122"/>
        <w:spacing w:after="0" w:line="256"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for various reasons, including in response to the way we recognize revenue, which may cause our stock price to fluctuate or decline.</w:t>
      </w:r>
    </w:p>
    <w:p>
      <w:pPr>
        <w:spacing w:after="0" w:line="192"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Our quarterly financial and operating results depend on sales of our products in the markets we operate and are sensitive to a number of factors, including patient and clinician demand, market condition,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190" w:lineRule="exact"/>
        <w:rPr>
          <w:sz w:val="20"/>
          <w:szCs w:val="20"/>
          <w:color w:val="auto"/>
        </w:rPr>
      </w:pPr>
    </w:p>
    <w:p>
      <w:pPr>
        <w:ind w:left="1220" w:hanging="534"/>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conduct substantial research and development;</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 the necessary testing samples and related data;</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conduct clinical validation studies;</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expend significant funds;</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expand and scale-up our laboratory processes;</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expand and train our sales force;</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gain acceptance from ordering clinicians at a larger number of hospitals;</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gain acceptance from ordering laboratories associated with hospitals and payers; and</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seek and obtain regulatory clearances, approvals or certifications of our new solutions, as required by applicable regulations.</w:t>
      </w:r>
    </w:p>
    <w:p>
      <w:pPr>
        <w:spacing w:after="0" w:line="236"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This process involves a high degree of risk and may take up to several years or more. Our test development and commercialization efforts may be delayed or fail for many reasons, including:</w:t>
      </w:r>
    </w:p>
    <w:p>
      <w:pPr>
        <w:spacing w:after="0" w:line="191" w:lineRule="exact"/>
        <w:rPr>
          <w:sz w:val="20"/>
          <w:szCs w:val="20"/>
          <w:color w:val="auto"/>
        </w:rPr>
      </w:pPr>
    </w:p>
    <w:p>
      <w:pPr>
        <w:ind w:left="1220" w:hanging="53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of the test at the research or development stage;</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difficulty in accessing suitable testing samples, especially testing samples with known clinical results;</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lack of clinical validation data to support the effectiveness of the test;</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resulting from the failure of third-party suppliers or contractors to meet their obligations in a timely and cost-effective manner;</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to obtain or maintain necessary clearances, approvals or certifications to market the test; or</w:t>
      </w:r>
    </w:p>
    <w:p>
      <w:pPr>
        <w:spacing w:after="0" w:line="58" w:lineRule="exact"/>
        <w:rPr>
          <w:rFonts w:ascii="Arial" w:cs="Arial" w:eastAsia="Arial" w:hAnsi="Arial"/>
          <w:sz w:val="17"/>
          <w:szCs w:val="17"/>
          <w:color w:val="auto"/>
        </w:rPr>
      </w:pPr>
    </w:p>
    <w:p>
      <w:pPr>
        <w:ind w:left="1220" w:hanging="53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lack of commercial acceptance by patients, clinicians or third-party payers.</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Few research and development projects result in commercial products, and success in early clinical studies often is not replicated in later studies. At any point, we may abandon development of new diagnostic solutions, or we may be required to expend considerable resources repeating clinical studies, which would adversely impact the timing for generating potential revenues from those new diagnostic solutions. In addition, as we develop diagnostic solutions, we will have to make additional investments in our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trial, which could harm our business.</w:t>
      </w:r>
    </w:p>
    <w:p>
      <w:pPr>
        <w:spacing w:after="0" w:line="194"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As a result, comparing our operating results on a period-to-period basis may not be meaningful. You should not rely on our past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color w:val="auto"/>
        </w:rPr>
        <w:t>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support demand for our commercial tests, our business could suffer.</w:t>
      </w:r>
    </w:p>
    <w:p>
      <w:pPr>
        <w:spacing w:after="0" w:line="236"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91"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179"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5"/>
          <w:szCs w:val="15"/>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2030).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w:t>
      </w:r>
    </w:p>
    <w:p>
      <w:pPr>
        <w:spacing w:after="0" w:line="185" w:lineRule="exact"/>
        <w:rPr>
          <w:sz w:val="20"/>
          <w:szCs w:val="20"/>
          <w:color w:val="auto"/>
        </w:rPr>
      </w:pPr>
    </w:p>
    <w:p>
      <w:pPr>
        <w:jc w:val="both"/>
        <w:ind w:firstLine="380"/>
        <w:spacing w:after="0" w:line="311" w:lineRule="auto"/>
        <w:rPr>
          <w:sz w:val="20"/>
          <w:szCs w:val="20"/>
          <w:color w:val="auto"/>
        </w:rPr>
      </w:pPr>
      <w:r>
        <w:rPr>
          <w:rFonts w:ascii="Arial" w:cs="Arial" w:eastAsia="Arial" w:hAnsi="Arial"/>
          <w:sz w:val="15"/>
          <w:szCs w:val="15"/>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involves the use of a range of rates that fell between zero and 80% of the calculated California-specific Medicare rate and the calculation of a weighted average (based on units billed) of such rates.</w:t>
      </w:r>
    </w:p>
    <w:p>
      <w:pPr>
        <w:spacing w:after="0" w:line="191"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7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6"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84"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PAMA includes a substantial new payment system for clinical laboratory tests under the CLFS. Under PAMA, laboratories that receive the majority of their Medicare revenues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There can be no assurance that the payment rate for Afirma or Prosigna will not decrease in the future or that the payment rates for Afirma Xpression Atlas, Afirma MTC, Percepta, Decipher Prostate Biopsy, Decipher Prostate RP, Decipher Bladder or Immunoscore will not be adversely affected by the PAMA law and regulations.</w:t>
      </w:r>
    </w:p>
    <w:p>
      <w:pPr>
        <w:spacing w:after="0" w:line="183"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208"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09"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In December 2020, in its enactment of the CAA, Congress enacted the No Surprises Act. This law, which takes effect January 1, 2022, prohibits an out-of-network provider from billing a patient at an amount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Details on the applicability of the No Surprises Act, any applicability of the notice and consent exception to advanced tests, and the rules governing the independent dispute resolution process may be determined in rulemaking and subregulatory guidance from HHS, the Department of Labor, and the Department of the Treasury in 2021. The first set of regulations was issued as an Interim Final Rule on July 1, 2021, and the second set was issued as an Interim Final Rule on September 30, 2021. The No Surprises Act, and regulations and subregulatory guidance promulgated thereunder, could limit our ability to achieve payment in full for our testing services.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Because of Medicare billing rules, we may not receive reimbursement for all tests provided to Medicare patients.</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91"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Envisia, Decipher Prostate Biopsy, Decipher Prostate RP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08"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In the CY 2020 Hospital Outpatient Prospective Payment System Proposed Rule, CMS solicited comments on potential revisions to these billing rules that could have impacted our ability to bill Medicare directly for our Afirma, Percepta, Envisia, Decipher Prostate Biopsy, Decipher Prostate RP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0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addition, we must maintain CLIA compliance and certification to sell our tests and be eligible to bill for diagnostic services provided to Medicare beneficiaries.</w:t>
      </w:r>
    </w:p>
    <w:p>
      <w:pPr>
        <w:spacing w:after="0" w:line="191"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the FDA or foreign authorities were to begin regulating those of our tests that are not currently regulated, we could incur substantial costs and delays associated with trying to obtain premarket clearance, approval or certification.</w:t>
      </w:r>
    </w:p>
    <w:p>
      <w:pPr>
        <w:spacing w:after="0" w:line="191"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Envisia, Decipher Prostate Biopsy, Decipher Prostate RP, and Decipher Bladder classifiers, as well as Immunoscore,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7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types of LDTs without requiring new premarket review or quality management requirements but would subject some grandfathered tests to adverse event and malfunction reporting requirements. It also suggests a four-year phased implementation of the premarket review requirements for some types of tests. In a December 2018 statement, the FDA said that there is a need for “a unified approach to the regulation of in vitro clinical tests to protect patient safety, support innovation, and keep pace with the rapidly evolving technology that’s helping us find new treatments for disease.” The FDA listed key principles of an approach it would support.</w:t>
      </w:r>
    </w:p>
    <w:p>
      <w:pPr>
        <w:spacing w:after="0" w:line="174"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released in June 2021.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Similarly, the Verified Innovative Testing in American Laboratories (VITAL) Act was introduced in December 2020 and re-introduced in May 2021. In contrast with the VALID Act, the VITAL Act would prevent FDA from regulating LDTs and would instead assign regulatory authority over LDTs entirely to CMS. We cannot predict whether either of these or other draft bills governing LDTs will become legislation and cannot quantify the effect of such draft bills on our business.</w:t>
      </w:r>
    </w:p>
    <w:p>
      <w:pPr>
        <w:spacing w:after="0" w:line="198"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The HHS issued a public statement on August 9, 2020 purporting to rescind FDA’s policies regarding the premarket review of LDTs. According to the HHS statement, FDA will not require premarket review of LDTs unless it first engages in notice-and-comment rulemaking. Questions remain regarding the scope of the HHS statement’s applicability and whether other FDA regulatory requirements may apply to LDTs. It is also unclear to what extent this remains the policy of HHS since the change in Administration following the U.S. general election in November 2020. There is no guarantee that the HHS policy will not be revised, that legislation reforming the federal government’s regulation of LDTs will not be passed, or that LDTs will otherwise continue to be able to operate without first receiving FDA premarket review. How the HHS policy as well as future legislation by federal and state governments and actions by the FDA will impact the industry remain unclear.</w:t>
      </w:r>
    </w:p>
    <w:p>
      <w:pPr>
        <w:spacing w:after="0" w:line="211"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In addition, changes in the way the European Union, or EU, regulates LDTs could result in additional expenses for offering our current and any future tests or possibly delay or suspend development, or commercialization of such tests. In the EU, LDTs are exempt from the regulations that govern medical devices and in vitro diagnostic medical devices under certain conditions. The EU In Vitro Diagnostic Medical Devices Directive (Directive 98/79/EC), or IVDD, currently governs the exemptions applicable to LDTs. However, the EU regulatory landscape is evolving and when the EU Regulation (EU) 2017/746 of April 5, 2017, repealing Directive 98/79/EC and Commission Decision 2010/227/EU, referred to as the IVD Medical Devices Regulation, or IVDR, becomes applicable on May 26, 2022, the general safety and performance requirements set out in Annex I will also be applicable to devices manufactured and used only within health institutions. The exemptions provided under the IVDR for LDTs remain to be further interpreted and clarified. If our tests do not qualify for an exemption, we may be subject to the full application of the IVDR with respect to some or all of our existing, as well as future, tests, and we would be required to expend additional time and resources to complying with the requirements of the IVDR.</w:t>
      </w:r>
    </w:p>
    <w:p>
      <w:pPr>
        <w:spacing w:after="0" w:line="198"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5"/>
          <w:szCs w:val="15"/>
          <w:color w:val="auto"/>
        </w:rPr>
        <w:t>If the FDA or foreign authorities were to require us to seek clearance, approval or certification for our existing tests or any of our future products for clinical use, we may not be able to obtain such approvals or certifications on a timely basis, or at all. While we believe our Afirma, Percepta, Envisia, Decipher Prostate Biopsy, Decipher Prostate RP and Decipher Bladder classifiers, as well as Immunoscore, would likely qualify for the “grandfathered” tests treatment, there can be no assurance of what the FDA might ultimately require if it issues a rule. If premarket reviews or certifications are required, our business could be negatively impacted if we are required to stop selling our products pending their clearance, approval or certification. In addition, the launch of any new products that we develop could be delayed by the implementation of future FDA or foreign regulations. The cost of complying with premarket review or certification requirements, including obtaining clinical data, could be significant. In addition, future regulation by the FDA or foreign authorities could subject our business to further regulatory risks and costs. 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Some of the materials we use for our tests and that we may use for future tests are labeled for research-use only, or RUO, or investigational-use only, or IUO. In November 2013, the FDA finalized guidance regarding the sale and use of products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or FDC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94"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Obtaining marketing authorization or certification by the FDA and foreign regulatory authorities for our diagnostic tests will take significant time and require significant research, development and clinical study expenditures and ultimately may not succeed.</w:t>
      </w:r>
    </w:p>
    <w:p>
      <w:pPr>
        <w:spacing w:after="0" w:line="191"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We may also be able to obtain marketing authorization through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rather than through a PMA if the 510(k) pathway is not available. In September 2013, Prosigna obtained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194"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6"/>
          <w:szCs w:val="16"/>
          <w:color w:val="auto"/>
        </w:rPr>
        <w:t>In August 2014, the FDA issued a final guidance document titled "In Vitro Companion Diagnostic Devices". In the guidance, the FDA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approved or cleared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Class III devices generally require the approval of a PMA before they can be marketed.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00"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In July 2016, the FDA issued guidance pertaining to the co-development of companion diagnostic tests with a therapeutic product. The FDA explained that while it supports contemporaneous marketing authorizations, if there are any deficiencies in the submissions, the FDA may place a PMA review of a companion diagnostic on hold or request additional testing, which could potentially delay the approval of the corresponding new drug application or the marketing authorization of the companion diagnostic or otherwise complicate the review process. 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20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quality system regulations, or QSR, establishment registration and product listing with the FDA, and compliance with labeling, marketing, complaint handling, medical device reporting requirements, and reporting certain corrections and removals. Obtaining FDA clearance or approval for diagnostics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192"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Sales of our diagnostic products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98"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For instance, in order to sell our products in the EU, our products must comply with the essential requirements of the IVDD. Compliance with these requirements is a prerequisite to be able to affix the European Conformity, or CE, mark to our products, without which they cannot be sold or marketed in the EU. All medical devices placed on the market in the EU must meet the essential requirements laid down in Annex I to the IVDD including the requirement that an in vitro diagnostic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essential requirements we must undergo a conformity assessment procedure, which varies according to the type of medical device and its (risk) classification. As a general rule, demonstration of conformity of in vitro diagnostic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183"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Except for (general) in vitro diagnostic medical devices, where the manufacturer can self-declare the conformity of its products with the essential requirements of the IVDD, a conformity assessment procedure requires the intervention of a notified body. Notified bodies are independent organizations designated by EU member states to assess the conformity of devices before being placed on the market. The notified body would typically audit and examine the product’s technical file and the manufacturer’s quality system (notified body must presume that quality systems which implement the relevant harmonized standards – which is ISO 13485:2016 for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198"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The EU regulatory landscape concerning medical devices is evolving and a new regulation governing in vitro diagnostic medical devices will become applicable on May 26, 2022 the new requirements of which may have a significant effect on the way we conduct our business in the EU and the EEA.</w:t>
      </w:r>
    </w:p>
    <w:p>
      <w:pPr>
        <w:spacing w:after="0" w:line="168"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On January 1, 2021 onwards, the Medicines and Healthcare Products Regulatory Agency, or MHRA became the sovereign regulatory authority responsible for the Great Britain (i.e. England, Wales and Scotland) medical device market according to the requirements provided in the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Brexit transitional period on January 1, 2021, new regulations require medical devices to be registered with the MHRA (but manufacturers will be given a grace period of four to 12 months to comply with</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new registration process) before being placed on Great Britain market. The MHRA will only register devices where the manufacturer or their United Kingdom Responsible Person has a registered place of business in the United Kingdom. Manufacturers based outside the United Kingdom will need to appoint a U.K. Responsible Person that has a registered place of business in the United Kingdom to register devices with the MHRA in line with the grace periods. By July 1, 2023, in Great Britain, all medical devices will require a UK Conformity Assessed, or UKCA, mark but CE marks issued by EU notified bodies will remain valid until this time. Manufacturers may choose to use the UKCA mark on a voluntary basis until June 30, 2023. However, UKCA marking will not be recognized in the EU. The rules for placing medical devices on the market in Northern Ireland, which is part of the United Kingdom, differ from those in the rest of the United Kingdom. Compliance with this legislation is a prerequisite to be able to affix the UKCA mark to our products, without which they cannot be sold or marketed in Great Britain.</w:t>
      </w:r>
    </w:p>
    <w:p>
      <w:pPr>
        <w:spacing w:after="0" w:line="17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Under the terms of the Northern Ireland Protocol, Northern Ireland will follow EU rules on medical devices and devices marketed in Northern Ireland will require assessment according to the EU regulatory regime. Such assessment may be conducted by an EU notified body, in which case a CE mark will be required before placing the device on the market in the EU or Northern Ireland. Alternatively, if a UK notified body conducts such assessment, a ‘UKNI’ mark will be applied and the device may only be placed on the market in Northern Ireland and not the EU.</w:t>
      </w:r>
    </w:p>
    <w:p>
      <w:pPr>
        <w:spacing w:after="0" w:line="206" w:lineRule="exact"/>
        <w:rPr>
          <w:sz w:val="20"/>
          <w:szCs w:val="20"/>
          <w:color w:val="auto"/>
        </w:rPr>
      </w:pPr>
    </w:p>
    <w:p>
      <w:pPr>
        <w:jc w:val="both"/>
        <w:ind w:firstLine="122"/>
        <w:spacing w:after="0" w:line="382" w:lineRule="auto"/>
        <w:rPr>
          <w:sz w:val="20"/>
          <w:szCs w:val="20"/>
          <w:color w:val="auto"/>
        </w:rPr>
      </w:pPr>
      <w:r>
        <w:rPr>
          <w:rFonts w:ascii="Arial" w:cs="Arial" w:eastAsia="Arial" w:hAnsi="Arial"/>
          <w:sz w:val="14"/>
          <w:szCs w:val="14"/>
          <w:b w:val="1"/>
          <w:bCs w:val="1"/>
          <w:i w:val="1"/>
          <w:iCs w:val="1"/>
          <w:color w:val="auto"/>
        </w:rPr>
        <w:t>If we are unable to obtain marketing authorizations or certifications, approvals, clearances or certifications to market Prosigna or our other assays on the nCounter Analysis System in additional countries or if regulatory limitations are placed on our diagnostic kit products, our business and growth will be harmed.</w:t>
      </w:r>
    </w:p>
    <w:p>
      <w:pPr>
        <w:spacing w:after="0" w:line="12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w:t>
      </w:r>
    </w:p>
    <w:p>
      <w:pPr>
        <w:spacing w:after="0" w:line="201"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in vitro diagnostics in the EU and would require that we re-classify and obtain new certificates of conformity for our existing CE-marked IVD products by May 25, 2022 unless a transitional provision applies to our current certificates.</w:t>
      </w:r>
    </w:p>
    <w:p>
      <w:pPr>
        <w:spacing w:after="0" w:line="208"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6"/>
          <w:szCs w:val="16"/>
          <w:color w:val="auto"/>
        </w:rPr>
        <w:t>The EU-UK Trade and Cooperation Agreement, or TCA, came into effect on January 1, 2021. The TCA does not specifically refer to medical devices. However, as a result of Brexit, the EU Medical Devices Regulation will not be implemented in the UK, and previous legislation that mirrored the EU Medical Devices Regulation in the UK law has been revoked. The regulatory regime for medical devices in Great Britain (England, Scotland and Wales) will continue to be based on the requirements derived from current EU legislation, and the UK may choose to retain regulatory flexibility or align with the EU Medical Devices Regulation going forward. CE markings will continue to be recognized in the UK, and certificates issued by EU-recognized notified bodies will be valid in the UK, until June 30, 2023. For medical devices placed on the market in Great Britain after this period, the UKCA, marking will be mandatory. In contrast, UKCA marking and certificates issued by UK notified bodies will not be recognized on the EU market. The TCA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For medical devices that are locally manufactured but use components from other countries, the “rules of origin” criteria will need to be reviewed. Depending on in which countries products will ultimately be sold, manufacturers may start seeking alternative sources for components if this would allow them to benefit from no tariffs. The rules for placing medical devices on the Northern Ireland market will differ from those in Great Britain. These modifications may have an effect on the way we intend to conduct our business in these countries.</w:t>
      </w:r>
    </w:p>
    <w:p>
      <w:pPr>
        <w:spacing w:after="0" w:line="197"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trials as well as the marketing authorizations or certifications to sell the companion diagnostic tests following completion of such trials. Some of the compensation we expect to receive pursuant to these collaborations is based on the receipt of marketing authorizations or certifications. Any failure to obtain marketing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5"/>
          <w:szCs w:val="15"/>
          <w:color w:val="auto"/>
        </w:rPr>
        <w:t>In the EU, there is currently no legal definition or classification system for companion diagnostics. Companion diagnostics are deemed to be in vitro diagnostic medical devices, governed by the IVDD, and are required to conform with the essential requirements of the IVDD. The conformity assessment varies according to the type of in vitro diagnostic medical device. As there is currently no classification system for companion diagnostics, the conformity assessment will vary depending on the companion diagnostics’ characteristics and they will be either subject to a conformity assessment by a notified body or to a self-assessment by the manufacturer (without the intervention of a notified body).The regulation of companion diagnostics will be subject to further requirements once the IVDR will become applicable on May 26, 2022.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 certificate of conformity, the notified body will have to seek a scientific opinion from the European Medicines Agency on the suitability of the companion diagnostic to the medicinal product concerned if the medicinal product falls exclusively within the scope of the centralized procedure for the authorization of medicines,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authority or the European Medicines Agency.</w:t>
      </w:r>
    </w:p>
    <w:p>
      <w:pPr>
        <w:spacing w:after="0" w:line="187"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We cannot assure investors that we will be successful in obtaining or maintaining regulatory clearances, certifications, approvals, or marketing authorizations. If we do not obtain or maintain regulatory clearances, certifications,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We are subject to ongoing and extensive regulatory requirements, and our failure to comply with these requirements could substantially harm our business.</w:t>
      </w:r>
    </w:p>
    <w:p>
      <w:pPr>
        <w:spacing w:after="0" w:line="270"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Certain of our products are regulated as in vitro diagnostic medical devices, including Prosigna and the nCounter Analysis System. Accordingly, we and certain of our contract manufacturers are subject to ongoing International Organization for Standardization, or ISO, obligations as well as requirements under the FDC Act and device regulations enforced by the FDA and other statutory and regulatory requirements enforced by other government authorities. These may include routine inspections by notified bodies, FDA, and other health authorities, of our manufacturing facilities and our records for compliance with standards such as ISO 13485 and QSR regulations,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w:t>
      </w:r>
    </w:p>
    <w:p>
      <w:pPr>
        <w:spacing w:after="0" w:line="198"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Other regulatory bodies may also issue guidelines and regulations that could impact the development of our products, including companion diagnostic tests. For example, the European Medicines Agency, the EU agency which is responsible for the scientific evaluation of medicines centrally approved in the EU,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spacing w:after="0" w:line="192"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IVDR increases the regulatory requirements applicable to in vitro diagnostics in the EU and would require that we re-classify and obtain new certificates of conformity for our existing CE-marked IVD products by May 25, 2022 unless a transitional provision applies to our current certificates.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IVDR will become applicable five years after publication (on May 26, 2022) and once applicable, the IVDR will among other things:</w:t>
      </w:r>
    </w:p>
    <w:p>
      <w:pPr>
        <w:spacing w:after="0" w:line="236" w:lineRule="exact"/>
        <w:rPr>
          <w:sz w:val="20"/>
          <w:szCs w:val="20"/>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strengthen the rules on placing devices on the market and reinforce surveillance once they are available;</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explicit provisions on manufacturers’ responsibilities for the follow-up of the quality, performance and safety of devices placed on the market;</w:t>
      </w:r>
    </w:p>
    <w:p>
      <w:pPr>
        <w:spacing w:after="0" w:line="69" w:lineRule="exact"/>
        <w:rPr>
          <w:rFonts w:ascii="Arial" w:cs="Arial" w:eastAsia="Arial" w:hAnsi="Arial"/>
          <w:sz w:val="16"/>
          <w:szCs w:val="16"/>
          <w:color w:val="auto"/>
        </w:rPr>
      </w:pPr>
    </w:p>
    <w:p>
      <w:pPr>
        <w:ind w:left="600" w:hanging="294"/>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explicit provisions on importers’ and distributors’ obligations and responsibilities;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20" w:hanging="314"/>
        <w:spacing w:after="0" w:line="27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impose an obligation to identify a responsible person who is ultimately responsible for all aspects of compliance with the requirements of the new regulation;</w:t>
      </w:r>
    </w:p>
    <w:p>
      <w:pPr>
        <w:spacing w:after="0" w:line="13"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2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set up a central database (Eudamed) to provide patients, healthcare professionals and the public with comprehensive information on products available in the EU; and</w:t>
      </w:r>
    </w:p>
    <w:p>
      <w:pPr>
        <w:spacing w:after="0" w:line="13"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strengthen rules for the assessment of certain high-risk devices that may have to undergo an additional check by experts before they are placed on the market.</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Due to a severe shortage of capacity of the European notified bodies designated for IVDR certification to assess all IVD devices that will require notified body certification under IVDR, it is widely recognized that not all applications for assessment will be approved before the deadline. Failure to secure these re-certifications in time will halt our ability to commercialize our products in relevant countries. Currently our tests that require recertification are Prosigna and Immunoscore. Moreover, complying with the stricter regulatory requirements of the IVDR, including with respect to clinical evaluation requirements, quality systems, and post-market surveillance, may require us to incur significant expenditures. Failure to meet these requirements could adversely impact our business in the EU and EEA and other regions that tie their product registrations or regulations to the EU requirements.</w:t>
      </w:r>
    </w:p>
    <w:p>
      <w:pPr>
        <w:spacing w:after="0" w:line="194"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6"/>
          <w:szCs w:val="16"/>
          <w:color w:val="auto"/>
        </w:rPr>
        <w:t>The TCA does not specifically refer to medical devices. However, as a result of Brexit, the EU Medical Devices Regulation will not be implemented in the UK, and previous legislation that mirrored the EU Medical Devices Regulation in the UK law has been revoked. The regulatory regime for medical devices in Great Britain (England, Scotland and Wales) will continue to be based on the requirements derived from current EU legislation, and the UK may choose to retain regulatory flexibility or align with the EU Medical Devices Regulation going forward. CE markings will continue to be recognized in the UK, and certificates issued by EU-recognized notified bodies will be valid in the UK, until June 30, 2023. For medical devices placed on the market in Great Britain after this period, the UKCA, marking will be mandatory. In contrast, UKCA marking and certificates issued by UK notified bodies will not be recognized on the EU market. The TCA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For medical devices that are locally manufactured but use components from other countries, the “rules of origin” criteria will need to be reviewed. Depending on in which countries products will ultimately be sold, manufacturers may start seeking alternative sources for components if this would allow them to benefit from no tariffs. The rules for placing medical devices on the Northern Ireland market will differ from those in Great Britain. These modifications may have an effect on the way we intend to conduct our business in these countries.</w:t>
      </w:r>
    </w:p>
    <w:p>
      <w:pPr>
        <w:spacing w:after="0" w:line="197"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The promotional claims we can make for Prosigna are limited to the indications for use in the United States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36"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9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who are developing new products or technologies that may compete with our tests. In the future, we may also face competition from companies developing new products or technologies.</w:t>
      </w:r>
    </w:p>
    <w:p>
      <w:pPr>
        <w:spacing w:after="0" w:line="191"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 As we expand our portfolio of tests to address clinical questions across the clinical care continuum, we may also face competition from companies focused on screening at-risk patients for cancer or companies informing treatment decisions such as Guardant Health or Foundation Medicine, Inc. Competition could also emerge from competitors, including GRAIL, Inc. (which was acquired by our supplier Illumina Inc. in August 2021), using alternative samples, such as blood, urine or sputum. However, such “liquid biopsies” are currently being used to gauge risk of recurrence or response to treatment in patients already diagnosed with lung cancer.</w:t>
      </w:r>
    </w:p>
    <w:p>
      <w:pPr>
        <w:spacing w:after="0" w:line="195"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20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0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91"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69" w:lineRule="exact"/>
        <w:rPr>
          <w:sz w:val="20"/>
          <w:szCs w:val="20"/>
          <w:color w:val="auto"/>
        </w:rPr>
      </w:pPr>
    </w:p>
    <w:p>
      <w:pPr>
        <w:jc w:val="both"/>
        <w:ind w:firstLine="122"/>
        <w:spacing w:after="0" w:line="241" w:lineRule="auto"/>
        <w:rPr>
          <w:sz w:val="20"/>
          <w:szCs w:val="20"/>
          <w:color w:val="auto"/>
        </w:rPr>
      </w:pPr>
      <w:r>
        <w:rPr>
          <w:rFonts w:ascii="Arial" w:cs="Arial" w:eastAsia="Arial" w:hAnsi="Arial"/>
          <w:sz w:val="17"/>
          <w:szCs w:val="17"/>
          <w:b w:val="1"/>
          <w:bCs w:val="1"/>
          <w:i w:val="1"/>
          <w:iCs w:val="1"/>
          <w:color w:val="auto"/>
        </w:rPr>
        <w:t>We have experienced significant changes in our senior management team, the loss of one or more of our executive officers, or any inability to attract and retain highly-skilled employees and other key personnel could adversely affect our business.</w:t>
      </w:r>
    </w:p>
    <w:p>
      <w:pPr>
        <w:spacing w:after="0" w:line="203"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Our success depends in part on the skills, experience and performance of key members of our executive management team and others in key management positions. We have in the past and may in the future experience changes in our executive management, which may be disruptive to our business. For example, effective June 1, 2021, Marc Stapley assumed the role of Chief Executive Officer and Bonnie H. Anderson, our former Chairman and Chief Executive Officer, transitioned to the role of Executive Chair. In addition, effective July 19, 2021, Rebecca Chambers assumed the role of Chief Financial Officer, following the service of Jane Alley as Acting Chief Financial Officer since May 15, 2021. Executive transitions may impact our ability to implement our business strategy and could have a material adverse effect on our business. Although we believe our new executive management team will bring significant added strength and valuable experience to our company, the potential benefits of hiring new executives may not be immediately realized.</w:t>
      </w:r>
    </w:p>
    <w:p>
      <w:pPr>
        <w:spacing w:after="0" w:line="194"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for new tests we commercialize, including the Percepta, Envisia, Decipher Prostate, Decipher Bladder and Immunoscore tests, as well as Prosigna,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Billing for our diagnostic tests is complex, and we must dedicate substantial time and resources to the billing process to be paid.</w:t>
      </w:r>
    </w:p>
    <w:p>
      <w:pPr>
        <w:spacing w:after="0" w:line="236"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6" w:lineRule="exact"/>
        <w:rPr>
          <w:sz w:val="20"/>
          <w:szCs w:val="20"/>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differences between the list price for our tests and the reimbursement rates of payers;</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government payers, such as Medicare and Medicaid, including requirements to have an active CLIA certificate;</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risk of government audits related to billing Medicare and other government payers;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differences in coverage and in information and billing requirements among payers, including the need for prior authorization and/or advanced notification;</w:t>
      </w:r>
    </w:p>
    <w:p>
      <w:pPr>
        <w:spacing w:after="0" w:line="258" w:lineRule="exact"/>
        <w:rPr>
          <w:rFonts w:ascii="Arial" w:cs="Arial" w:eastAsia="Arial" w:hAnsi="Arial"/>
          <w:sz w:val="15"/>
          <w:szCs w:val="15"/>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 of patient co-payments or co-insurance;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to billing codes used for our tests;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We use standard industry billing codes, known as CPT codes, to bill for cytopathology. Through December 31, 2020, we used the CPT code 81545 to bill for our Afirma classifier. Effective January 1, 2021, we will use the new CPT code 81546 to bill for our Afirma classifier, and code 81545 is being retired. Effective October 1, 2020, we are using the new CPT code 0204U to bill for Afirma Xpression Atlas, and the new CPT code 0208U to bill for Afirma MTC. Effective January 1, 2021, we are using the new CPT code 81554 to bill for our Envisia classifier. Effective January 1, 2020, we are using the new CPT code 81542 to bill for Decipher Prostate Biopsy and Decipher Prostate RP tests. Effective October 1, 2020, we are using the new CPT code 0016M to bill for our Decipher Bladder test. Effective October 1, 2021, we are using the new CPT code 0261U to bill for the Immunoscore test. There is no CPT code for our Percepta classifier. Therefore, until such time that we are assigned and are able to use a designated CPT code specific to Percepta, we use “unlisted” codes for claim submissions, which can lead to delays in payers adjudicating our claims or denying payment altogether.</w:t>
      </w:r>
    </w:p>
    <w:p>
      <w:pPr>
        <w:spacing w:after="0" w:line="195"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of</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transitioning to such a code and updating their billing systems and ours will not result in errors, delays in payments and a related increase in accounts receivable balances.</w:t>
      </w:r>
    </w:p>
    <w:p>
      <w:pPr>
        <w:spacing w:after="0" w:line="191" w:lineRule="exact"/>
        <w:rPr>
          <w:sz w:val="20"/>
          <w:szCs w:val="20"/>
          <w:color w:val="auto"/>
        </w:rPr>
      </w:pPr>
    </w:p>
    <w:p>
      <w:pPr>
        <w:jc w:val="both"/>
        <w:ind w:firstLine="380"/>
        <w:spacing w:after="0" w:line="304"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68"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revenues and cash flow.</w:t>
      </w:r>
    </w:p>
    <w:p>
      <w:pPr>
        <w:spacing w:after="0" w:line="179"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4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4" w:lineRule="exact"/>
        <w:rPr>
          <w:sz w:val="20"/>
          <w:szCs w:val="20"/>
          <w:color w:val="auto"/>
        </w:rPr>
      </w:pPr>
    </w:p>
    <w:p>
      <w:pPr>
        <w:jc w:val="both"/>
        <w:ind w:firstLine="122"/>
        <w:spacing w:after="0" w:line="340" w:lineRule="auto"/>
        <w:rPr>
          <w:sz w:val="20"/>
          <w:szCs w:val="20"/>
          <w:color w:val="auto"/>
        </w:rPr>
      </w:pPr>
      <w:r>
        <w:rPr>
          <w:rFonts w:ascii="Arial" w:cs="Arial" w:eastAsia="Arial" w:hAnsi="Arial"/>
          <w:sz w:val="15"/>
          <w:szCs w:val="15"/>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45" w:lineRule="exact"/>
        <w:rPr>
          <w:sz w:val="20"/>
          <w:szCs w:val="20"/>
          <w:color w:val="auto"/>
        </w:rPr>
      </w:pPr>
    </w:p>
    <w:p>
      <w:pPr>
        <w:jc w:val="both"/>
        <w:ind w:firstLine="383"/>
        <w:spacing w:after="0" w:line="254" w:lineRule="auto"/>
        <w:rPr>
          <w:sz w:val="20"/>
          <w:szCs w:val="20"/>
          <w:color w:val="auto"/>
        </w:rPr>
      </w:pPr>
      <w:r>
        <w:rPr>
          <w:rFonts w:ascii="Arial" w:cs="Arial" w:eastAsia="Arial" w:hAnsi="Arial"/>
          <w:sz w:val="17"/>
          <w:szCs w:val="17"/>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208" w:lineRule="exact"/>
        <w:rPr>
          <w:sz w:val="20"/>
          <w:szCs w:val="20"/>
          <w:color w:val="auto"/>
        </w:rPr>
      </w:pPr>
    </w:p>
    <w:p>
      <w:pPr>
        <w:ind w:right="100" w:firstLine="122"/>
        <w:spacing w:after="0" w:line="256"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if we do not achieve our projected development and commercialization goals in the time frames we announce and expect, our business will suffer and our stock price may decline.</w:t>
      </w:r>
    </w:p>
    <w:p>
      <w:pPr>
        <w:spacing w:after="0" w:line="192"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including the impact of the COVID-19 pandemic. We cannot be certain that we will meet our projected targets and if we do not meet these targets as publicly announced, the commercialization of our diagnostic solutions may be delayed or may not occur at all and, as a result, our business will suffer and our stock price may decline.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 Moreover, we may experience delays in the development and introduction of new products due to the effects of the current COVID-19 outbreak.</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order to develop and commercialize diagnostic tests, we need to:</w:t>
      </w:r>
    </w:p>
    <w:p>
      <w:pPr>
        <w:spacing w:after="0" w:line="236" w:lineRule="exact"/>
        <w:rPr>
          <w:sz w:val="20"/>
          <w:szCs w:val="20"/>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conduct successful analytical and clinical studies;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build the commercial infrastructure to market and sell new products.</w:t>
      </w:r>
    </w:p>
    <w:p>
      <w:pPr>
        <w:spacing w:after="0" w:line="236"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1" w:lineRule="exact"/>
        <w:rPr>
          <w:sz w:val="20"/>
          <w:szCs w:val="20"/>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inability to secure sufficient numbers of samples at an acceptable cost and on an acceptable timeframe to conduct analytical and clinical studies; or</w:t>
      </w:r>
    </w:p>
    <w:p>
      <w:pPr>
        <w:spacing w:after="0" w:line="69" w:lineRule="exact"/>
        <w:rPr>
          <w:rFonts w:ascii="Arial" w:cs="Arial" w:eastAsia="Arial" w:hAnsi="Arial"/>
          <w:sz w:val="16"/>
          <w:szCs w:val="16"/>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95"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91"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122"/>
        <w:spacing w:after="0" w:line="260" w:lineRule="auto"/>
        <w:rPr>
          <w:sz w:val="20"/>
          <w:szCs w:val="20"/>
          <w:color w:val="auto"/>
        </w:rPr>
      </w:pPr>
      <w:r>
        <w:rPr>
          <w:rFonts w:ascii="Arial" w:cs="Arial" w:eastAsia="Arial" w:hAnsi="Arial"/>
          <w:sz w:val="17"/>
          <w:szCs w:val="17"/>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20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209"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7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Our operations are subject to other extensive federal, state, local, and foreign laws and regulations, all of which are subject to change. These laws and regulations currently include, among others:</w:t>
      </w:r>
    </w:p>
    <w:p>
      <w:pPr>
        <w:spacing w:after="0" w:line="191" w:lineRule="exact"/>
        <w:rPr>
          <w:sz w:val="20"/>
          <w:szCs w:val="20"/>
          <w:color w:val="auto"/>
        </w:rPr>
      </w:pPr>
    </w:p>
    <w:p>
      <w:pPr>
        <w:jc w:val="both"/>
        <w:ind w:left="620" w:hanging="314"/>
        <w:spacing w:after="0" w:line="254"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208" w:lineRule="exact"/>
        <w:rPr>
          <w:rFonts w:ascii="Arial" w:cs="Arial" w:eastAsia="Arial" w:hAnsi="Arial"/>
          <w:sz w:val="17"/>
          <w:szCs w:val="17"/>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 including requirements to have an active CLIA certificate;</w:t>
      </w:r>
    </w:p>
    <w:p>
      <w:pPr>
        <w:spacing w:after="0" w:line="235"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1" w:lineRule="exact"/>
        <w:rPr>
          <w:rFonts w:ascii="Arial" w:cs="Arial" w:eastAsia="Arial" w:hAnsi="Arial"/>
          <w:sz w:val="17"/>
          <w:szCs w:val="17"/>
          <w:color w:val="auto"/>
        </w:rPr>
      </w:pPr>
    </w:p>
    <w:p>
      <w:pPr>
        <w:ind w:left="620" w:hanging="314"/>
        <w:spacing w:after="0" w:line="340" w:lineRule="auto"/>
        <w:tabs>
          <w:tab w:leader="none" w:pos="6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45" w:lineRule="exact"/>
        <w:rPr>
          <w:rFonts w:ascii="Arial" w:cs="Arial" w:eastAsia="Arial" w:hAnsi="Arial"/>
          <w:sz w:val="15"/>
          <w:szCs w:val="15"/>
          <w:color w:val="auto"/>
        </w:rPr>
      </w:pPr>
    </w:p>
    <w:p>
      <w:pPr>
        <w:jc w:val="both"/>
        <w:ind w:left="620" w:hanging="314"/>
        <w:spacing w:after="0" w:line="311" w:lineRule="auto"/>
        <w:tabs>
          <w:tab w:leader="none" w:pos="6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66" w:lineRule="exact"/>
        <w:rPr>
          <w:rFonts w:ascii="Arial" w:cs="Arial" w:eastAsia="Arial" w:hAnsi="Arial"/>
          <w:sz w:val="15"/>
          <w:szCs w:val="15"/>
          <w:color w:val="auto"/>
        </w:rPr>
      </w:pPr>
    </w:p>
    <w:p>
      <w:pPr>
        <w:jc w:val="both"/>
        <w:ind w:left="620" w:hanging="314"/>
        <w:spacing w:after="0" w:line="260"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20" w:hanging="314"/>
        <w:spacing w:after="0" w:line="272"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False Claims Act, which imposes liability on any person or entity who knowingly presents, or causes to be presented, a false, fictitious, or fraudulent claim for payment to the federal government;</w:t>
      </w:r>
    </w:p>
    <w:p>
      <w:pPr>
        <w:spacing w:after="0" w:line="190"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Physician Payments Sunshine Act, enacted as part of the ACA, which imposes annual reporting requirements on manufacturers of certain devices, drugs and biologics for certain payments and transfers of value by them and in some cases their distributors to physicians, as defined by such law, and teaching hospitals;</w:t>
      </w:r>
    </w:p>
    <w:p>
      <w:pPr>
        <w:spacing w:after="0" w:line="201"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01" w:lineRule="exact"/>
        <w:rPr>
          <w:rFonts w:ascii="Arial" w:cs="Arial" w:eastAsia="Arial" w:hAnsi="Arial"/>
          <w:sz w:val="17"/>
          <w:szCs w:val="17"/>
          <w:color w:val="auto"/>
        </w:rPr>
      </w:pPr>
    </w:p>
    <w:p>
      <w:pPr>
        <w:ind w:left="600" w:hanging="294"/>
        <w:spacing w:after="0"/>
        <w:tabs>
          <w:tab w:leader="none" w:pos="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prohibition on reassignment of Medicare claims, which, subject to certain exceptions, precludes the reassignment of Medicare claims to any other party;</w:t>
      </w:r>
    </w:p>
    <w:p>
      <w:pPr>
        <w:spacing w:after="0" w:line="258" w:lineRule="exact"/>
        <w:rPr>
          <w:rFonts w:ascii="Arial" w:cs="Arial" w:eastAsia="Arial" w:hAnsi="Arial"/>
          <w:sz w:val="15"/>
          <w:szCs w:val="15"/>
          <w:color w:val="auto"/>
        </w:rPr>
      </w:pPr>
    </w:p>
    <w:p>
      <w:pPr>
        <w:ind w:left="620" w:hanging="314"/>
        <w:spacing w:after="0" w:line="272"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0"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 care facilities, as well as various state laws restricting balance billing of patients;</w:t>
      </w:r>
    </w:p>
    <w:p>
      <w:pPr>
        <w:spacing w:after="0" w:line="201"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1" w:lineRule="exact"/>
        <w:rPr>
          <w:rFonts w:ascii="Arial" w:cs="Arial" w:eastAsia="Arial" w:hAnsi="Arial"/>
          <w:sz w:val="17"/>
          <w:szCs w:val="17"/>
          <w:color w:val="auto"/>
        </w:rPr>
      </w:pPr>
    </w:p>
    <w:p>
      <w:pPr>
        <w:ind w:left="620" w:hanging="314"/>
        <w:spacing w:after="0" w:line="340" w:lineRule="auto"/>
        <w:tabs>
          <w:tab w:leader="none" w:pos="616" w:val="left"/>
        </w:tabs>
        <w:numPr>
          <w:ilvl w:val="0"/>
          <w:numId w:val="24"/>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45" w:lineRule="exact"/>
        <w:rPr>
          <w:rFonts w:ascii="Arial" w:cs="Arial" w:eastAsia="Arial" w:hAnsi="Arial"/>
          <w:sz w:val="15"/>
          <w:szCs w:val="15"/>
          <w:color w:val="auto"/>
        </w:rPr>
      </w:pPr>
    </w:p>
    <w:p>
      <w:pPr>
        <w:ind w:left="600" w:hanging="294"/>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Foreign Corrupt Practices Act of 1977, and other similar laws, which apply to our international activities;</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unclaimed property (escheat) laws and regulations, which may require us to turn over to governmental authorities the property of others held by us that has been unclaimed for a specified period of time;</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enforcing our intellectual property rights;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foreign laws and regulations equivalent to the above.</w:t>
      </w:r>
    </w:p>
    <w:p>
      <w:pPr>
        <w:spacing w:after="0" w:line="23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08"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0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Many member states in the EU have adopted specific anti-gift statutes that further limit commercial practices for medical devices (including in vitro diagnostic medical devices), in particular vis-à-vis healthcare professionals and organizations. Additionally, there has been a recent trend of increased regulation of payments and transfers of value provided to healthcare professionals or entities. In addition, many EU member states have adopted national “Sunshine Acts” which impose reporting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and transparency requirements (often on an annual basis), similar to the requirements in the United States, on medical device manufacturers.</w:t>
      </w:r>
    </w:p>
    <w:p>
      <w:pPr>
        <w:spacing w:after="0" w:line="236"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36"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9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1" w:lineRule="exact"/>
        <w:rPr>
          <w:sz w:val="20"/>
          <w:szCs w:val="20"/>
          <w:color w:val="auto"/>
        </w:rPr>
      </w:pPr>
    </w:p>
    <w:p>
      <w:pPr>
        <w:ind w:left="620" w:hanging="314"/>
        <w:spacing w:after="0" w:line="27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by us to obtain regulatory approvals or certifications where required for the use of our solutions in various countries;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challenges associated with establishing laboratory partners, including proper sample collection techniques, management of supplies, sample logistics, billing and promotional activities;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in collecting from payers, the effect of local and regional financial crises, and exposure to foreign currency exchange rate fluctuations;</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including COVID-19, boycotts, curtailment of trade and other business restrictions; and</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91"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182"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6"/>
          <w:szCs w:val="16"/>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36"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5"/>
          <w:szCs w:val="15"/>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Envisia, Prosigna, Decipher urology tests and Immunoscore, as well as tests we may develop or acquire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7"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business is subject to the risk of disruptions caused by pandemics, political events, war, terrorism, earthquakes, fire, power outages, floods, and other catastrophic events.</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War, terrorism, geopolitical uncertainties,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we expect will continue to have, a negative effect on consumer confidence and spending, and other impacts, which could adversely affect our business.</w:t>
      </w:r>
    </w:p>
    <w:p>
      <w:pPr>
        <w:spacing w:after="0" w:line="206"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a catastrophe strikes any of our laboratories or if any of our laboratories becomes inoperable for any other reason, we will be unable to perform our testing services and our business will be harmed.</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perform all of the Afirma, Percepta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The laboratories and equipment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20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91"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5"/>
          <w:szCs w:val="15"/>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95" w:lineRule="exact"/>
        <w:rPr>
          <w:sz w:val="20"/>
          <w:szCs w:val="20"/>
          <w:color w:val="auto"/>
        </w:rPr>
      </w:pPr>
    </w:p>
    <w:p>
      <w:pPr>
        <w:jc w:val="both"/>
        <w:ind w:firstLine="122"/>
        <w:spacing w:after="0" w:line="340"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5"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 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209"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the EU General Data Protection Regulation, or GDPR, and regulatory penalties. Unauthorized access, loss or dissemination could also disrupt our operations, including our ability to process tests, provide test results, bill payers or patients, process claims and appeals,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201"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6"/>
          <w:szCs w:val="16"/>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Certain health-related and data protection requirements have been modified during the Public Health Emergency, or PHE, under section 319 of the Public Health Service Act first declared January 31, 2020, which was most recently extended effective July 20, 2021. We cannot predict when the PHE declaration will be lifted. In addition, we are subject to various state laws, including the California Consumer Privacy Act, or CCPA, which was enacted in California in 2018 and components of which went into effect on January 1, 2020. The CCPA, among other things, requires covered companies to provide disclosures to California consumers concerning the collection and sale of personal information, and gives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200"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Risks associated with data privacy issues, including evolving laws, regulations and associated compliance efforts, may adversely impact our business and financial results.</w:t>
      </w:r>
    </w:p>
    <w:p>
      <w:pPr>
        <w:spacing w:after="0" w:line="191"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84"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6"/>
          <w:szCs w:val="16"/>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creates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disclose to data subjects how their personal data is to be used; imposes limitations on retention of personal data; introduces mandatory data breach notification requirements; and sets higher standards for data controllers to demonstrate that they have obtained valid consent for certain data processing activities. These obligations could cause us to change our business practices, and increases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the United States and other jurisdictions that the European Commission does not recognize as having “adequate” data protection laws unless a data transfer mechanism has been put in place. On July 16, 2020, the Court of Justice of the European Union, or CJEU, issued a decision invalidating outright the EU-US Privacy Shield framework which companies rely on to transfer data from the EU to the United States. As a result, we may need to modify the way we treat such information.</w:t>
      </w:r>
    </w:p>
    <w:p>
      <w:pPr>
        <w:spacing w:after="0" w:line="197"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5"/>
          <w:szCs w:val="15"/>
          <w:color w:val="auto"/>
        </w:rPr>
        <w:t>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We will be required to implement the revised standard contractual clauses, in relation to relevant existing contracts and certain additional contracts and arrangements, within the relevant time frames. There is some uncertainty around whether the revised clauses can be used for all types of data transfers, particularly whether they can be relied on for data transfers to non-EEA entities subject to the GDPR.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Following the United Kingdom’s withdrawal from the EEA and the EU, and the expiry of the transition period, companies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changes will lead to additional costs and increase our overall risk exposure.</w:t>
      </w:r>
    </w:p>
    <w:p>
      <w:pPr>
        <w:spacing w:after="0" w:line="209"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6"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3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6"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2021 and 2038 and are related to methods used in thyroid diagnostics, lung diagnostics, breast cancer diagnostics, urological diagnostics, colorectal cancer diagnostics and the nCounter Analysis System.</w:t>
      </w:r>
    </w:p>
    <w:p>
      <w:pPr>
        <w:spacing w:after="0" w:line="20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1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80"/>
        <w:spacing w:after="0" w:line="293" w:lineRule="auto"/>
        <w:rPr>
          <w:sz w:val="20"/>
          <w:szCs w:val="20"/>
          <w:color w:val="auto"/>
        </w:rPr>
      </w:pPr>
      <w:r>
        <w:rPr>
          <w:rFonts w:ascii="Arial" w:cs="Arial" w:eastAsia="Arial" w:hAnsi="Arial"/>
          <w:sz w:val="15"/>
          <w:szCs w:val="15"/>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2"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0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1" w:lineRule="exact"/>
        <w:rPr>
          <w:sz w:val="20"/>
          <w:szCs w:val="20"/>
          <w:color w:val="auto"/>
        </w:rPr>
      </w:pPr>
    </w:p>
    <w:p>
      <w:pPr>
        <w:jc w:val="both"/>
        <w:ind w:firstLine="380"/>
        <w:spacing w:after="0" w:line="296" w:lineRule="auto"/>
        <w:rPr>
          <w:sz w:val="20"/>
          <w:szCs w:val="20"/>
          <w:color w:val="auto"/>
        </w:rPr>
      </w:pPr>
      <w:r>
        <w:rPr>
          <w:rFonts w:ascii="Arial" w:cs="Arial" w:eastAsia="Arial" w:hAnsi="Arial"/>
          <w:sz w:val="15"/>
          <w:szCs w:val="15"/>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201"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2" w:lineRule="exact"/>
        <w:rPr>
          <w:sz w:val="20"/>
          <w:szCs w:val="20"/>
          <w:color w:val="auto"/>
        </w:rPr>
      </w:pPr>
    </w:p>
    <w:p>
      <w:pPr>
        <w:jc w:val="both"/>
        <w:ind w:firstLine="380"/>
        <w:spacing w:after="0" w:line="301" w:lineRule="auto"/>
        <w:rPr>
          <w:sz w:val="20"/>
          <w:szCs w:val="20"/>
          <w:color w:val="auto"/>
        </w:rPr>
      </w:pPr>
      <w:r>
        <w:rPr>
          <w:rFonts w:ascii="Arial" w:cs="Arial" w:eastAsia="Arial" w:hAnsi="Arial"/>
          <w:sz w:val="15"/>
          <w:szCs w:val="15"/>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74"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84"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4"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9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94"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211"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6"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may be limited and may result in increased future tax liability to us.</w:t>
      </w:r>
    </w:p>
    <w:p>
      <w:pPr>
        <w:spacing w:after="0" w:line="23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We have incurred net losses since our inception and may never achieve profitability. As of December 31, 2020, we had net operating loss, or NOL, carryforwards of approximately $282.9 million, $63.0 million and $72.2 million available to reduce future taxable income, if any, for federal, California and other state income tax purposes, respectively. With the acquisition of Decipher Biosciences, Inc in March 2021, we acquired additional federal, California and other state NOL carryforwards of approximately $94.8 million, $25.5 million and $29.8 million,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209"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79"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5"/>
          <w:szCs w:val="15"/>
          <w:color w:val="auto"/>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 by the CARES Act. The impact of the Tax Act, as modified by the CARES Act, on holders of our common stock is also uncertain and could be adverse.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Impairment in the value of our goodwill or other intangible assets could have a material adverse effect on our operating results and financial condition.</w:t>
      </w:r>
    </w:p>
    <w:p>
      <w:pPr>
        <w:spacing w:after="0" w:line="259"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6"/>
          <w:szCs w:val="16"/>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and, in turn, a charge to net income. Any such charges could have a material adverse effect on our results of operations or financial condition.</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effective tax rate may fluctuate and we may incur obligations in tax jurisdictions in excess of amounts that have been accrued.</w:t>
      </w:r>
    </w:p>
    <w:p>
      <w:pPr>
        <w:spacing w:after="0" w:line="223"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6"/>
          <w:szCs w:val="16"/>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w:t>
      </w:r>
    </w:p>
    <w:p>
      <w:pPr>
        <w:spacing w:after="0" w:line="194" w:lineRule="exact"/>
        <w:rPr>
          <w:sz w:val="20"/>
          <w:szCs w:val="20"/>
          <w:color w:val="auto"/>
        </w:rPr>
      </w:pPr>
    </w:p>
    <w:p>
      <w:pPr>
        <w:jc w:val="both"/>
        <w:ind w:firstLine="122"/>
        <w:spacing w:after="0" w:line="256" w:lineRule="auto"/>
        <w:rPr>
          <w:sz w:val="20"/>
          <w:szCs w:val="20"/>
          <w:color w:val="auto"/>
        </w:rPr>
      </w:pPr>
      <w:r>
        <w:rPr>
          <w:rFonts w:ascii="Arial" w:cs="Arial" w:eastAsia="Arial" w:hAnsi="Arial"/>
          <w:sz w:val="17"/>
          <w:szCs w:val="17"/>
          <w:b w:val="1"/>
          <w:bCs w:val="1"/>
          <w:i w:val="1"/>
          <w:iCs w:val="1"/>
          <w:color w:val="auto"/>
        </w:rPr>
        <w:t>Changes in financial accounting standards or practices may cause adverse, unexpected financial reporting fluctuations and affect our reported operating results.</w:t>
      </w:r>
    </w:p>
    <w:p>
      <w:pPr>
        <w:spacing w:after="0" w:line="192"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8" w:lineRule="exact"/>
        <w:rPr>
          <w:sz w:val="20"/>
          <w:szCs w:val="20"/>
          <w:color w:val="auto"/>
        </w:rPr>
      </w:pPr>
    </w:p>
    <w:p>
      <w:pPr>
        <w:jc w:val="both"/>
        <w:ind w:firstLine="122"/>
        <w:spacing w:after="0" w:line="256" w:lineRule="auto"/>
        <w:rPr>
          <w:sz w:val="20"/>
          <w:szCs w:val="20"/>
          <w:color w:val="auto"/>
        </w:rPr>
      </w:pPr>
      <w:r>
        <w:rPr>
          <w:rFonts w:ascii="Arial" w:cs="Arial" w:eastAsia="Arial" w:hAnsi="Arial"/>
          <w:sz w:val="17"/>
          <w:szCs w:val="17"/>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192"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5"/>
          <w:szCs w:val="15"/>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our Recent Acquisitions</w:t>
      </w:r>
    </w:p>
    <w:p>
      <w:pPr>
        <w:spacing w:after="0" w:line="240"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b w:val="1"/>
          <w:bCs w:val="1"/>
          <w:i w:val="1"/>
          <w:iCs w:val="1"/>
          <w:color w:val="auto"/>
        </w:rPr>
        <w:t>The recently completed acquisitions of HalioDx and Decipher Biosciences presents risks and we must successfully integrate the HalioDx and Decipher Biosciences businesses to realize the financial goals that we currently anticipate.</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Risks we face in connection with the recently completed acquisition and ongoing integration of HalioDx and Decipher Biosciences include:</w:t>
      </w:r>
    </w:p>
    <w:p>
      <w:pPr>
        <w:spacing w:after="0" w:line="160" w:lineRule="exact"/>
        <w:rPr>
          <w:sz w:val="20"/>
          <w:szCs w:val="20"/>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realize the benefits we expect to receive from these transactions, such as anticipated synergies;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have difficulties managing acquired products and tests or retaining key personnel from the acquired businesses;</w:t>
      </w:r>
    </w:p>
    <w:p>
      <w:pPr>
        <w:spacing w:after="0" w:line="159"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successfully integrate the acquired businesses as planned,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25" w:lineRule="exact"/>
        <w:rPr>
          <w:rFonts w:ascii="Arial" w:cs="Arial" w:eastAsia="Arial" w:hAnsi="Arial"/>
          <w:sz w:val="17"/>
          <w:szCs w:val="17"/>
          <w:color w:val="auto"/>
        </w:rPr>
      </w:pPr>
    </w:p>
    <w:p>
      <w:pPr>
        <w:jc w:val="both"/>
        <w:ind w:left="620" w:hanging="314"/>
        <w:spacing w:after="0" w:line="260"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Decipher Biosciences Merger Agreement does not provide for post-closing indemnification protection related to pre-closing Decipher Biosciences operations and, therefore, we may incur unforeseen costs as a result of Decipher Biosciences’ pre-closing activities, over which we have limited control, including Decipher Biosciences’ breach of the covenants contained in the Merger Agreement;</w:t>
      </w:r>
    </w:p>
    <w:p>
      <w:pPr>
        <w:spacing w:after="0" w:line="125" w:lineRule="exact"/>
        <w:rPr>
          <w:rFonts w:ascii="Arial" w:cs="Arial" w:eastAsia="Arial" w:hAnsi="Arial"/>
          <w:sz w:val="17"/>
          <w:szCs w:val="17"/>
          <w:color w:val="auto"/>
        </w:rPr>
      </w:pPr>
    </w:p>
    <w:p>
      <w:pPr>
        <w:jc w:val="both"/>
        <w:ind w:left="620" w:hanging="314"/>
        <w:spacing w:after="0" w:line="254"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spacing w:after="0" w:line="131" w:lineRule="exact"/>
        <w:rPr>
          <w:rFonts w:ascii="Arial" w:cs="Arial" w:eastAsia="Arial" w:hAnsi="Arial"/>
          <w:sz w:val="17"/>
          <w:szCs w:val="17"/>
          <w:color w:val="auto"/>
        </w:rPr>
      </w:pPr>
    </w:p>
    <w:p>
      <w:pPr>
        <w:jc w:val="both"/>
        <w:ind w:left="620" w:hanging="314"/>
        <w:spacing w:after="0" w:line="277" w:lineRule="auto"/>
        <w:tabs>
          <w:tab w:leader="none" w:pos="61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HalioDx nor Decipher Biosciences was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implementation. In addition, we may discover significant deficiencies or material weaknesses in the quality of HalioDx's or Decipher Biosciences' respective financial and disclosure controls and procedures;</w:t>
      </w:r>
    </w:p>
    <w:p>
      <w:pPr>
        <w:spacing w:after="0" w:line="114" w:lineRule="exact"/>
        <w:rPr>
          <w:rFonts w:ascii="Arial" w:cs="Arial" w:eastAsia="Arial" w:hAnsi="Arial"/>
          <w:sz w:val="16"/>
          <w:szCs w:val="16"/>
          <w:color w:val="auto"/>
        </w:rPr>
      </w:pPr>
    </w:p>
    <w:p>
      <w:pPr>
        <w:ind w:left="620" w:hanging="314"/>
        <w:spacing w:after="0" w:line="272"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experience a failure of development activities on behalf of a HalioDx customer where HalioDx bears development risk resulting in a refund of development fees;</w:t>
      </w:r>
    </w:p>
    <w:p>
      <w:pPr>
        <w:spacing w:after="0" w:line="114" w:lineRule="exact"/>
        <w:rPr>
          <w:rFonts w:ascii="Arial" w:cs="Arial" w:eastAsia="Arial" w:hAnsi="Arial"/>
          <w:sz w:val="17"/>
          <w:szCs w:val="17"/>
          <w:color w:val="auto"/>
        </w:rPr>
      </w:pPr>
    </w:p>
    <w:p>
      <w:pPr>
        <w:ind w:left="620" w:hanging="314"/>
        <w:spacing w:after="0" w:line="304" w:lineRule="auto"/>
        <w:tabs>
          <w:tab w:leader="none" w:pos="61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fail to transition manufacturing of the test kits for the nCounter, currently produced by NanoString, to HalioDx’s manufacturing facility in Marseille, France in a timely manner or at all, or we may experience manufacturing irregularities or challenges in connection with the transition;</w:t>
      </w:r>
    </w:p>
    <w:p>
      <w:pPr>
        <w:spacing w:after="0" w:line="91" w:lineRule="exact"/>
        <w:rPr>
          <w:rFonts w:ascii="Arial" w:cs="Arial" w:eastAsia="Arial" w:hAnsi="Arial"/>
          <w:sz w:val="16"/>
          <w:szCs w:val="16"/>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realize the anticipated accretion to our gross margins as a result of transitioning manufacturing of test kits to HalioDx;</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experience disagreements with the employee French work council;</w:t>
      </w:r>
    </w:p>
    <w:p>
      <w:pPr>
        <w:spacing w:after="0" w:line="159" w:lineRule="exact"/>
        <w:rPr>
          <w:rFonts w:ascii="Arial" w:cs="Arial" w:eastAsia="Arial" w:hAnsi="Arial"/>
          <w:sz w:val="17"/>
          <w:szCs w:val="17"/>
          <w:color w:val="auto"/>
        </w:rPr>
      </w:pPr>
    </w:p>
    <w:p>
      <w:pPr>
        <w:ind w:left="620" w:hanging="314"/>
        <w:spacing w:after="0" w:line="304" w:lineRule="auto"/>
        <w:tabs>
          <w:tab w:leader="none" w:pos="616"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Decipher Biosciences operates in segments of the diagnostic market that we have less experience with, including urology, and our further expansion of operations into these areas could present various integration challenges and result in increased costs and other unforeseen challenges; and</w:t>
      </w:r>
    </w:p>
    <w:p>
      <w:pPr>
        <w:spacing w:after="0" w:line="91" w:lineRule="exact"/>
        <w:rPr>
          <w:rFonts w:ascii="Arial" w:cs="Arial" w:eastAsia="Arial" w:hAnsi="Arial"/>
          <w:sz w:val="16"/>
          <w:szCs w:val="16"/>
          <w:color w:val="auto"/>
        </w:rPr>
      </w:pPr>
    </w:p>
    <w:p>
      <w:pPr>
        <w:jc w:val="both"/>
        <w:ind w:left="620" w:hanging="314"/>
        <w:spacing w:after="0" w:line="260"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have failed to identify or assess the magnitude of certain liabilities, shortcomings or other circumstances prior to acquiring either of the acquired businesses, which could result in unexpected litigation or regulatory exposure, unfavorable accounting treatment, a diversion of management’s attention and resources, and other adverse effects on our business, financial condition, and operating results.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Doing business internationally at the scale of HalioDx creates operational risk for our business.</w:t>
      </w:r>
    </w:p>
    <w:p>
      <w:pPr>
        <w:spacing w:after="0" w:line="223"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Conducting and launching operations on an international scale requires close coordination of activities across multiple jurisdictions and consumes significant management resources. If we fail to coordinate and manage these activities effectively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for any reason, including the risks noted below, our business, financial condition, or results of operations could be adversely affected.</w:t>
      </w:r>
    </w:p>
    <w:p>
      <w:pPr>
        <w:spacing w:after="0" w:line="236" w:lineRule="exact"/>
        <w:rPr>
          <w:sz w:val="20"/>
          <w:szCs w:val="20"/>
          <w:color w:val="auto"/>
        </w:rPr>
      </w:pPr>
    </w:p>
    <w:p>
      <w:pPr>
        <w:ind w:firstLine="380"/>
        <w:spacing w:after="0" w:line="272" w:lineRule="auto"/>
        <w:rPr>
          <w:sz w:val="20"/>
          <w:szCs w:val="20"/>
          <w:color w:val="auto"/>
        </w:rPr>
      </w:pPr>
      <w:r>
        <w:rPr>
          <w:rFonts w:ascii="Arial" w:cs="Arial" w:eastAsia="Arial" w:hAnsi="Arial"/>
          <w:sz w:val="17"/>
          <w:szCs w:val="17"/>
          <w:color w:val="auto"/>
        </w:rPr>
        <w:t>The Acquisition increases the following risks and challenges associated with conducting business outside the U.S., where we expect a growing proportion of our operations and revenue to be located:</w:t>
      </w:r>
    </w:p>
    <w:p>
      <w:pPr>
        <w:spacing w:after="0" w:line="191" w:lineRule="exact"/>
        <w:rPr>
          <w:sz w:val="20"/>
          <w:szCs w:val="20"/>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longer payment cycles and difficulties in collecting accounts receivable outside of the United States;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longer sales cycles due to the volume of transactions taking place through public tenders;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challenges in staffing and managing foreign operations;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lack of consistency, and unexpected changes, in legislative or regulatory requirements of foreign countries into which we sell our products;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risk of governmental and regulatory scrutiny and investigations;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burden of complying with a wide variety of foreign laws, regulations, and legal standards;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import and export requirements, tariffs, taxes, and other trade barriers;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possible enactment of laws regarding the management of and access to data and public networks and websites;</w:t>
      </w:r>
    </w:p>
    <w:p>
      <w:pPr>
        <w:spacing w:after="0" w:line="58" w:lineRule="exact"/>
        <w:rPr>
          <w:rFonts w:ascii="Arial" w:cs="Arial" w:eastAsia="Arial" w:hAnsi="Arial"/>
          <w:sz w:val="17"/>
          <w:szCs w:val="17"/>
          <w:color w:val="auto"/>
        </w:rPr>
      </w:pPr>
    </w:p>
    <w:p>
      <w:pPr>
        <w:ind w:left="620" w:hanging="314"/>
        <w:spacing w:after="0" w:line="297" w:lineRule="auto"/>
        <w:tabs>
          <w:tab w:leader="none" w:pos="616"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negative impact of a global health crisis, such as the outbreak of a serious infectious disease, to our commercial or manufacturing operations, including the loss of productivity from our own workforce and consequences of any restrictions on the movement of people or materials;</w:t>
      </w:r>
    </w:p>
    <w:p>
      <w:pPr>
        <w:spacing w:after="0" w:line="1" w:lineRule="exact"/>
        <w:rPr>
          <w:rFonts w:ascii="Arial" w:cs="Arial" w:eastAsia="Arial" w:hAnsi="Arial"/>
          <w:sz w:val="16"/>
          <w:szCs w:val="16"/>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possible future limitations on foreign-owned businesses;</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significant taxes; and</w:t>
      </w:r>
    </w:p>
    <w:p>
      <w:pPr>
        <w:spacing w:after="0" w:line="58" w:lineRule="exact"/>
        <w:rPr>
          <w:rFonts w:ascii="Arial" w:cs="Arial" w:eastAsia="Arial" w:hAnsi="Arial"/>
          <w:sz w:val="17"/>
          <w:szCs w:val="17"/>
          <w:color w:val="auto"/>
        </w:rPr>
      </w:pPr>
    </w:p>
    <w:p>
      <w:pPr>
        <w:ind w:left="600" w:hanging="29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factors beyond our control, including political, social and economic instability, and security concerns in general.</w:t>
      </w:r>
    </w:p>
    <w:p>
      <w:pPr>
        <w:spacing w:after="0" w:line="236" w:lineRule="exact"/>
        <w:rPr>
          <w:sz w:val="20"/>
          <w:szCs w:val="20"/>
          <w:color w:val="auto"/>
        </w:rPr>
      </w:pPr>
    </w:p>
    <w:p>
      <w:pPr>
        <w:jc w:val="both"/>
        <w:ind w:firstLine="380"/>
        <w:spacing w:after="0" w:line="252" w:lineRule="auto"/>
        <w:rPr>
          <w:sz w:val="20"/>
          <w:szCs w:val="20"/>
          <w:color w:val="auto"/>
        </w:rPr>
      </w:pPr>
      <w:r>
        <w:rPr>
          <w:rFonts w:ascii="Arial" w:cs="Arial" w:eastAsia="Arial" w:hAnsi="Arial"/>
          <w:sz w:val="17"/>
          <w:szCs w:val="17"/>
          <w:color w:val="auto"/>
        </w:rPr>
        <w:t>Additionally, we must comply with complex foreign and U.S. laws and regulations, such as the U.S. Foreign Corrupt Practices Act, the U.K. Bribery Act, and other local laws prohibiting corrupt payments to governmental officials, anti-competition regulations and sanctions imposed by the U.S. Office of Foreign Assets Control and other similar laws and regulations. Violations of these laws and regulations could result in fines and penalties, criminal sanctions, restrictions on our business conduct and on our ability to offer our products in one or more countries,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 or that our policies will be adopted or enforceable in all jurisdictions.</w:t>
      </w:r>
    </w:p>
    <w:p>
      <w:pPr>
        <w:spacing w:after="0" w:line="21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exposed to risks associated with transactions denominated in foreign currency.</w:t>
      </w:r>
    </w:p>
    <w:p>
      <w:pPr>
        <w:spacing w:after="0" w:line="236" w:lineRule="exact"/>
        <w:rPr>
          <w:sz w:val="20"/>
          <w:szCs w:val="20"/>
          <w:color w:val="auto"/>
        </w:rPr>
      </w:pPr>
    </w:p>
    <w:p>
      <w:pPr>
        <w:jc w:val="both"/>
        <w:ind w:firstLine="380"/>
        <w:spacing w:after="0" w:line="292" w:lineRule="auto"/>
        <w:rPr>
          <w:sz w:val="20"/>
          <w:szCs w:val="20"/>
          <w:color w:val="auto"/>
        </w:rPr>
      </w:pPr>
      <w:r>
        <w:rPr>
          <w:rFonts w:ascii="Arial" w:cs="Arial" w:eastAsia="Arial" w:hAnsi="Arial"/>
          <w:sz w:val="15"/>
          <w:szCs w:val="15"/>
          <w:color w:val="auto"/>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revenues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27"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As a public company, we will continue to incur significant legal, accounting, consulting and other expenses that we did not incur as a private company, including costs associated with public company reporting requirements. In addition, the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208"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91"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5"/>
          <w:szCs w:val="15"/>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acquisitions of Decipher Biosciences and HalioDx, both of which were previously private companies and were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7"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7"/>
          <w:szCs w:val="17"/>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Our Common Stock</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The trading price of our common stock is likely to continue to be highly volatile and could be subject to wide fluctuations in response to various factors, some of which are beyond our control. These factors include:</w:t>
      </w:r>
    </w:p>
    <w:p>
      <w:pPr>
        <w:spacing w:after="0" w:line="191" w:lineRule="exact"/>
        <w:rPr>
          <w:sz w:val="20"/>
          <w:szCs w:val="20"/>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anticipated variations in our and our competitors’ results of operations;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global macroeconomic impact of the current COVID-19 outbreak;</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reimbursement by current or potential payers, including governmental payers;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fluctuations in our revenue, due in part to the way in which we recognize revenue;</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hanging="314"/>
        <w:spacing w:after="0" w:line="272"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 including the effect of additional equity we or our competitors issue as consideration for such acquisitions;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91"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209" w:lineRule="exact"/>
        <w:rPr>
          <w:sz w:val="20"/>
          <w:szCs w:val="20"/>
          <w:color w:val="auto"/>
        </w:rPr>
      </w:pPr>
    </w:p>
    <w:p>
      <w:pPr>
        <w:jc w:val="both"/>
        <w:ind w:firstLine="122"/>
        <w:spacing w:after="0" w:line="27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91"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91" w:lineRule="exact"/>
        <w:rPr>
          <w:sz w:val="20"/>
          <w:szCs w:val="20"/>
          <w:color w:val="auto"/>
        </w:rPr>
      </w:pPr>
    </w:p>
    <w:p>
      <w:pPr>
        <w:ind w:left="600" w:hanging="294"/>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 million shares of undesignated preferred stock;</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specify that special meetings of our stockholders can be called only by our board of directors, our chairman of the board, or our chief executive officer;</w:t>
      </w:r>
    </w:p>
    <w:p>
      <w:pPr>
        <w:spacing w:after="0" w:line="247" w:lineRule="exact"/>
        <w:rPr>
          <w:rFonts w:ascii="Arial" w:cs="Arial" w:eastAsia="Arial" w:hAnsi="Arial"/>
          <w:sz w:val="16"/>
          <w:szCs w:val="16"/>
          <w:color w:val="auto"/>
        </w:rPr>
      </w:pPr>
    </w:p>
    <w:p>
      <w:pPr>
        <w:ind w:left="620" w:hanging="314"/>
        <w:spacing w:after="0" w:line="272"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5" w:lineRule="exact"/>
        <w:rPr>
          <w:rFonts w:ascii="Arial" w:cs="Arial" w:eastAsia="Arial" w:hAnsi="Arial"/>
          <w:sz w:val="17"/>
          <w:szCs w:val="17"/>
          <w:color w:val="auto"/>
        </w:rPr>
      </w:pPr>
    </w:p>
    <w:p>
      <w:pPr>
        <w:ind w:left="600" w:hanging="294"/>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5"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0" w:lineRule="exact"/>
        <w:rPr>
          <w:rFonts w:ascii="Arial" w:cs="Arial" w:eastAsia="Arial" w:hAnsi="Arial"/>
          <w:sz w:val="17"/>
          <w:szCs w:val="17"/>
          <w:color w:val="auto"/>
        </w:rPr>
      </w:pPr>
    </w:p>
    <w:p>
      <w:pPr>
        <w:ind w:left="620" w:hanging="314"/>
        <w:spacing w:after="0" w:line="272"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that the federal district courts of the United States shall be the exclusive forum for the resolution of any complaint asserting a cause of action arising under the Securities Act of 1933, as amended;</w:t>
      </w:r>
    </w:p>
    <w:p>
      <w:pPr>
        <w:spacing w:after="0" w:line="190" w:lineRule="exact"/>
        <w:rPr>
          <w:rFonts w:ascii="Arial" w:cs="Arial" w:eastAsia="Arial" w:hAnsi="Arial"/>
          <w:sz w:val="17"/>
          <w:szCs w:val="17"/>
          <w:color w:val="auto"/>
        </w:rPr>
      </w:pPr>
    </w:p>
    <w:p>
      <w:pPr>
        <w:ind w:left="600" w:hanging="294"/>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600" w:hanging="294"/>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36"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36"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5"/>
        </w:trPr>
        <w:tc>
          <w:tcPr>
            <w:tcW w:w="1680" w:type="dxa"/>
            <w:vAlign w:val="bottom"/>
            <w:gridSpan w:val="6"/>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1680" w:type="dxa"/>
            <w:vAlign w:val="bottom"/>
            <w:gridSpan w:val="6"/>
          </w:tcPr>
          <w:p>
            <w:pPr>
              <w:ind w:left="120"/>
              <w:spacing w:after="0"/>
              <w:rPr>
                <w:sz w:val="20"/>
                <w:szCs w:val="20"/>
                <w:color w:val="auto"/>
              </w:rPr>
            </w:pPr>
            <w:r>
              <w:rPr>
                <w:rFonts w:ascii="Arial" w:cs="Arial" w:eastAsia="Arial" w:hAnsi="Arial"/>
                <w:sz w:val="17"/>
                <w:szCs w:val="17"/>
                <w:b w:val="1"/>
                <w:bCs w:val="1"/>
                <w:color w:val="auto"/>
              </w:rPr>
              <w:t>ITEM 6. EXHIBITS</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1680" w:type="dxa"/>
            <w:vAlign w:val="bottom"/>
            <w:gridSpan w:val="6"/>
            <w:vMerge w:val="restart"/>
          </w:tcPr>
          <w:p>
            <w:pPr>
              <w:ind w:left="2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140"/>
              <w:spacing w:after="0"/>
              <w:rPr>
                <w:sz w:val="20"/>
                <w:szCs w:val="20"/>
                <w:color w:val="auto"/>
              </w:rPr>
            </w:pPr>
            <w:r>
              <w:rPr>
                <w:rFonts w:ascii="Arial" w:cs="Arial" w:eastAsia="Arial" w:hAnsi="Arial"/>
                <w:sz w:val="17"/>
                <w:szCs w:val="17"/>
                <w:b w:val="1"/>
                <w:bCs w:val="1"/>
                <w:color w:val="auto"/>
              </w:rPr>
              <w:t>Incorporated by Reference</w:t>
            </w:r>
          </w:p>
        </w:tc>
        <w:tc>
          <w:tcPr>
            <w:tcW w:w="10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Filed</w:t>
            </w:r>
          </w:p>
        </w:tc>
        <w:tc>
          <w:tcPr>
            <w:tcW w:w="0" w:type="dxa"/>
            <w:vAlign w:val="bottom"/>
          </w:tcPr>
          <w:p>
            <w:pPr>
              <w:spacing w:after="0"/>
              <w:rPr>
                <w:sz w:val="1"/>
                <w:szCs w:val="1"/>
                <w:color w:val="auto"/>
              </w:rPr>
            </w:pPr>
          </w:p>
        </w:tc>
      </w:tr>
      <w:tr>
        <w:trPr>
          <w:trHeight w:val="145"/>
        </w:trPr>
        <w:tc>
          <w:tcPr>
            <w:tcW w:w="168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gridSpan w:val="13"/>
            <w:vMerge w:val="restart"/>
          </w:tcPr>
          <w:p>
            <w:pPr>
              <w:ind w:left="1860"/>
              <w:spacing w:after="0"/>
              <w:rPr>
                <w:sz w:val="20"/>
                <w:szCs w:val="20"/>
                <w:color w:val="auto"/>
              </w:rPr>
            </w:pPr>
            <w:r>
              <w:rPr>
                <w:rFonts w:ascii="Arial" w:cs="Arial" w:eastAsia="Arial" w:hAnsi="Arial"/>
                <w:sz w:val="17"/>
                <w:szCs w:val="17"/>
                <w:b w:val="1"/>
                <w:bCs w:val="1"/>
                <w:color w:val="auto"/>
              </w:rPr>
              <w:t>Description</w:t>
            </w:r>
          </w:p>
        </w:tc>
        <w:tc>
          <w:tcPr>
            <w:tcW w:w="100" w:type="dxa"/>
            <w:vAlign w:val="bottom"/>
            <w:vMerge w:val="restart"/>
          </w:tcPr>
          <w:p>
            <w:pPr>
              <w:spacing w:after="0"/>
              <w:rPr>
                <w:sz w:val="12"/>
                <w:szCs w:val="12"/>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Form</w:t>
            </w:r>
          </w:p>
        </w:tc>
        <w:tc>
          <w:tcPr>
            <w:tcW w:w="100" w:type="dxa"/>
            <w:vAlign w:val="bottom"/>
            <w:vMerge w:val="restart"/>
          </w:tcPr>
          <w:p>
            <w:pPr>
              <w:spacing w:after="0"/>
              <w:rPr>
                <w:sz w:val="12"/>
                <w:szCs w:val="12"/>
                <w:color w:val="auto"/>
              </w:rPr>
            </w:pPr>
          </w:p>
        </w:tc>
        <w:tc>
          <w:tcPr>
            <w:tcW w:w="84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File No.</w:t>
            </w:r>
          </w:p>
        </w:tc>
        <w:tc>
          <w:tcPr>
            <w:tcW w:w="100" w:type="dxa"/>
            <w:vAlign w:val="bottom"/>
            <w:vMerge w:val="restart"/>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Exhibit</w:t>
            </w:r>
          </w:p>
        </w:tc>
        <w:tc>
          <w:tcPr>
            <w:tcW w:w="100" w:type="dxa"/>
            <w:vAlign w:val="bottom"/>
            <w:vMerge w:val="restart"/>
          </w:tcPr>
          <w:p>
            <w:pPr>
              <w:spacing w:after="0"/>
              <w:rPr>
                <w:sz w:val="12"/>
                <w:szCs w:val="12"/>
                <w:color w:val="auto"/>
              </w:rPr>
            </w:pPr>
          </w:p>
        </w:tc>
        <w:tc>
          <w:tcPr>
            <w:tcW w:w="110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Filing Date</w:t>
            </w:r>
          </w:p>
        </w:tc>
        <w:tc>
          <w:tcPr>
            <w:tcW w:w="100" w:type="dxa"/>
            <w:vAlign w:val="bottom"/>
            <w:vMerge w:val="restart"/>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Number</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1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Herewith</w:t>
            </w:r>
          </w:p>
        </w:tc>
        <w:tc>
          <w:tcPr>
            <w:tcW w:w="0" w:type="dxa"/>
            <w:vAlign w:val="bottom"/>
          </w:tcPr>
          <w:p>
            <w:pPr>
              <w:spacing w:after="0"/>
              <w:rPr>
                <w:sz w:val="1"/>
                <w:szCs w:val="1"/>
                <w:color w:val="auto"/>
              </w:rPr>
            </w:pPr>
          </w:p>
        </w:tc>
      </w:tr>
      <w:tr>
        <w:trPr>
          <w:trHeight w:val="386"/>
        </w:trPr>
        <w:tc>
          <w:tcPr>
            <w:tcW w:w="1480" w:type="dxa"/>
            <w:vAlign w:val="bottom"/>
            <w:gridSpan w:val="5"/>
          </w:tcPr>
          <w:p>
            <w:pPr>
              <w:jc w:val="right"/>
              <w:ind w:right="20"/>
              <w:spacing w:after="0"/>
              <w:rPr>
                <w:rFonts w:ascii="Arial" w:cs="Arial" w:eastAsia="Arial" w:hAnsi="Arial"/>
                <w:sz w:val="17"/>
                <w:szCs w:val="17"/>
                <w:color w:val="0000FF"/>
              </w:rPr>
            </w:pPr>
            <w:hyperlink w:anchor="page88">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4"/>
          </w:tcPr>
          <w:p>
            <w:pPr>
              <w:spacing w:after="0"/>
              <w:rPr>
                <w:rFonts w:ascii="Arial" w:cs="Arial" w:eastAsia="Arial" w:hAnsi="Arial"/>
                <w:sz w:val="17"/>
                <w:szCs w:val="17"/>
                <w:color w:val="0000FF"/>
              </w:rPr>
            </w:pPr>
            <w:hyperlink w:anchor="page88">
              <w:r>
                <w:rPr>
                  <w:rFonts w:ascii="Arial" w:cs="Arial" w:eastAsia="Arial" w:hAnsi="Arial"/>
                  <w:sz w:val="17"/>
                  <w:szCs w:val="17"/>
                  <w:color w:val="0000FF"/>
                </w:rPr>
                <w:t>Amended and Restated Offer Letter, dated August 15, 2021,</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tcBorders>
            <w:gridSpan w:val="7"/>
          </w:tcPr>
          <w:p>
            <w:pPr>
              <w:spacing w:after="0" w:line="145" w:lineRule="exact"/>
              <w:rPr>
                <w:rFonts w:ascii="Arial" w:cs="Arial" w:eastAsia="Arial" w:hAnsi="Arial"/>
                <w:sz w:val="16"/>
                <w:szCs w:val="16"/>
                <w:color w:val="0000FF"/>
              </w:rPr>
            </w:pPr>
            <w:hyperlink w:anchor="page88">
              <w:r>
                <w:rPr>
                  <w:rFonts w:ascii="Arial" w:cs="Arial" w:eastAsia="Arial" w:hAnsi="Arial"/>
                  <w:sz w:val="16"/>
                  <w:szCs w:val="16"/>
                  <w:color w:val="0000FF"/>
                </w:rPr>
                <w:t>between the Registrant and Rebecca Chambers</w:t>
              </w:r>
            </w:hyperlink>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5"/>
          </w:tcPr>
          <w:p>
            <w:pPr>
              <w:jc w:val="right"/>
              <w:ind w:right="20"/>
              <w:spacing w:after="0"/>
              <w:rPr>
                <w:rFonts w:ascii="Arial" w:cs="Arial" w:eastAsia="Arial" w:hAnsi="Arial"/>
                <w:sz w:val="17"/>
                <w:szCs w:val="17"/>
                <w:color w:val="0000FF"/>
              </w:rPr>
            </w:pPr>
            <w:hyperlink w:anchor="page90">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14"/>
          </w:tcPr>
          <w:p>
            <w:pPr>
              <w:spacing w:after="0"/>
              <w:rPr>
                <w:rFonts w:ascii="Arial" w:cs="Arial" w:eastAsia="Arial" w:hAnsi="Arial"/>
                <w:sz w:val="17"/>
                <w:szCs w:val="17"/>
                <w:color w:val="0000FF"/>
                <w:w w:val="96"/>
              </w:rPr>
            </w:pPr>
            <w:hyperlink w:anchor="page90">
              <w:r>
                <w:rPr>
                  <w:rFonts w:ascii="Arial" w:cs="Arial" w:eastAsia="Arial" w:hAnsi="Arial"/>
                  <w:sz w:val="17"/>
                  <w:szCs w:val="17"/>
                  <w:color w:val="0000FF"/>
                  <w:w w:val="96"/>
                </w:rPr>
                <w:t>Change in Control and Severance Agreement, effective July 19,</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Borders>
              <w:top w:val="single" w:sz="8" w:color="0000FF"/>
            </w:tcBorders>
            <w:gridSpan w:val="8"/>
          </w:tcPr>
          <w:p>
            <w:pPr>
              <w:spacing w:after="0" w:line="145" w:lineRule="exact"/>
              <w:rPr>
                <w:rFonts w:ascii="Arial" w:cs="Arial" w:eastAsia="Arial" w:hAnsi="Arial"/>
                <w:sz w:val="16"/>
                <w:szCs w:val="16"/>
                <w:color w:val="0000FF"/>
              </w:rPr>
            </w:pPr>
            <w:hyperlink w:anchor="page90">
              <w:r>
                <w:rPr>
                  <w:rFonts w:ascii="Arial" w:cs="Arial" w:eastAsia="Arial" w:hAnsi="Arial"/>
                  <w:sz w:val="16"/>
                  <w:szCs w:val="16"/>
                  <w:color w:val="0000FF"/>
                </w:rPr>
                <w:t>2021 between Rebecca Chambers and the Registrant</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5"/>
          </w:tcPr>
          <w:p>
            <w:pPr>
              <w:jc w:val="right"/>
              <w:ind w:right="20"/>
              <w:spacing w:after="0"/>
              <w:rPr>
                <w:rFonts w:ascii="Arial" w:cs="Arial" w:eastAsia="Arial" w:hAnsi="Arial"/>
                <w:sz w:val="17"/>
                <w:szCs w:val="17"/>
                <w:color w:val="0000FF"/>
              </w:rPr>
            </w:pPr>
            <w:hyperlink w:anchor="page111">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14"/>
          </w:tcPr>
          <w:p>
            <w:pPr>
              <w:spacing w:after="0"/>
              <w:rPr>
                <w:rFonts w:ascii="Arial" w:cs="Arial" w:eastAsia="Arial" w:hAnsi="Arial"/>
                <w:sz w:val="17"/>
                <w:szCs w:val="17"/>
                <w:color w:val="0000FF"/>
                <w:w w:val="94"/>
              </w:rPr>
            </w:pPr>
            <w:hyperlink w:anchor="page111">
              <w:r>
                <w:rPr>
                  <w:rFonts w:ascii="Arial" w:cs="Arial" w:eastAsia="Arial" w:hAnsi="Arial"/>
                  <w:sz w:val="17"/>
                  <w:szCs w:val="17"/>
                  <w:color w:val="0000FF"/>
                  <w:w w:val="94"/>
                </w:rPr>
                <w:t>Certification of Principal Executive Officer pursuant to Rules 13a-</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top w:val="single" w:sz="8" w:color="0000FF"/>
            </w:tcBorders>
            <w:gridSpan w:val="11"/>
          </w:tcPr>
          <w:p>
            <w:pPr>
              <w:spacing w:after="0" w:line="145" w:lineRule="exact"/>
              <w:rPr>
                <w:rFonts w:ascii="Arial" w:cs="Arial" w:eastAsia="Arial" w:hAnsi="Arial"/>
                <w:sz w:val="16"/>
                <w:szCs w:val="16"/>
                <w:color w:val="0000FF"/>
              </w:rPr>
            </w:pPr>
            <w:hyperlink w:anchor="page111">
              <w:r>
                <w:rPr>
                  <w:rFonts w:ascii="Arial" w:cs="Arial" w:eastAsia="Arial" w:hAnsi="Arial"/>
                  <w:sz w:val="16"/>
                  <w:szCs w:val="16"/>
                  <w:color w:val="0000FF"/>
                </w:rPr>
                <w:t>14(a)/15d-14(a), as adopted pursuant to Section 302 of the</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6"/>
          </w:tcPr>
          <w:p>
            <w:pPr>
              <w:spacing w:after="0" w:line="145" w:lineRule="exact"/>
              <w:rPr>
                <w:rFonts w:ascii="Arial" w:cs="Arial" w:eastAsia="Arial" w:hAnsi="Arial"/>
                <w:sz w:val="16"/>
                <w:szCs w:val="16"/>
                <w:color w:val="0000FF"/>
              </w:rPr>
            </w:pPr>
            <w:hyperlink w:anchor="page111">
              <w:r>
                <w:rPr>
                  <w:rFonts w:ascii="Arial" w:cs="Arial" w:eastAsia="Arial" w:hAnsi="Arial"/>
                  <w:sz w:val="16"/>
                  <w:szCs w:val="16"/>
                  <w:color w:val="0000FF"/>
                </w:rPr>
                <w:t>Sarbanes-Oxley Act of 2002</w:t>
              </w:r>
            </w:hyperlink>
          </w:p>
        </w:tc>
        <w:tc>
          <w:tcPr>
            <w:tcW w:w="4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5"/>
          </w:tcPr>
          <w:p>
            <w:pPr>
              <w:jc w:val="right"/>
              <w:ind w:right="20"/>
              <w:spacing w:after="0"/>
              <w:rPr>
                <w:rFonts w:ascii="Arial" w:cs="Arial" w:eastAsia="Arial" w:hAnsi="Arial"/>
                <w:sz w:val="17"/>
                <w:szCs w:val="17"/>
                <w:color w:val="0000FF"/>
              </w:rPr>
            </w:pPr>
            <w:hyperlink w:anchor="page113">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14"/>
          </w:tcPr>
          <w:p>
            <w:pPr>
              <w:spacing w:after="0"/>
              <w:rPr>
                <w:rFonts w:ascii="Arial" w:cs="Arial" w:eastAsia="Arial" w:hAnsi="Arial"/>
                <w:sz w:val="17"/>
                <w:szCs w:val="17"/>
                <w:color w:val="0000FF"/>
                <w:w w:val="97"/>
              </w:rPr>
            </w:pPr>
            <w:hyperlink w:anchor="page113">
              <w:r>
                <w:rPr>
                  <w:rFonts w:ascii="Arial" w:cs="Arial" w:eastAsia="Arial" w:hAnsi="Arial"/>
                  <w:sz w:val="17"/>
                  <w:szCs w:val="17"/>
                  <w:color w:val="0000FF"/>
                  <w:w w:val="97"/>
                </w:rPr>
                <w:t>Certification of Principal Financial Officer pursuant to Rule 13a-</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tcBorders>
              <w:top w:val="single" w:sz="8" w:color="0000FF"/>
            </w:tcBorders>
            <w:gridSpan w:val="9"/>
          </w:tcPr>
          <w:p>
            <w:pPr>
              <w:spacing w:after="0" w:line="145" w:lineRule="exact"/>
              <w:rPr>
                <w:rFonts w:ascii="Arial" w:cs="Arial" w:eastAsia="Arial" w:hAnsi="Arial"/>
                <w:sz w:val="16"/>
                <w:szCs w:val="16"/>
                <w:color w:val="0000FF"/>
              </w:rPr>
            </w:pPr>
            <w:hyperlink w:anchor="page113">
              <w:r>
                <w:rPr>
                  <w:rFonts w:ascii="Arial" w:cs="Arial" w:eastAsia="Arial" w:hAnsi="Arial"/>
                  <w:sz w:val="16"/>
                  <w:szCs w:val="16"/>
                  <w:color w:val="0000FF"/>
                </w:rPr>
                <w:t>14(a)/15d-14(a), as adopted pursuant to Section 302 of the</w:t>
              </w:r>
            </w:hyperlink>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6"/>
          </w:tcPr>
          <w:p>
            <w:pPr>
              <w:spacing w:after="0" w:line="145" w:lineRule="exact"/>
              <w:rPr>
                <w:rFonts w:ascii="Arial" w:cs="Arial" w:eastAsia="Arial" w:hAnsi="Arial"/>
                <w:sz w:val="16"/>
                <w:szCs w:val="16"/>
                <w:color w:val="0000FF"/>
              </w:rPr>
            </w:pPr>
            <w:hyperlink w:anchor="page113">
              <w:r>
                <w:rPr>
                  <w:rFonts w:ascii="Arial" w:cs="Arial" w:eastAsia="Arial" w:hAnsi="Arial"/>
                  <w:sz w:val="16"/>
                  <w:szCs w:val="16"/>
                  <w:color w:val="0000FF"/>
                </w:rPr>
                <w:t>Sarbanes-Oxley Act of 2002</w:t>
              </w:r>
            </w:hyperlink>
          </w:p>
        </w:tc>
        <w:tc>
          <w:tcPr>
            <w:tcW w:w="50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5"/>
          </w:tcPr>
          <w:p>
            <w:pPr>
              <w:jc w:val="right"/>
              <w:ind w:right="20"/>
              <w:spacing w:after="0"/>
              <w:rPr>
                <w:rFonts w:ascii="Arial" w:cs="Arial" w:eastAsia="Arial" w:hAnsi="Arial"/>
                <w:sz w:val="17"/>
                <w:szCs w:val="17"/>
                <w:color w:val="0000FF"/>
              </w:rPr>
            </w:pPr>
            <w:hyperlink w:anchor="page114">
              <w:r>
                <w:rPr>
                  <w:rFonts w:ascii="Arial" w:cs="Arial" w:eastAsia="Arial" w:hAnsi="Arial"/>
                  <w:sz w:val="17"/>
                  <w:szCs w:val="17"/>
                  <w:color w:val="0000FF"/>
                </w:rPr>
                <w:t>32.</w:t>
              </w:r>
              <w:r>
                <w:rPr>
                  <w:rFonts w:ascii="Arial" w:cs="Arial" w:eastAsia="Arial" w:hAnsi="Arial"/>
                  <w:sz w:val="17"/>
                  <w:szCs w:val="17"/>
                  <w:u w:val="single" w:color="auto"/>
                  <w:color w:val="0000FF"/>
                </w:rPr>
                <w:t>1</w:t>
              </w:r>
            </w:hyperlink>
            <w:r>
              <w:rPr>
                <w:rFonts w:ascii="Arial" w:cs="Arial" w:eastAsia="Arial" w:hAnsi="Arial"/>
                <w:sz w:val="17"/>
                <w:szCs w:val="17"/>
                <w:color w:val="000000"/>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14"/>
          </w:tcPr>
          <w:p>
            <w:pPr>
              <w:spacing w:after="0"/>
              <w:rPr>
                <w:rFonts w:ascii="Arial" w:cs="Arial" w:eastAsia="Arial" w:hAnsi="Arial"/>
                <w:sz w:val="17"/>
                <w:szCs w:val="17"/>
                <w:color w:val="0000FF"/>
                <w:w w:val="96"/>
              </w:rPr>
            </w:pPr>
            <w:hyperlink w:anchor="page114">
              <w:r>
                <w:rPr>
                  <w:rFonts w:ascii="Arial" w:cs="Arial" w:eastAsia="Arial" w:hAnsi="Arial"/>
                  <w:sz w:val="17"/>
                  <w:szCs w:val="17"/>
                  <w:color w:val="0000FF"/>
                  <w:w w:val="96"/>
                </w:rPr>
                <w:t>Certification of Principal Executive Officer pursuant to 18 U.S.C.</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bottom w:val="single" w:sz="8" w:color="0000FF"/>
            </w:tcBorders>
            <w:gridSpan w:val="5"/>
          </w:tcPr>
          <w:p>
            <w:pPr>
              <w:spacing w:after="0" w:line="145" w:lineRule="exact"/>
              <w:rPr>
                <w:rFonts w:ascii="Arial" w:cs="Arial" w:eastAsia="Arial" w:hAnsi="Arial"/>
                <w:sz w:val="16"/>
                <w:szCs w:val="16"/>
                <w:color w:val="0000FF"/>
                <w:w w:val="95"/>
              </w:rPr>
            </w:pPr>
            <w:hyperlink w:anchor="page114">
              <w:r>
                <w:rPr>
                  <w:rFonts w:ascii="Arial" w:cs="Arial" w:eastAsia="Arial" w:hAnsi="Arial"/>
                  <w:sz w:val="16"/>
                  <w:szCs w:val="16"/>
                  <w:color w:val="0000FF"/>
                  <w:w w:val="95"/>
                </w:rPr>
                <w:t>§ 1350 (Section 906 of the Sarbanes-Oxley Act of 2002)</w:t>
              </w:r>
            </w:hyperlink>
          </w:p>
        </w:tc>
        <w:tc>
          <w:tcPr>
            <w:tcW w:w="620" w:type="dxa"/>
            <w:vAlign w:val="bottom"/>
            <w:tcBorders>
              <w:top w:val="single" w:sz="8" w:color="0000FF"/>
            </w:tcBorders>
            <w:gridSpan w:val="5"/>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80" w:type="dxa"/>
            <w:vAlign w:val="bottom"/>
            <w:gridSpan w:val="5"/>
          </w:tcPr>
          <w:p>
            <w:pPr>
              <w:jc w:val="right"/>
              <w:ind w:right="20"/>
              <w:spacing w:after="0"/>
              <w:rPr>
                <w:rFonts w:ascii="Arial" w:cs="Arial" w:eastAsia="Arial" w:hAnsi="Arial"/>
                <w:sz w:val="17"/>
                <w:szCs w:val="17"/>
                <w:color w:val="0000FF"/>
              </w:rPr>
            </w:pPr>
            <w:hyperlink w:anchor="page115">
              <w:r>
                <w:rPr>
                  <w:rFonts w:ascii="Arial" w:cs="Arial" w:eastAsia="Arial" w:hAnsi="Arial"/>
                  <w:sz w:val="17"/>
                  <w:szCs w:val="17"/>
                  <w:color w:val="0000FF"/>
                </w:rPr>
                <w:t>32.</w:t>
              </w:r>
              <w:r>
                <w:rPr>
                  <w:rFonts w:ascii="Arial" w:cs="Arial" w:eastAsia="Arial" w:hAnsi="Arial"/>
                  <w:sz w:val="17"/>
                  <w:szCs w:val="17"/>
                  <w:u w:val="single" w:color="auto"/>
                  <w:color w:val="0000FF"/>
                </w:rPr>
                <w:t>2</w:t>
              </w:r>
            </w:hyperlink>
            <w:r>
              <w:rPr>
                <w:rFonts w:ascii="Arial" w:cs="Arial" w:eastAsia="Arial" w:hAnsi="Arial"/>
                <w:sz w:val="17"/>
                <w:szCs w:val="17"/>
                <w:color w:val="000000"/>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4"/>
          </w:tcPr>
          <w:p>
            <w:pPr>
              <w:spacing w:after="0"/>
              <w:rPr>
                <w:rFonts w:ascii="Arial" w:cs="Arial" w:eastAsia="Arial" w:hAnsi="Arial"/>
                <w:sz w:val="17"/>
                <w:szCs w:val="17"/>
                <w:color w:val="0000FF"/>
                <w:w w:val="94"/>
              </w:rPr>
            </w:pPr>
            <w:hyperlink w:anchor="page115">
              <w:r>
                <w:rPr>
                  <w:rFonts w:ascii="Arial" w:cs="Arial" w:eastAsia="Arial" w:hAnsi="Arial"/>
                  <w:sz w:val="17"/>
                  <w:szCs w:val="17"/>
                  <w:color w:val="0000FF"/>
                  <w:w w:val="94"/>
                </w:rPr>
                <w:t>Certification of Principal Financial Officer pursuant to 18 U.S.C. §</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25"/>
        </w:trPr>
        <w:tc>
          <w:tcPr>
            <w:tcW w:w="1080" w:type="dxa"/>
            <w:vAlign w:val="bottom"/>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tcBorders>
              <w:top w:val="single" w:sz="8" w:color="0000FF"/>
            </w:tcBorders>
            <w:gridSpan w:val="12"/>
          </w:tcPr>
          <w:p>
            <w:pPr>
              <w:spacing w:after="0" w:line="125" w:lineRule="exact"/>
              <w:rPr>
                <w:rFonts w:ascii="Arial" w:cs="Arial" w:eastAsia="Arial" w:hAnsi="Arial"/>
                <w:sz w:val="14"/>
                <w:szCs w:val="14"/>
                <w:color w:val="0000FF"/>
              </w:rPr>
            </w:pPr>
            <w:hyperlink w:anchor="page115">
              <w:r>
                <w:rPr>
                  <w:rFonts w:ascii="Arial" w:cs="Arial" w:eastAsia="Arial" w:hAnsi="Arial"/>
                  <w:sz w:val="14"/>
                  <w:szCs w:val="14"/>
                  <w:color w:val="0000FF"/>
                </w:rPr>
                <w:t>1350 (Section 906 of the Sarbanes-Oxley Act of 2002)</w:t>
              </w:r>
            </w:hyperlink>
          </w:p>
        </w:tc>
        <w:tc>
          <w:tcPr>
            <w:tcW w:w="14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gridSpan w:val="6"/>
          </w:tcPr>
          <w:p>
            <w:pPr>
              <w:jc w:val="right"/>
              <w:ind w:right="220"/>
              <w:spacing w:after="0" w:line="183" w:lineRule="exact"/>
              <w:rPr>
                <w:sz w:val="20"/>
                <w:szCs w:val="20"/>
                <w:color w:val="auto"/>
              </w:rPr>
            </w:pPr>
            <w:r>
              <w:rPr>
                <w:rFonts w:ascii="Arial" w:cs="Arial" w:eastAsia="Arial" w:hAnsi="Arial"/>
                <w:sz w:val="17"/>
                <w:szCs w:val="17"/>
                <w:color w:val="auto"/>
              </w:rPr>
              <w:t>101.INS</w:t>
            </w:r>
          </w:p>
        </w:tc>
        <w:tc>
          <w:tcPr>
            <w:tcW w:w="20" w:type="dxa"/>
            <w:vAlign w:val="bottom"/>
          </w:tcPr>
          <w:p>
            <w:pPr>
              <w:spacing w:after="0"/>
              <w:rPr>
                <w:sz w:val="15"/>
                <w:szCs w:val="15"/>
                <w:color w:val="auto"/>
              </w:rPr>
            </w:pPr>
          </w:p>
        </w:tc>
        <w:tc>
          <w:tcPr>
            <w:tcW w:w="4660" w:type="dxa"/>
            <w:vAlign w:val="bottom"/>
            <w:gridSpan w:val="14"/>
          </w:tcPr>
          <w:p>
            <w:pPr>
              <w:spacing w:after="0" w:line="183" w:lineRule="exact"/>
              <w:rPr>
                <w:sz w:val="20"/>
                <w:szCs w:val="20"/>
                <w:color w:val="auto"/>
              </w:rPr>
            </w:pPr>
            <w:r>
              <w:rPr>
                <w:rFonts w:ascii="Arial" w:cs="Arial" w:eastAsia="Arial" w:hAnsi="Arial"/>
                <w:sz w:val="17"/>
                <w:szCs w:val="17"/>
                <w:color w:val="auto"/>
                <w:w w:val="93"/>
              </w:rPr>
              <w:t>Inline XBRL Instance Document - the instance document does not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line="18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gridSpan w:val="14"/>
          </w:tcPr>
          <w:p>
            <w:pPr>
              <w:spacing w:after="0" w:line="165" w:lineRule="exact"/>
              <w:rPr>
                <w:sz w:val="20"/>
                <w:szCs w:val="20"/>
                <w:color w:val="auto"/>
              </w:rPr>
            </w:pPr>
            <w:r>
              <w:rPr>
                <w:rFonts w:ascii="Arial" w:cs="Arial" w:eastAsia="Arial" w:hAnsi="Arial"/>
                <w:sz w:val="17"/>
                <w:szCs w:val="17"/>
                <w:color w:val="auto"/>
              </w:rPr>
              <w:t>appear in the Interactive Data File because its XBRL tags are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4"/>
          </w:tcPr>
          <w:p>
            <w:pPr>
              <w:spacing w:after="0"/>
              <w:rPr>
                <w:sz w:val="20"/>
                <w:szCs w:val="20"/>
                <w:color w:val="auto"/>
              </w:rPr>
            </w:pPr>
            <w:r>
              <w:rPr>
                <w:rFonts w:ascii="Arial" w:cs="Arial" w:eastAsia="Arial" w:hAnsi="Arial"/>
                <w:sz w:val="17"/>
                <w:szCs w:val="17"/>
                <w:color w:val="auto"/>
              </w:rPr>
              <w:t>embedded within the Inline XBRL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18"/>
                <w:szCs w:val="18"/>
                <w:color w:val="auto"/>
              </w:rPr>
            </w:pPr>
          </w:p>
        </w:tc>
        <w:tc>
          <w:tcPr>
            <w:tcW w:w="4660" w:type="dxa"/>
            <w:vAlign w:val="bottom"/>
            <w:gridSpan w:val="14"/>
          </w:tcPr>
          <w:p>
            <w:pPr>
              <w:spacing w:after="0"/>
              <w:rPr>
                <w:sz w:val="20"/>
                <w:szCs w:val="20"/>
                <w:color w:val="auto"/>
              </w:rPr>
            </w:pPr>
            <w:r>
              <w:rPr>
                <w:rFonts w:ascii="Arial" w:cs="Arial" w:eastAsia="Arial" w:hAnsi="Arial"/>
                <w:sz w:val="17"/>
                <w:szCs w:val="17"/>
                <w:color w:val="auto"/>
              </w:rPr>
              <w:t>Inline XBRL Taxonomy Extension Schema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18"/>
                <w:szCs w:val="18"/>
                <w:color w:val="auto"/>
              </w:rPr>
            </w:pPr>
          </w:p>
        </w:tc>
        <w:tc>
          <w:tcPr>
            <w:tcW w:w="4660" w:type="dxa"/>
            <w:vAlign w:val="bottom"/>
            <w:gridSpan w:val="14"/>
          </w:tcPr>
          <w:p>
            <w:pPr>
              <w:spacing w:after="0"/>
              <w:rPr>
                <w:sz w:val="20"/>
                <w:szCs w:val="20"/>
                <w:color w:val="auto"/>
              </w:rPr>
            </w:pPr>
            <w:r>
              <w:rPr>
                <w:rFonts w:ascii="Arial" w:cs="Arial" w:eastAsia="Arial" w:hAnsi="Arial"/>
                <w:sz w:val="17"/>
                <w:szCs w:val="17"/>
                <w:color w:val="auto"/>
              </w:rPr>
              <w:t>Inline XBRL Taxonomy Extension Calculation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20"/>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18"/>
                <w:szCs w:val="18"/>
                <w:color w:val="auto"/>
              </w:rPr>
            </w:pPr>
          </w:p>
        </w:tc>
        <w:tc>
          <w:tcPr>
            <w:tcW w:w="4660" w:type="dxa"/>
            <w:vAlign w:val="bottom"/>
            <w:gridSpan w:val="14"/>
          </w:tcPr>
          <w:p>
            <w:pPr>
              <w:spacing w:after="0"/>
              <w:rPr>
                <w:sz w:val="20"/>
                <w:szCs w:val="20"/>
                <w:color w:val="auto"/>
              </w:rPr>
            </w:pPr>
            <w:r>
              <w:rPr>
                <w:rFonts w:ascii="Arial" w:cs="Arial" w:eastAsia="Arial" w:hAnsi="Arial"/>
                <w:sz w:val="17"/>
                <w:szCs w:val="17"/>
                <w:color w:val="auto"/>
              </w:rPr>
              <w:t>Inline XBRL Taxonomy Extension Definition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18"/>
                <w:szCs w:val="18"/>
                <w:color w:val="auto"/>
              </w:rPr>
            </w:pPr>
          </w:p>
        </w:tc>
        <w:tc>
          <w:tcPr>
            <w:tcW w:w="4660" w:type="dxa"/>
            <w:vAlign w:val="bottom"/>
            <w:gridSpan w:val="14"/>
          </w:tcPr>
          <w:p>
            <w:pPr>
              <w:spacing w:after="0"/>
              <w:rPr>
                <w:sz w:val="20"/>
                <w:szCs w:val="20"/>
                <w:color w:val="auto"/>
              </w:rPr>
            </w:pPr>
            <w:r>
              <w:rPr>
                <w:rFonts w:ascii="Arial" w:cs="Arial" w:eastAsia="Arial" w:hAnsi="Arial"/>
                <w:sz w:val="17"/>
                <w:szCs w:val="17"/>
                <w:color w:val="auto"/>
              </w:rPr>
              <w:t>Inline XBRL Taxonomy Extension Label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680" w:type="dxa"/>
            <w:vAlign w:val="bottom"/>
            <w:gridSpan w:val="6"/>
          </w:tcPr>
          <w:p>
            <w:pPr>
              <w:jc w:val="right"/>
              <w:ind w:right="220"/>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18"/>
                <w:szCs w:val="18"/>
                <w:color w:val="auto"/>
              </w:rPr>
            </w:pPr>
          </w:p>
        </w:tc>
        <w:tc>
          <w:tcPr>
            <w:tcW w:w="4660" w:type="dxa"/>
            <w:vAlign w:val="bottom"/>
            <w:gridSpan w:val="14"/>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6"/>
        </w:trPr>
        <w:tc>
          <w:tcPr>
            <w:tcW w:w="1460" w:type="dxa"/>
            <w:vAlign w:val="bottom"/>
            <w:gridSpan w:val="4"/>
          </w:tcPr>
          <w:p>
            <w:pPr>
              <w:jc w:val="right"/>
              <w:ind w:right="60"/>
              <w:spacing w:after="0" w:line="166" w:lineRule="exact"/>
              <w:rPr>
                <w:sz w:val="20"/>
                <w:szCs w:val="20"/>
                <w:color w:val="auto"/>
              </w:rPr>
            </w:pPr>
            <w:r>
              <w:rPr>
                <w:rFonts w:ascii="Arial" w:cs="Arial" w:eastAsia="Arial" w:hAnsi="Arial"/>
                <w:sz w:val="17"/>
                <w:szCs w:val="17"/>
                <w:color w:val="auto"/>
              </w:rPr>
              <w:t>104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gridSpan w:val="14"/>
          </w:tcPr>
          <w:p>
            <w:pPr>
              <w:spacing w:after="0" w:line="166" w:lineRule="exact"/>
              <w:rPr>
                <w:sz w:val="20"/>
                <w:szCs w:val="20"/>
                <w:color w:val="auto"/>
              </w:rPr>
            </w:pPr>
            <w:r>
              <w:rPr>
                <w:rFonts w:ascii="Arial" w:cs="Arial" w:eastAsia="Arial" w:hAnsi="Arial"/>
                <w:sz w:val="17"/>
                <w:szCs w:val="17"/>
                <w:color w:val="auto"/>
              </w:rPr>
              <w:t>Cover Page Interactive Data File (embedded within the Inline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6"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4"/>
          </w:tcPr>
          <w:p>
            <w:pPr>
              <w:spacing w:after="0"/>
              <w:rPr>
                <w:sz w:val="20"/>
                <w:szCs w:val="20"/>
                <w:color w:val="auto"/>
              </w:rPr>
            </w:pPr>
            <w:r>
              <w:rPr>
                <w:rFonts w:ascii="Arial" w:cs="Arial" w:eastAsia="Arial" w:hAnsi="Arial"/>
                <w:sz w:val="17"/>
                <w:szCs w:val="17"/>
                <w:color w:val="auto"/>
              </w:rPr>
              <w:t>XBRL and contained in Exhibit 101)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00" w:type="dxa"/>
            <w:vAlign w:val="bottom"/>
            <w:gridSpan w:val="23"/>
          </w:tcPr>
          <w:p>
            <w:pPr>
              <w:spacing w:after="0"/>
              <w:rPr>
                <w:sz w:val="20"/>
                <w:szCs w:val="20"/>
                <w:color w:val="auto"/>
              </w:rPr>
            </w:pPr>
            <w:r>
              <w:rPr>
                <w:rFonts w:ascii="Arial" w:cs="Arial" w:eastAsia="Arial" w:hAnsi="Arial"/>
                <w:sz w:val="17"/>
                <w:szCs w:val="17"/>
                <w:color w:val="auto"/>
                <w:w w:val="92"/>
              </w:rPr>
              <w:t>In accordance with Item 601(b)(32)(ii) of Regulation S-K and SEC Release No. 34-47986, the certifications furnished in Exhibits 32.1 and</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gridSpan w:val="23"/>
          </w:tcPr>
          <w:p>
            <w:pPr>
              <w:spacing w:after="0" w:line="165" w:lineRule="exact"/>
              <w:rPr>
                <w:sz w:val="20"/>
                <w:szCs w:val="20"/>
                <w:color w:val="auto"/>
              </w:rPr>
            </w:pPr>
            <w:r>
              <w:rPr>
                <w:rFonts w:ascii="Arial" w:cs="Arial" w:eastAsia="Arial" w:hAnsi="Arial"/>
                <w:sz w:val="17"/>
                <w:szCs w:val="17"/>
                <w:color w:val="auto"/>
                <w:w w:val="93"/>
              </w:rPr>
              <w:t>32.2 hereto are deemed to accompany this Form 10-Q and will not be deemed “filed” for purposes of Section 18 of the Exchange Act or</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gridSpan w:val="23"/>
          </w:tcPr>
          <w:p>
            <w:pPr>
              <w:spacing w:after="0" w:line="165" w:lineRule="exact"/>
              <w:rPr>
                <w:sz w:val="20"/>
                <w:szCs w:val="20"/>
                <w:color w:val="auto"/>
              </w:rPr>
            </w:pPr>
            <w:r>
              <w:rPr>
                <w:rFonts w:ascii="Arial" w:cs="Arial" w:eastAsia="Arial" w:hAnsi="Arial"/>
                <w:sz w:val="17"/>
                <w:szCs w:val="17"/>
                <w:color w:val="auto"/>
                <w:w w:val="91"/>
              </w:rPr>
              <w:t>deemed to be incorporated by reference into any filing under the Exchange Act or the Securities Act except to the extent that the registrant</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4"/>
          </w:tcPr>
          <w:p>
            <w:pPr>
              <w:spacing w:after="0"/>
              <w:rPr>
                <w:sz w:val="20"/>
                <w:szCs w:val="20"/>
                <w:color w:val="auto"/>
              </w:rPr>
            </w:pPr>
            <w:r>
              <w:rPr>
                <w:rFonts w:ascii="Arial" w:cs="Arial" w:eastAsia="Arial" w:hAnsi="Arial"/>
                <w:sz w:val="17"/>
                <w:szCs w:val="17"/>
                <w:color w:val="auto"/>
              </w:rPr>
              <w:t>specifically incorporates it by reference.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09" w:right="37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SIGNATURES</w:t>
      </w:r>
    </w:p>
    <w:p>
      <w:pPr>
        <w:spacing w:after="0" w:line="214" w:lineRule="exact"/>
        <w:rPr>
          <w:sz w:val="20"/>
          <w:szCs w:val="20"/>
          <w:color w:val="auto"/>
        </w:rPr>
      </w:pPr>
    </w:p>
    <w:p>
      <w:pPr>
        <w:ind w:firstLine="723"/>
        <w:spacing w:after="0" w:line="27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Date: November 9, 2021</w:t>
      </w:r>
    </w:p>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VERACYTE, INC.</w:t>
      </w:r>
    </w:p>
    <w:p>
      <w:pPr>
        <w:spacing w:after="0" w:line="312" w:lineRule="exact"/>
        <w:rPr>
          <w:sz w:val="20"/>
          <w:szCs w:val="20"/>
          <w:color w:val="auto"/>
        </w:rPr>
      </w:pPr>
    </w:p>
    <w:p>
      <w:pPr>
        <w:ind w:left="4460"/>
        <w:spacing w:after="0"/>
        <w:tabs>
          <w:tab w:leader="none" w:pos="5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36830</wp:posOffset>
            </wp:positionV>
            <wp:extent cx="18599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Rebecca Chambers</w:t>
      </w:r>
    </w:p>
    <w:p>
      <w:pPr>
        <w:ind w:left="5740"/>
        <w:spacing w:after="0"/>
        <w:rPr>
          <w:sz w:val="20"/>
          <w:szCs w:val="20"/>
          <w:color w:val="auto"/>
        </w:rPr>
      </w:pPr>
      <w:r>
        <w:rPr>
          <w:rFonts w:ascii="Arial" w:cs="Arial" w:eastAsia="Arial" w:hAnsi="Arial"/>
          <w:sz w:val="17"/>
          <w:szCs w:val="17"/>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12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9"/>
          <w:szCs w:val="19"/>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1982470</wp:posOffset>
            </wp:positionH>
            <wp:positionV relativeFrom="paragraph">
              <wp:posOffset>161925</wp:posOffset>
            </wp:positionV>
            <wp:extent cx="901700" cy="660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017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08/15/2021</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Note: This Offer Letter amends and replaces the Offer Letter dated 6/24/21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Rebecca Chambers 4233 Ridgeway Drive San Diego, CA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92116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Dear Rebecca Chambers:</w:t>
      </w:r>
    </w:p>
    <w:p>
      <w:pPr>
        <w:spacing w:after="0" w:line="236"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We’re delighted to confirm our offer of employment as Veracyte’s Chief Financial Officer. In this role, you will report to Marc Stapley, Chief Executive Officer. (You should note that the Company may modify job titles and reporting relationships from time to time as it deems necessary.)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this offer are as follows:</w:t>
      </w:r>
    </w:p>
    <w:p>
      <w:pPr>
        <w:spacing w:after="0" w:line="248" w:lineRule="exact"/>
        <w:rPr>
          <w:sz w:val="20"/>
          <w:szCs w:val="20"/>
          <w:color w:val="auto"/>
        </w:rPr>
      </w:pPr>
    </w:p>
    <w:p>
      <w:pPr>
        <w:ind w:left="620" w:right="100" w:hanging="313"/>
        <w:spacing w:after="0" w:line="273" w:lineRule="auto"/>
        <w:tabs>
          <w:tab w:leader="none" w:pos="609" w:val="left"/>
        </w:tabs>
        <w:numPr>
          <w:ilvl w:val="0"/>
          <w:numId w:val="32"/>
        </w:numPr>
        <w:rPr>
          <w:rFonts w:ascii="Arial" w:cs="Arial" w:eastAsia="Arial" w:hAnsi="Arial"/>
          <w:sz w:val="17"/>
          <w:szCs w:val="17"/>
          <w:color w:val="auto"/>
        </w:rPr>
      </w:pPr>
      <w:r>
        <w:rPr>
          <w:rFonts w:ascii="Arial" w:cs="Arial" w:eastAsia="Arial" w:hAnsi="Arial"/>
          <w:sz w:val="17"/>
          <w:szCs w:val="17"/>
          <w:color w:val="auto"/>
        </w:rPr>
        <w:t>You will receive a base salary of $450,000 per year, less all applicable taxes and withholdings, paid in accordance with Veracyte’s established payroll schedule, presently semi-monthly.</w:t>
      </w:r>
    </w:p>
    <w:p>
      <w:pPr>
        <w:spacing w:after="0" w:line="138" w:lineRule="exact"/>
        <w:rPr>
          <w:rFonts w:ascii="Arial" w:cs="Arial" w:eastAsia="Arial" w:hAnsi="Arial"/>
          <w:sz w:val="17"/>
          <w:szCs w:val="17"/>
          <w:color w:val="auto"/>
        </w:rPr>
      </w:pPr>
    </w:p>
    <w:p>
      <w:pPr>
        <w:ind w:left="620" w:right="280"/>
        <w:spacing w:after="0" w:line="258" w:lineRule="auto"/>
        <w:rPr>
          <w:rFonts w:ascii="Arial" w:cs="Arial" w:eastAsia="Arial" w:hAnsi="Arial"/>
          <w:sz w:val="17"/>
          <w:szCs w:val="17"/>
          <w:color w:val="auto"/>
        </w:rPr>
      </w:pPr>
      <w:r>
        <w:rPr>
          <w:rFonts w:ascii="Arial" w:cs="Arial" w:eastAsia="Arial" w:hAnsi="Arial"/>
          <w:sz w:val="17"/>
          <w:szCs w:val="17"/>
          <w:color w:val="auto"/>
        </w:rPr>
        <w:t>In addition, you will be eligible to participate in the Company’s 2021 Bonus Plan. Your target bonus for 2021 will be 55% of eligible annual earnings. Payout is dependent on company and individual performance and is not guaranteed.</w:t>
      </w:r>
    </w:p>
    <w:p>
      <w:pPr>
        <w:spacing w:after="0" w:line="124" w:lineRule="exact"/>
        <w:rPr>
          <w:rFonts w:ascii="Arial" w:cs="Arial" w:eastAsia="Arial" w:hAnsi="Arial"/>
          <w:sz w:val="17"/>
          <w:szCs w:val="17"/>
          <w:color w:val="auto"/>
        </w:rPr>
      </w:pPr>
    </w:p>
    <w:p>
      <w:pPr>
        <w:ind w:left="620" w:right="400" w:hanging="313"/>
        <w:spacing w:after="0" w:line="252" w:lineRule="auto"/>
        <w:tabs>
          <w:tab w:leader="none" w:pos="60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Board of Directors has agreed to offer equity participation to you. You will be granted the option to purchase 67,000 shares of Veracyte Common Stock. The price per share will be equal to the fair market value of the Common Stock on the date of grant (your hire date). The vesting schedule will be 1/4 of the shares vesting on the first anniversary of your employment, and then 1/48 of the shares vesting each month for the next 36 months.</w:t>
      </w:r>
    </w:p>
    <w:p>
      <w:pPr>
        <w:spacing w:after="0" w:line="218" w:lineRule="exact"/>
        <w:rPr>
          <w:rFonts w:ascii="Arial" w:cs="Arial" w:eastAsia="Arial" w:hAnsi="Arial"/>
          <w:sz w:val="17"/>
          <w:szCs w:val="17"/>
          <w:color w:val="auto"/>
        </w:rPr>
      </w:pPr>
    </w:p>
    <w:p>
      <w:pPr>
        <w:ind w:left="620" w:right="320"/>
        <w:spacing w:after="0" w:line="249" w:lineRule="auto"/>
        <w:rPr>
          <w:rFonts w:ascii="Arial" w:cs="Arial" w:eastAsia="Arial" w:hAnsi="Arial"/>
          <w:sz w:val="17"/>
          <w:szCs w:val="17"/>
          <w:color w:val="auto"/>
        </w:rPr>
      </w:pPr>
      <w:r>
        <w:rPr>
          <w:rFonts w:ascii="Arial" w:cs="Arial" w:eastAsia="Arial" w:hAnsi="Arial"/>
          <w:sz w:val="17"/>
          <w:szCs w:val="17"/>
          <w:color w:val="auto"/>
        </w:rPr>
        <w:t>In addition, you will be granted 34,000 restricted stock units (RSUs) of Veracyte’s common stock as recommended and approved by the Company’s Board of Directors following commencement of your full-time employment with Veracyte. Your RSUs will vest over four years, with the first 1/4th vesting on September 2, 2022 and your remaining RSUs vesting 1/16th per quarter</w:t>
      </w:r>
    </w:p>
    <w:p>
      <w:pPr>
        <w:ind w:left="620"/>
        <w:spacing w:after="0"/>
        <w:rPr>
          <w:rFonts w:ascii="Arial" w:cs="Arial" w:eastAsia="Arial" w:hAnsi="Arial"/>
          <w:sz w:val="17"/>
          <w:szCs w:val="17"/>
          <w:color w:val="auto"/>
        </w:rPr>
      </w:pPr>
      <w:r>
        <w:rPr>
          <w:rFonts w:ascii="Arial" w:cs="Arial" w:eastAsia="Arial" w:hAnsi="Arial"/>
          <w:sz w:val="17"/>
          <w:szCs w:val="17"/>
          <w:color w:val="auto"/>
        </w:rPr>
        <w:t>thereafter on the company’s RSU vesting schedule.</w:t>
      </w:r>
    </w:p>
    <w:p>
      <w:pPr>
        <w:spacing w:after="0" w:line="222" w:lineRule="exact"/>
        <w:rPr>
          <w:rFonts w:ascii="Arial" w:cs="Arial" w:eastAsia="Arial" w:hAnsi="Arial"/>
          <w:sz w:val="17"/>
          <w:szCs w:val="17"/>
          <w:color w:val="auto"/>
        </w:rPr>
      </w:pPr>
    </w:p>
    <w:p>
      <w:pPr>
        <w:ind w:left="620" w:right="380"/>
        <w:spacing w:after="0" w:line="249" w:lineRule="auto"/>
        <w:rPr>
          <w:rFonts w:ascii="Arial" w:cs="Arial" w:eastAsia="Arial" w:hAnsi="Arial"/>
          <w:sz w:val="17"/>
          <w:szCs w:val="17"/>
          <w:color w:val="auto"/>
        </w:rPr>
      </w:pPr>
      <w:r>
        <w:rPr>
          <w:rFonts w:ascii="Arial" w:cs="Arial" w:eastAsia="Arial" w:hAnsi="Arial"/>
          <w:sz w:val="17"/>
          <w:szCs w:val="17"/>
          <w:color w:val="auto"/>
        </w:rPr>
        <w:t>The Company has also granted you 13,600 Performance Stock Units (PSUs). The PSUs will be subject to the same terms and conditions, including performance metrics and vesting requirements, as the PSUs granted to certain of the Company’s executive officers in February</w:t>
      </w:r>
    </w:p>
    <w:p>
      <w:pPr>
        <w:ind w:left="620" w:right="760"/>
        <w:spacing w:after="0" w:line="258" w:lineRule="auto"/>
        <w:rPr>
          <w:rFonts w:ascii="Arial" w:cs="Arial" w:eastAsia="Arial" w:hAnsi="Arial"/>
          <w:sz w:val="17"/>
          <w:szCs w:val="17"/>
          <w:color w:val="auto"/>
        </w:rPr>
      </w:pPr>
      <w:r>
        <w:rPr>
          <w:rFonts w:ascii="Arial" w:cs="Arial" w:eastAsia="Arial" w:hAnsi="Arial"/>
          <w:sz w:val="17"/>
          <w:szCs w:val="17"/>
          <w:color w:val="auto"/>
        </w:rPr>
        <w:t>2021. The PSU will be further subject to the terms and conditions set forth in the applicable award agreement between you and the Company, the Company’s 2013 Stock Incentive Plan and the Company’s Change of Control and Severance Agreement.</w:t>
      </w:r>
    </w:p>
    <w:p>
      <w:pPr>
        <w:spacing w:after="0" w:line="124" w:lineRule="exact"/>
        <w:rPr>
          <w:rFonts w:ascii="Arial" w:cs="Arial" w:eastAsia="Arial" w:hAnsi="Arial"/>
          <w:sz w:val="17"/>
          <w:szCs w:val="17"/>
          <w:color w:val="auto"/>
        </w:rPr>
      </w:pPr>
    </w:p>
    <w:p>
      <w:pPr>
        <w:ind w:left="600" w:hanging="293"/>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Veracyte will provide you a sign-on bonus of $100,000 (less applicable taxes and withholdings) contingent upon starting by July 19,</w:t>
      </w:r>
    </w:p>
    <w:p>
      <w:pPr>
        <w:spacing w:after="0" w:line="7" w:lineRule="exact"/>
        <w:rPr>
          <w:rFonts w:ascii="Arial" w:cs="Arial" w:eastAsia="Arial" w:hAnsi="Arial"/>
          <w:sz w:val="17"/>
          <w:szCs w:val="17"/>
          <w:color w:val="auto"/>
        </w:rPr>
      </w:pPr>
    </w:p>
    <w:p>
      <w:pPr>
        <w:ind w:left="620" w:right="480"/>
        <w:spacing w:after="0" w:line="258" w:lineRule="auto"/>
        <w:rPr>
          <w:rFonts w:ascii="Arial" w:cs="Arial" w:eastAsia="Arial" w:hAnsi="Arial"/>
          <w:sz w:val="17"/>
          <w:szCs w:val="17"/>
          <w:color w:val="auto"/>
        </w:rPr>
      </w:pPr>
      <w:r>
        <w:rPr>
          <w:rFonts w:ascii="Arial" w:cs="Arial" w:eastAsia="Arial" w:hAnsi="Arial"/>
          <w:sz w:val="17"/>
          <w:szCs w:val="17"/>
          <w:color w:val="auto"/>
        </w:rPr>
        <w:t>2021. It will be included in your first paycheck. If you voluntarily resign within 12 months of your start date, you will be required to repay Veracyte.</w:t>
      </w:r>
    </w:p>
    <w:p>
      <w:pPr>
        <w:spacing w:after="0" w:line="226" w:lineRule="exact"/>
        <w:rPr>
          <w:rFonts w:ascii="Arial" w:cs="Arial" w:eastAsia="Arial" w:hAnsi="Arial"/>
          <w:sz w:val="17"/>
          <w:szCs w:val="17"/>
          <w:color w:val="auto"/>
        </w:rPr>
      </w:pPr>
    </w:p>
    <w:p>
      <w:pPr>
        <w:ind w:left="620" w:right="100" w:hanging="313"/>
        <w:spacing w:after="0" w:line="273" w:lineRule="auto"/>
        <w:tabs>
          <w:tab w:leader="none" w:pos="609" w:val="left"/>
        </w:tabs>
        <w:numPr>
          <w:ilvl w:val="0"/>
          <w:numId w:val="32"/>
        </w:numPr>
        <w:rPr>
          <w:rFonts w:ascii="Arial" w:cs="Arial" w:eastAsia="Arial" w:hAnsi="Arial"/>
          <w:sz w:val="17"/>
          <w:szCs w:val="17"/>
          <w:color w:val="auto"/>
        </w:rPr>
      </w:pPr>
      <w:r>
        <w:rPr>
          <w:rFonts w:ascii="Arial" w:cs="Arial" w:eastAsia="Arial" w:hAnsi="Arial"/>
          <w:sz w:val="17"/>
          <w:szCs w:val="17"/>
          <w:color w:val="auto"/>
        </w:rPr>
        <w:t>You also will be eligible for medical, dental, vision and life insurance benefits, and participation in the Company’s 401(k) and Employee Stock Purchase Plans, which will be further detailed in a separate conversation with Human Resources.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spacing w:after="0"/>
        <w:rPr>
          <w:sz w:val="20"/>
          <w:szCs w:val="20"/>
          <w:color w:val="auto"/>
        </w:rPr>
      </w:pPr>
      <w:r>
        <w:rPr>
          <w:rFonts w:ascii="Arial" w:cs="Arial" w:eastAsia="Arial" w:hAnsi="Arial"/>
          <w:sz w:val="14"/>
          <w:szCs w:val="14"/>
          <w:color w:val="auto"/>
        </w:rPr>
        <w:t>6000 Shoreline Court, Suite 300, South San Francisco, CA 94080 | T: 650.243.6300 | F: 650.243.6301</w:t>
      </w:r>
    </w:p>
    <w:p>
      <w:pPr>
        <w:sectPr>
          <w:pgSz w:w="11900" w:h="16838" w:orient="portrait"/>
          <w:cols w:equalWidth="0" w:num="1">
            <w:col w:w="11140"/>
          </w:cols>
          <w:pgMar w:left="420" w:top="135" w:right="339" w:bottom="1440" w:gutter="0" w:footer="0" w:header="0"/>
        </w:sectPr>
      </w:pPr>
    </w:p>
    <w:bookmarkStart w:id="88" w:name="page89"/>
    <w:bookmarkEnd w:id="88"/>
    <w:p>
      <w:pPr>
        <w:ind w:left="620"/>
        <w:spacing w:after="0" w:line="258" w:lineRule="auto"/>
        <w:rPr>
          <w:sz w:val="20"/>
          <w:szCs w:val="20"/>
          <w:color w:val="auto"/>
        </w:rPr>
      </w:pPr>
      <w:r>
        <w:rPr>
          <w:rFonts w:ascii="Arial" w:cs="Arial" w:eastAsia="Arial" w:hAnsi="Arial"/>
          <w:sz w:val="17"/>
          <w:szCs w:val="17"/>
          <w:color w:val="auto"/>
        </w:rPr>
        <w:t>Also, you will be eligible for paid time off and company paid holidays in accordance with Veracyte’s established policies. These and other policies are explained fully in the Company’s employee handbook.</w:t>
      </w:r>
    </w:p>
    <w:p>
      <w:pPr>
        <w:spacing w:after="0" w:line="214" w:lineRule="exact"/>
        <w:rPr>
          <w:sz w:val="20"/>
          <w:szCs w:val="20"/>
          <w:color w:val="auto"/>
        </w:rPr>
      </w:pPr>
    </w:p>
    <w:p>
      <w:pPr>
        <w:ind w:left="620" w:right="440" w:hanging="313"/>
        <w:spacing w:after="0" w:line="253" w:lineRule="auto"/>
        <w:tabs>
          <w:tab w:leader="none" w:pos="609"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accordance with Federal immigration law, you will be required to provide the Company documentary evidence of your identity and eligibility for employment in the United States. This documentation must be provided to the Company within three (3) business days of your date of hire, or the Company may terminate its employment relationship with you.</w:t>
      </w:r>
    </w:p>
    <w:p>
      <w:pPr>
        <w:spacing w:after="0" w:line="231" w:lineRule="exact"/>
        <w:rPr>
          <w:rFonts w:ascii="Arial" w:cs="Arial" w:eastAsia="Arial" w:hAnsi="Arial"/>
          <w:sz w:val="17"/>
          <w:szCs w:val="17"/>
          <w:color w:val="auto"/>
        </w:rPr>
      </w:pPr>
    </w:p>
    <w:p>
      <w:pPr>
        <w:jc w:val="both"/>
        <w:ind w:left="620" w:hanging="313"/>
        <w:spacing w:after="0" w:line="269" w:lineRule="auto"/>
        <w:tabs>
          <w:tab w:leader="none" w:pos="609"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accordance with the law, employment with the Company is at-will, and may be terminated at any time by you or the Company, with or without cause and with or without notice. However, if employment is terminated by you, the Company requests that you provide as much notice as possible.</w:t>
      </w:r>
    </w:p>
    <w:p>
      <w:pPr>
        <w:spacing w:after="0" w:line="217" w:lineRule="exact"/>
        <w:rPr>
          <w:rFonts w:ascii="Arial" w:cs="Arial" w:eastAsia="Arial" w:hAnsi="Arial"/>
          <w:sz w:val="17"/>
          <w:szCs w:val="17"/>
          <w:color w:val="auto"/>
        </w:rPr>
      </w:pPr>
    </w:p>
    <w:p>
      <w:pPr>
        <w:jc w:val="both"/>
        <w:ind w:left="620" w:hanging="313"/>
        <w:spacing w:after="0" w:line="266" w:lineRule="auto"/>
        <w:tabs>
          <w:tab w:leader="none" w:pos="609" w:val="left"/>
        </w:tabs>
        <w:numPr>
          <w:ilvl w:val="0"/>
          <w:numId w:val="33"/>
        </w:numPr>
        <w:rPr>
          <w:rFonts w:ascii="Arial" w:cs="Arial" w:eastAsia="Arial" w:hAnsi="Arial"/>
          <w:sz w:val="17"/>
          <w:szCs w:val="17"/>
          <w:color w:val="auto"/>
        </w:rPr>
      </w:pPr>
      <w:r>
        <w:rPr>
          <w:rFonts w:ascii="Arial" w:cs="Arial" w:eastAsia="Arial" w:hAnsi="Arial"/>
          <w:sz w:val="17"/>
          <w:szCs w:val="17"/>
          <w:color w:val="auto"/>
        </w:rPr>
        <w:t>Employment with the Company is contingent upon your signature of, and compliance with, its At- Will Employment, Confidential Information and Invention Assignment and Arbitration Agreement. This requires, among other provisions, the assignment of patent rights to any invention made during your employment with the Company, as well as non-disclosure of Company proprietary information. There is also a requirement for resolution by binding arbitration of any dispute arising out of our employment relationship. The arbitration requirement is described in detail in the agreement, a copy of which is enclosed with this offer. Kindly send a signed copy of this agreement to Geraldine Yamaguchi (geraldine@veracyte.com) prior to your first day of employment.</w:t>
      </w:r>
    </w:p>
    <w:p>
      <w:pPr>
        <w:spacing w:after="0" w:line="208" w:lineRule="exact"/>
        <w:rPr>
          <w:rFonts w:ascii="Arial" w:cs="Arial" w:eastAsia="Arial" w:hAnsi="Arial"/>
          <w:sz w:val="17"/>
          <w:szCs w:val="17"/>
          <w:color w:val="auto"/>
        </w:rPr>
      </w:pPr>
    </w:p>
    <w:p>
      <w:pPr>
        <w:ind w:left="600" w:hanging="294"/>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offer is contingent upon a successfully completed background report.</w:t>
      </w:r>
    </w:p>
    <w:p>
      <w:pPr>
        <w:spacing w:after="0" w:line="2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accept the Company’s offer, please sign and date this letter in the space provided below. Your target start date is July 19, 2021. This letter, together with any agreements relating to proprietary rights as herein described, sets forth the terms of your employment with the Company, and supersedes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written agreement signed by an Officer of the Company and you.</w:t>
      </w:r>
    </w:p>
    <w:p>
      <w:pPr>
        <w:spacing w:after="0" w:line="22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We’re all keenly looking forward to welcoming you aboard! If you have any questions about this offer or its terms, please feel free to contact Jennifer Harvey, HR Director, directly at 650-243-6328.</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/s/ Marc Stapley</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Marc Stapley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Agreed to and accepted: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Signature: /s/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-18415</wp:posOffset>
            </wp:positionV>
            <wp:extent cx="12103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Printed Name: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-18415</wp:posOffset>
            </wp:positionV>
            <wp:extent cx="1067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Date: 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-18415</wp:posOffset>
            </wp:positionV>
            <wp:extent cx="5962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ectPr>
          <w:pgSz w:w="11900" w:h="16838" w:orient="portrait"/>
          <w:cols w:equalWidth="0" w:num="1">
            <w:col w:w="11040"/>
          </w:cols>
          <w:pgMar w:left="420" w:top="925" w:right="439" w:bottom="1440" w:gutter="0" w:footer="0" w:header="0"/>
        </w:sectPr>
      </w:pPr>
    </w:p>
    <w:bookmarkStart w:id="89" w:name="page90"/>
    <w:bookmarkEnd w:id="89"/>
    <w:p>
      <w:pPr>
        <w:jc w:val="right"/>
        <w:spacing w:after="0"/>
        <w:rPr>
          <w:sz w:val="20"/>
          <w:szCs w:val="20"/>
          <w:color w:val="auto"/>
        </w:rPr>
      </w:pPr>
      <w:r>
        <w:rPr>
          <w:rFonts w:ascii="Arial" w:cs="Arial" w:eastAsia="Arial" w:hAnsi="Arial"/>
          <w:sz w:val="19"/>
          <w:szCs w:val="19"/>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VERACYTE,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CHANGE OF CONTROL AND SEVERANCE AGREEMENT</w:t>
      </w:r>
    </w:p>
    <w:p>
      <w:pPr>
        <w:spacing w:after="0" w:line="204" w:lineRule="exact"/>
        <w:rPr>
          <w:sz w:val="20"/>
          <w:szCs w:val="20"/>
          <w:color w:val="auto"/>
        </w:rPr>
      </w:pPr>
    </w:p>
    <w:p>
      <w:pPr>
        <w:ind w:right="860" w:firstLine="609"/>
        <w:spacing w:after="0" w:line="390" w:lineRule="auto"/>
        <w:rPr>
          <w:sz w:val="20"/>
          <w:szCs w:val="20"/>
          <w:color w:val="auto"/>
        </w:rPr>
      </w:pPr>
      <w:r>
        <w:rPr>
          <w:rFonts w:ascii="Arial" w:cs="Arial" w:eastAsia="Arial" w:hAnsi="Arial"/>
          <w:sz w:val="15"/>
          <w:szCs w:val="15"/>
          <w:color w:val="auto"/>
        </w:rPr>
        <w:t>This Change of Control and Severance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made and entered into by and between Rebecca Chambers (“</w:t>
      </w:r>
      <w:r>
        <w:rPr>
          <w:rFonts w:ascii="Arial" w:cs="Arial" w:eastAsia="Arial" w:hAnsi="Arial"/>
          <w:sz w:val="15"/>
          <w:szCs w:val="15"/>
          <w:b w:val="1"/>
          <w:bCs w:val="1"/>
          <w:i w:val="1"/>
          <w:iCs w:val="1"/>
          <w:color w:val="auto"/>
        </w:rPr>
        <w:t>Executive</w:t>
      </w:r>
      <w:r>
        <w:rPr>
          <w:rFonts w:ascii="Arial" w:cs="Arial" w:eastAsia="Arial" w:hAnsi="Arial"/>
          <w:sz w:val="15"/>
          <w:szCs w:val="15"/>
          <w:color w:val="auto"/>
        </w:rPr>
        <w:t>”) and Veracyte,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effective as of July 19, 2021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RECITALS</w:t>
      </w:r>
    </w:p>
    <w:p>
      <w:pPr>
        <w:spacing w:after="0" w:line="200" w:lineRule="exact"/>
        <w:rPr>
          <w:sz w:val="20"/>
          <w:szCs w:val="20"/>
          <w:color w:val="auto"/>
        </w:rPr>
      </w:pPr>
    </w:p>
    <w:p>
      <w:pPr>
        <w:jc w:val="both"/>
        <w:ind w:right="280" w:firstLine="610"/>
        <w:spacing w:after="0" w:line="281" w:lineRule="auto"/>
        <w:tabs>
          <w:tab w:leader="none" w:pos="93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Lea to a Change of Control and to motivate Executive to maximize the value of the Company upon a Change of Control for the benefit of its stockholders.</w:t>
      </w:r>
    </w:p>
    <w:p>
      <w:pPr>
        <w:spacing w:after="0" w:line="149" w:lineRule="exact"/>
        <w:rPr>
          <w:rFonts w:ascii="Arial" w:cs="Arial" w:eastAsia="Arial" w:hAnsi="Arial"/>
          <w:sz w:val="17"/>
          <w:szCs w:val="17"/>
          <w:color w:val="auto"/>
        </w:rPr>
      </w:pPr>
    </w:p>
    <w:p>
      <w:pPr>
        <w:ind w:right="40" w:firstLine="610"/>
        <w:spacing w:after="0" w:line="247" w:lineRule="auto"/>
        <w:tabs>
          <w:tab w:leader="none" w:pos="93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4" w:lineRule="exact"/>
        <w:rPr>
          <w:rFonts w:ascii="Arial" w:cs="Arial" w:eastAsia="Arial" w:hAnsi="Arial"/>
          <w:sz w:val="19"/>
          <w:szCs w:val="19"/>
          <w:color w:val="auto"/>
        </w:rPr>
      </w:pPr>
    </w:p>
    <w:p>
      <w:pPr>
        <w:ind w:left="940" w:hanging="330"/>
        <w:spacing w:after="0"/>
        <w:tabs>
          <w:tab w:leader="none" w:pos="9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Certain capitalized terms used in the Agreement are defined in Section 6 below.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AGREEME</w:t>
      </w:r>
      <w:r>
        <w:rPr>
          <w:rFonts w:ascii="Arial" w:cs="Arial" w:eastAsia="Arial" w:hAnsi="Arial"/>
          <w:sz w:val="19"/>
          <w:szCs w:val="19"/>
          <w:b w:val="1"/>
          <w:bCs w:val="1"/>
          <w:u w:val="single" w:color="auto"/>
          <w:color w:val="auto"/>
        </w:rPr>
        <w:t>N</w:t>
      </w:r>
      <w:r>
        <w:rPr>
          <w:rFonts w:ascii="Arial" w:cs="Arial" w:eastAsia="Arial" w:hAnsi="Arial"/>
          <w:sz w:val="19"/>
          <w:szCs w:val="19"/>
          <w:u w:val="single" w:color="auto"/>
          <w:color w:val="auto"/>
        </w:rPr>
        <w:t>T</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NOW, THEREFORE, in consideration of the mutual covenants contained herein, the parties hereto agree as </w:t>
      </w:r>
      <w:r>
        <w:rPr>
          <w:rFonts w:ascii="Arial" w:cs="Arial" w:eastAsia="Arial" w:hAnsi="Arial"/>
          <w:sz w:val="19"/>
          <w:szCs w:val="19"/>
          <w:color w:val="1F1F24"/>
        </w:rPr>
        <w:t>follows:</w:t>
      </w:r>
    </w:p>
    <w:p>
      <w:pPr>
        <w:spacing w:after="0" w:line="200" w:lineRule="exact"/>
        <w:rPr>
          <w:sz w:val="20"/>
          <w:szCs w:val="20"/>
          <w:color w:val="auto"/>
        </w:rPr>
      </w:pPr>
    </w:p>
    <w:p>
      <w:pPr>
        <w:ind w:firstLine="610"/>
        <w:spacing w:after="0" w:line="273" w:lineRule="auto"/>
        <w:tabs>
          <w:tab w:leader="none" w:pos="934" w:val="left"/>
        </w:tabs>
        <w:numPr>
          <w:ilvl w:val="0"/>
          <w:numId w:val="35"/>
        </w:numPr>
        <w:rPr>
          <w:rFonts w:ascii="Arial" w:cs="Arial" w:eastAsia="Arial" w:hAnsi="Arial"/>
          <w:sz w:val="17"/>
          <w:szCs w:val="17"/>
          <w:color w:val="010000"/>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Term</w:t>
      </w:r>
      <w:r>
        <w:rPr>
          <w:rFonts w:ascii="Arial" w:cs="Arial" w:eastAsia="Arial" w:hAnsi="Arial"/>
          <w:sz w:val="17"/>
          <w:szCs w:val="17"/>
          <w:color w:val="auto"/>
        </w:rPr>
        <w:t>”), unless either party provides the other party with written notice of non-renewal at least sixty (60) days prior to the date of automatic renewal.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55" w:lineRule="exact"/>
        <w:rPr>
          <w:rFonts w:ascii="Arial" w:cs="Arial" w:eastAsia="Arial" w:hAnsi="Arial"/>
          <w:sz w:val="17"/>
          <w:szCs w:val="17"/>
          <w:color w:val="010000"/>
        </w:rPr>
      </w:pPr>
    </w:p>
    <w:p>
      <w:pPr>
        <w:ind w:right="240" w:firstLine="610"/>
        <w:spacing w:after="0" w:line="247" w:lineRule="auto"/>
        <w:tabs>
          <w:tab w:leader="none" w:pos="934" w:val="left"/>
        </w:tabs>
        <w:numPr>
          <w:ilvl w:val="0"/>
          <w:numId w:val="35"/>
        </w:numPr>
        <w:rPr>
          <w:rFonts w:ascii="Arial" w:cs="Arial" w:eastAsia="Arial" w:hAnsi="Arial"/>
          <w:sz w:val="19"/>
          <w:szCs w:val="19"/>
          <w:color w:val="010000"/>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Company and Executive acknowledge that Executive’s employment is and will continue to be at-will, as defined under applicable law</w:t>
      </w:r>
      <w:r>
        <w:rPr>
          <w:rFonts w:ascii="Arial" w:cs="Arial" w:eastAsia="Arial" w:hAnsi="Arial"/>
          <w:sz w:val="19"/>
          <w:szCs w:val="19"/>
          <w:color w:val="4B4B4B"/>
        </w:rPr>
        <w:t>.</w:t>
      </w:r>
      <w:r>
        <w:rPr>
          <w:rFonts w:ascii="Arial" w:cs="Arial" w:eastAsia="Arial" w:hAnsi="Arial"/>
          <w:sz w:val="19"/>
          <w:szCs w:val="19"/>
          <w:color w:val="auto"/>
        </w:rPr>
        <w:t xml:space="preserve"> As an at-will employee, either the Company or the Executive may terminate the employment relationship at any time, with or without Cause.</w:t>
      </w:r>
    </w:p>
    <w:p>
      <w:pPr>
        <w:spacing w:after="0" w:line="174" w:lineRule="exact"/>
        <w:rPr>
          <w:rFonts w:ascii="Arial" w:cs="Arial" w:eastAsia="Arial" w:hAnsi="Arial"/>
          <w:sz w:val="19"/>
          <w:szCs w:val="19"/>
          <w:color w:val="010000"/>
        </w:rPr>
      </w:pPr>
    </w:p>
    <w:p>
      <w:pPr>
        <w:ind w:left="940" w:hanging="330"/>
        <w:spacing w:after="0"/>
        <w:tabs>
          <w:tab w:leader="none" w:pos="940" w:val="left"/>
        </w:tabs>
        <w:numPr>
          <w:ilvl w:val="0"/>
          <w:numId w:val="35"/>
        </w:numPr>
        <w:rPr>
          <w:rFonts w:ascii="Arial" w:cs="Arial" w:eastAsia="Arial" w:hAnsi="Arial"/>
          <w:sz w:val="19"/>
          <w:szCs w:val="19"/>
          <w:color w:val="010000"/>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99" w:lineRule="exact"/>
        <w:rPr>
          <w:rFonts w:ascii="Arial" w:cs="Arial" w:eastAsia="Arial" w:hAnsi="Arial"/>
          <w:sz w:val="19"/>
          <w:szCs w:val="19"/>
          <w:color w:val="010000"/>
        </w:rPr>
      </w:pPr>
    </w:p>
    <w:p>
      <w:pPr>
        <w:ind w:right="320" w:firstLine="1218"/>
        <w:spacing w:after="0" w:line="247" w:lineRule="auto"/>
        <w:tabs>
          <w:tab w:leader="none" w:pos="1609" w:val="left"/>
        </w:tabs>
        <w:numPr>
          <w:ilvl w:val="1"/>
          <w:numId w:val="35"/>
        </w:numPr>
        <w:rPr>
          <w:rFonts w:ascii="Arial" w:cs="Arial" w:eastAsia="Arial" w:hAnsi="Arial"/>
          <w:sz w:val="19"/>
          <w:szCs w:val="19"/>
          <w:color w:val="010000"/>
        </w:rPr>
      </w:pPr>
      <w:r>
        <w:rPr>
          <w:rFonts w:ascii="Arial" w:cs="Arial" w:eastAsia="Arial" w:hAnsi="Arial"/>
          <w:sz w:val="19"/>
          <w:szCs w:val="19"/>
          <w:u w:val="single" w:color="auto"/>
          <w:color w:val="auto"/>
        </w:rPr>
        <w:t>Termination without Cause or Resignation for Good Reason Unrelated to a Change of Control</w:t>
      </w:r>
      <w:r>
        <w:rPr>
          <w:rFonts w:ascii="Arial" w:cs="Arial" w:eastAsia="Arial" w:hAnsi="Arial"/>
          <w:sz w:val="19"/>
          <w:szCs w:val="19"/>
          <w:color w:val="auto"/>
        </w:rPr>
        <w:t>. If the Company terminates Executive’s employment with the Company without Cause (excluding death or Disability) or if Executive resigns from such employment for Good Reason,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33857/00600/FW/10411001.4</w:t>
      </w:r>
    </w:p>
    <w:p>
      <w:pPr>
        <w:sectPr>
          <w:pgSz w:w="11900" w:h="16838" w:orient="portrait"/>
          <w:cols w:equalWidth="0" w:num="1">
            <w:col w:w="11240"/>
          </w:cols>
          <w:pgMar w:left="320" w:top="124" w:right="33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termination occurs outside of the Change of Control Period, then subject to Section 4, Executive will receive the following:</w:t>
      </w:r>
    </w:p>
    <w:p>
      <w:pPr>
        <w:spacing w:after="0" w:line="200" w:lineRule="exact"/>
        <w:rPr>
          <w:sz w:val="20"/>
          <w:szCs w:val="20"/>
          <w:color w:val="auto"/>
        </w:rPr>
      </w:pPr>
    </w:p>
    <w:p>
      <w:pPr>
        <w:ind w:right="340" w:firstLine="1827"/>
        <w:spacing w:after="0" w:line="257" w:lineRule="auto"/>
        <w:tabs>
          <w:tab w:leader="none" w:pos="2187" w:val="left"/>
        </w:tabs>
        <w:numPr>
          <w:ilvl w:val="2"/>
          <w:numId w:val="36"/>
        </w:numPr>
        <w:rPr>
          <w:rFonts w:ascii="Arial" w:cs="Arial" w:eastAsia="Arial" w:hAnsi="Arial"/>
          <w:sz w:val="19"/>
          <w:szCs w:val="19"/>
          <w:color w:val="010000"/>
        </w:rPr>
      </w:pPr>
      <w:r>
        <w:rPr>
          <w:rFonts w:ascii="Arial" w:cs="Arial" w:eastAsia="Arial" w:hAnsi="Arial"/>
          <w:sz w:val="19"/>
          <w:szCs w:val="19"/>
          <w:u w:val="single" w:color="auto"/>
          <w:color w:val="auto"/>
        </w:rPr>
        <w:t>Accrued Compensation</w:t>
      </w:r>
      <w:r>
        <w:rPr>
          <w:rFonts w:ascii="Arial" w:cs="Arial" w:eastAsia="Arial" w:hAnsi="Arial"/>
          <w:sz w:val="19"/>
          <w:szCs w:val="19"/>
          <w:color w:val="auto"/>
        </w:rPr>
        <w:t>. The Company will pay Executive all accrued but unpaid vacation, expense reimbursements, wages, and other benefits due to Executive under any Company-provided plans, policies, and arrangements.</w:t>
      </w:r>
    </w:p>
    <w:p>
      <w:pPr>
        <w:spacing w:after="0" w:line="165" w:lineRule="exact"/>
        <w:rPr>
          <w:rFonts w:ascii="Arial" w:cs="Arial" w:eastAsia="Arial" w:hAnsi="Arial"/>
          <w:sz w:val="19"/>
          <w:szCs w:val="19"/>
          <w:color w:val="010000"/>
        </w:rPr>
      </w:pPr>
    </w:p>
    <w:p>
      <w:pPr>
        <w:ind w:right="620" w:firstLine="1827"/>
        <w:spacing w:after="0" w:line="247" w:lineRule="auto"/>
        <w:tabs>
          <w:tab w:leader="none" w:pos="2238" w:val="left"/>
        </w:tabs>
        <w:numPr>
          <w:ilvl w:val="2"/>
          <w:numId w:val="36"/>
        </w:numPr>
        <w:rPr>
          <w:rFonts w:ascii="Arial" w:cs="Arial" w:eastAsia="Arial" w:hAnsi="Arial"/>
          <w:sz w:val="19"/>
          <w:szCs w:val="19"/>
          <w:color w:val="010000"/>
        </w:rPr>
      </w:pPr>
      <w:r>
        <w:rPr>
          <w:rFonts w:ascii="Arial" w:cs="Arial" w:eastAsia="Arial" w:hAnsi="Arial"/>
          <w:sz w:val="19"/>
          <w:szCs w:val="19"/>
          <w:u w:val="single" w:color="auto"/>
          <w:color w:val="auto"/>
        </w:rPr>
        <w:t>Continuing Severance Payments</w:t>
      </w:r>
      <w:r>
        <w:rPr>
          <w:rFonts w:ascii="Arial" w:cs="Arial" w:eastAsia="Arial" w:hAnsi="Arial"/>
          <w:sz w:val="19"/>
          <w:szCs w:val="19"/>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74" w:lineRule="exact"/>
        <w:rPr>
          <w:rFonts w:ascii="Arial" w:cs="Arial" w:eastAsia="Arial" w:hAnsi="Arial"/>
          <w:sz w:val="19"/>
          <w:szCs w:val="19"/>
          <w:color w:val="010000"/>
        </w:rPr>
      </w:pPr>
    </w:p>
    <w:p>
      <w:pPr>
        <w:ind w:right="20" w:firstLine="1827"/>
        <w:spacing w:after="0" w:line="268" w:lineRule="auto"/>
        <w:tabs>
          <w:tab w:leader="none" w:pos="2290" w:val="left"/>
        </w:tabs>
        <w:numPr>
          <w:ilvl w:val="2"/>
          <w:numId w:val="36"/>
        </w:numPr>
        <w:rPr>
          <w:rFonts w:ascii="Arial" w:cs="Arial" w:eastAsia="Arial" w:hAnsi="Arial"/>
          <w:sz w:val="17"/>
          <w:szCs w:val="17"/>
          <w:color w:val="010000"/>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xml:space="preserve">. If Executive elects continuation coverage pursuant to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xml:space="preserve">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61" w:lineRule="exact"/>
        <w:rPr>
          <w:rFonts w:ascii="Arial" w:cs="Arial" w:eastAsia="Arial" w:hAnsi="Arial"/>
          <w:sz w:val="17"/>
          <w:szCs w:val="17"/>
          <w:color w:val="010000"/>
        </w:rPr>
      </w:pPr>
    </w:p>
    <w:p>
      <w:pPr>
        <w:ind w:firstLine="1218"/>
        <w:spacing w:after="0" w:line="243" w:lineRule="auto"/>
        <w:tabs>
          <w:tab w:leader="none" w:pos="1619" w:val="left"/>
        </w:tabs>
        <w:numPr>
          <w:ilvl w:val="1"/>
          <w:numId w:val="37"/>
        </w:numPr>
        <w:rPr>
          <w:rFonts w:ascii="Arial" w:cs="Arial" w:eastAsia="Arial" w:hAnsi="Arial"/>
          <w:sz w:val="19"/>
          <w:szCs w:val="19"/>
          <w:color w:val="010000"/>
        </w:rPr>
      </w:pPr>
      <w:r>
        <w:rPr>
          <w:rFonts w:ascii="Arial" w:cs="Arial" w:eastAsia="Arial" w:hAnsi="Arial"/>
          <w:sz w:val="19"/>
          <w:szCs w:val="19"/>
          <w:u w:val="single" w:color="auto"/>
          <w:color w:val="auto"/>
        </w:rPr>
        <w:t>Termination without Cause or Resignation for Good Reason in Connection with a Change of Control</w:t>
      </w:r>
      <w:r>
        <w:rPr>
          <w:rFonts w:ascii="Arial" w:cs="Arial" w:eastAsia="Arial" w:hAnsi="Arial"/>
          <w:sz w:val="19"/>
          <w:szCs w:val="19"/>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r>
        <w:rPr>
          <w:rFonts w:ascii="Arial" w:cs="Arial" w:eastAsia="Arial" w:hAnsi="Arial"/>
          <w:sz w:val="19"/>
          <w:szCs w:val="19"/>
          <w:color w:val="444444"/>
        </w:rPr>
        <w:t>:</w:t>
      </w:r>
    </w:p>
    <w:p>
      <w:pPr>
        <w:spacing w:after="0" w:line="180" w:lineRule="exact"/>
        <w:rPr>
          <w:rFonts w:ascii="Arial" w:cs="Arial" w:eastAsia="Arial" w:hAnsi="Arial"/>
          <w:sz w:val="19"/>
          <w:szCs w:val="19"/>
          <w:color w:val="010000"/>
        </w:rPr>
      </w:pPr>
    </w:p>
    <w:p>
      <w:pPr>
        <w:ind w:right="340" w:firstLine="1827"/>
        <w:spacing w:after="0" w:line="257" w:lineRule="auto"/>
        <w:tabs>
          <w:tab w:leader="none" w:pos="2187" w:val="left"/>
        </w:tabs>
        <w:numPr>
          <w:ilvl w:val="2"/>
          <w:numId w:val="37"/>
        </w:numPr>
        <w:rPr>
          <w:rFonts w:ascii="Arial" w:cs="Arial" w:eastAsia="Arial" w:hAnsi="Arial"/>
          <w:sz w:val="19"/>
          <w:szCs w:val="19"/>
          <w:color w:val="010000"/>
        </w:rPr>
      </w:pPr>
      <w:r>
        <w:rPr>
          <w:rFonts w:ascii="Arial" w:cs="Arial" w:eastAsia="Arial" w:hAnsi="Arial"/>
          <w:sz w:val="19"/>
          <w:szCs w:val="19"/>
          <w:u w:val="single" w:color="auto"/>
          <w:color w:val="auto"/>
        </w:rPr>
        <w:t>Accrued Compensation</w:t>
      </w:r>
      <w:r>
        <w:rPr>
          <w:rFonts w:ascii="Arial" w:cs="Arial" w:eastAsia="Arial" w:hAnsi="Arial"/>
          <w:sz w:val="19"/>
          <w:szCs w:val="19"/>
          <w:color w:val="444444"/>
        </w:rPr>
        <w:t>.</w:t>
      </w:r>
      <w:r>
        <w:rPr>
          <w:rFonts w:ascii="Arial" w:cs="Arial" w:eastAsia="Arial" w:hAnsi="Arial"/>
          <w:sz w:val="19"/>
          <w:szCs w:val="19"/>
          <w:color w:val="auto"/>
        </w:rPr>
        <w:t xml:space="preserve"> The Company will pay Executive all accrued but unpaid vacation, expense reimbursements, wages, and other benefits due to Executive under any Company-provided plans, policies, and arrangements.</w:t>
      </w:r>
    </w:p>
    <w:p>
      <w:pPr>
        <w:spacing w:after="0" w:line="165" w:lineRule="exact"/>
        <w:rPr>
          <w:rFonts w:ascii="Arial" w:cs="Arial" w:eastAsia="Arial" w:hAnsi="Arial"/>
          <w:sz w:val="19"/>
          <w:szCs w:val="19"/>
          <w:color w:val="010000"/>
        </w:rPr>
      </w:pPr>
    </w:p>
    <w:p>
      <w:pPr>
        <w:ind w:left="2240" w:hanging="413"/>
        <w:spacing w:after="0"/>
        <w:tabs>
          <w:tab w:leader="none" w:pos="2240" w:val="left"/>
        </w:tabs>
        <w:numPr>
          <w:ilvl w:val="2"/>
          <w:numId w:val="37"/>
        </w:numPr>
        <w:rPr>
          <w:rFonts w:ascii="Arial" w:cs="Arial" w:eastAsia="Arial" w:hAnsi="Arial"/>
          <w:sz w:val="17"/>
          <w:szCs w:val="17"/>
          <w:color w:val="010000"/>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lump-sum payment (less applicable withholding taxes) equal to eighteen</w:t>
      </w:r>
    </w:p>
    <w:p>
      <w:pPr>
        <w:spacing w:after="0" w:line="36" w:lineRule="exact"/>
        <w:rPr>
          <w:rFonts w:ascii="Arial" w:cs="Arial" w:eastAsia="Arial" w:hAnsi="Arial"/>
          <w:sz w:val="17"/>
          <w:szCs w:val="17"/>
          <w:color w:val="010000"/>
        </w:rPr>
      </w:pPr>
    </w:p>
    <w:p>
      <w:pPr>
        <w:ind w:right="440" w:firstLine="1"/>
        <w:spacing w:after="0" w:line="238" w:lineRule="auto"/>
        <w:tabs>
          <w:tab w:leader="none" w:pos="356"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months of Executive’s annual base salary as in effect immediately prior to Executive’s termination date or, if greater, at the level in effect immediately prior to the Change of Control. For the avoidance of doubt, if (x) Executive </w:t>
      </w:r>
      <w:r>
        <w:rPr>
          <w:rFonts w:ascii="Arial" w:cs="Arial" w:eastAsia="Arial" w:hAnsi="Arial"/>
          <w:sz w:val="19"/>
          <w:szCs w:val="19"/>
          <w:color w:val="343436"/>
        </w:rPr>
        <w:t>incurred</w:t>
      </w:r>
      <w:r>
        <w:rPr>
          <w:rFonts w:ascii="Arial" w:cs="Arial" w:eastAsia="Arial" w:hAnsi="Arial"/>
          <w:sz w:val="19"/>
          <w:szCs w:val="19"/>
          <w:color w:val="auto"/>
        </w:rPr>
        <w:t xml:space="preserve"> a termination prior to a Change of Control that qualifies Executive for severance payments under Section 3(a)(ii); and (y)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hanging="273"/>
        <w:spacing w:after="0"/>
        <w:tabs>
          <w:tab w:leader="none" w:pos="460" w:val="left"/>
        </w:tabs>
        <w:numPr>
          <w:ilvl w:val="0"/>
          <w:numId w:val="39"/>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200"/>
          </w:cols>
          <w:pgMar w:left="320" w:top="1352" w:right="379" w:bottom="1440" w:gutter="0" w:footer="0" w:header="0"/>
        </w:sectPr>
      </w:pPr>
    </w:p>
    <w:bookmarkStart w:id="91" w:name="page92"/>
    <w:bookmarkEnd w:id="91"/>
    <w:p>
      <w:pPr>
        <w:ind w:right="80"/>
        <w:spacing w:after="0" w:line="281" w:lineRule="auto"/>
        <w:rPr>
          <w:sz w:val="20"/>
          <w:szCs w:val="20"/>
          <w:color w:val="auto"/>
        </w:rPr>
      </w:pPr>
      <w:r>
        <w:rPr>
          <w:rFonts w:ascii="Arial" w:cs="Arial" w:eastAsia="Arial" w:hAnsi="Arial"/>
          <w:sz w:val="17"/>
          <w:szCs w:val="17"/>
          <w:color w:val="auto"/>
        </w:rPr>
        <w:t>Change of Control occurs within the two (2)-month period following Executive’s termination of employment that qualifies Executive for the superior benefits under this Section 3(b)(ii), then Executive shall be entitled to a lump-sum payment of the amount calculated under this Section 3(b)(ii), less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49" w:lineRule="exact"/>
        <w:rPr>
          <w:sz w:val="20"/>
          <w:szCs w:val="20"/>
          <w:color w:val="auto"/>
        </w:rPr>
      </w:pPr>
    </w:p>
    <w:p>
      <w:pPr>
        <w:ind w:left="2300" w:hanging="473"/>
        <w:spacing w:after="0"/>
        <w:tabs>
          <w:tab w:leader="none" w:pos="2300" w:val="left"/>
        </w:tabs>
        <w:numPr>
          <w:ilvl w:val="2"/>
          <w:numId w:val="40"/>
        </w:numPr>
        <w:rPr>
          <w:rFonts w:ascii="Arial" w:cs="Arial" w:eastAsia="Arial" w:hAnsi="Arial"/>
          <w:sz w:val="17"/>
          <w:szCs w:val="17"/>
          <w:color w:val="010000"/>
        </w:rPr>
      </w:pPr>
      <w:r>
        <w:rPr>
          <w:rFonts w:ascii="Arial" w:cs="Arial" w:eastAsia="Arial" w:hAnsi="Arial"/>
          <w:sz w:val="17"/>
          <w:szCs w:val="17"/>
          <w:u w:val="single" w:color="auto"/>
          <w:color w:val="auto"/>
        </w:rPr>
        <w:t>Bonus Payment</w:t>
      </w:r>
      <w:r>
        <w:rPr>
          <w:rFonts w:ascii="Arial" w:cs="Arial" w:eastAsia="Arial" w:hAnsi="Arial"/>
          <w:sz w:val="17"/>
          <w:szCs w:val="17"/>
          <w:color w:val="auto"/>
        </w:rPr>
        <w:t>. Executive will receive a lump-sum payment equal to one hundred fifty percent (150%) of the higher of</w:t>
      </w:r>
    </w:p>
    <w:p>
      <w:pPr>
        <w:spacing w:after="0" w:line="36" w:lineRule="exact"/>
        <w:rPr>
          <w:rFonts w:ascii="Arial" w:cs="Arial" w:eastAsia="Arial" w:hAnsi="Arial"/>
          <w:sz w:val="17"/>
          <w:szCs w:val="17"/>
          <w:color w:val="010000"/>
        </w:rPr>
      </w:pPr>
    </w:p>
    <w:p>
      <w:pPr>
        <w:ind w:firstLine="1"/>
        <w:spacing w:after="0" w:line="237" w:lineRule="auto"/>
        <w:tabs>
          <w:tab w:leader="none" w:pos="304"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5" w:lineRule="exact"/>
        <w:rPr>
          <w:rFonts w:ascii="Arial" w:cs="Arial" w:eastAsia="Arial" w:hAnsi="Arial"/>
          <w:sz w:val="19"/>
          <w:szCs w:val="19"/>
          <w:color w:val="auto"/>
        </w:rPr>
      </w:pPr>
    </w:p>
    <w:p>
      <w:pPr>
        <w:ind w:firstLine="1827"/>
        <w:spacing w:after="0" w:line="268" w:lineRule="auto"/>
        <w:tabs>
          <w:tab w:leader="none" w:pos="2280" w:val="left"/>
        </w:tabs>
        <w:numPr>
          <w:ilvl w:val="2"/>
          <w:numId w:val="41"/>
        </w:numPr>
        <w:rPr>
          <w:rFonts w:ascii="Arial" w:cs="Arial" w:eastAsia="Arial" w:hAnsi="Arial"/>
          <w:sz w:val="17"/>
          <w:szCs w:val="17"/>
          <w:color w:val="010000"/>
        </w:rPr>
      </w:pPr>
      <w:r>
        <w:rPr>
          <w:rFonts w:ascii="Arial" w:cs="Arial" w:eastAsia="Arial" w:hAnsi="Arial"/>
          <w:sz w:val="17"/>
          <w:szCs w:val="17"/>
          <w:u w:val="single" w:color="auto"/>
          <w:color w:val="auto"/>
        </w:rPr>
        <w:t>Continuation Coverage</w:t>
      </w:r>
      <w:r>
        <w:rPr>
          <w:rFonts w:ascii="Arial" w:cs="Arial" w:eastAsia="Arial" w:hAnsi="Arial"/>
          <w:sz w:val="17"/>
          <w:szCs w:val="17"/>
          <w:color w:val="595959"/>
        </w:rPr>
        <w:t>.</w:t>
      </w:r>
      <w:r>
        <w:rPr>
          <w:rFonts w:ascii="Arial" w:cs="Arial" w:eastAsia="Arial" w:hAnsi="Arial"/>
          <w:sz w:val="17"/>
          <w:szCs w:val="17"/>
          <w:color w:val="auto"/>
        </w:rPr>
        <w:t xml:space="preserve">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(18)payments. For the avoidance of doubt, the taxable payments in lieu of COBRA reimbursements may be used for any purpose, including, but not limited to continuation coverage under COBRA, and will be subject to all applicable tax withholdings.</w:t>
      </w:r>
    </w:p>
    <w:p>
      <w:pPr>
        <w:spacing w:after="0" w:line="164" w:lineRule="exact"/>
        <w:rPr>
          <w:rFonts w:ascii="Arial" w:cs="Arial" w:eastAsia="Arial" w:hAnsi="Arial"/>
          <w:sz w:val="17"/>
          <w:szCs w:val="17"/>
          <w:color w:val="010000"/>
        </w:rPr>
      </w:pPr>
    </w:p>
    <w:p>
      <w:pPr>
        <w:ind w:right="100" w:firstLine="1827"/>
        <w:spacing w:after="0" w:line="281" w:lineRule="auto"/>
        <w:tabs>
          <w:tab w:leader="none" w:pos="2228" w:val="left"/>
        </w:tabs>
        <w:numPr>
          <w:ilvl w:val="2"/>
          <w:numId w:val="41"/>
        </w:numPr>
        <w:rPr>
          <w:rFonts w:ascii="Arial" w:cs="Arial" w:eastAsia="Arial" w:hAnsi="Arial"/>
          <w:sz w:val="17"/>
          <w:szCs w:val="17"/>
          <w:color w:val="010000"/>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49" w:lineRule="exact"/>
        <w:rPr>
          <w:rFonts w:ascii="Arial" w:cs="Arial" w:eastAsia="Arial" w:hAnsi="Arial"/>
          <w:sz w:val="17"/>
          <w:szCs w:val="17"/>
          <w:color w:val="010000"/>
        </w:rPr>
      </w:pPr>
    </w:p>
    <w:p>
      <w:pPr>
        <w:ind w:right="280" w:firstLine="1218"/>
        <w:spacing w:after="0" w:line="247" w:lineRule="auto"/>
        <w:tabs>
          <w:tab w:leader="none" w:pos="1609" w:val="left"/>
        </w:tabs>
        <w:numPr>
          <w:ilvl w:val="1"/>
          <w:numId w:val="41"/>
        </w:numPr>
        <w:rPr>
          <w:rFonts w:ascii="Arial" w:cs="Arial" w:eastAsia="Arial" w:hAnsi="Arial"/>
          <w:sz w:val="19"/>
          <w:szCs w:val="19"/>
          <w:color w:val="010000"/>
        </w:rPr>
      </w:pPr>
      <w:r>
        <w:rPr>
          <w:rFonts w:ascii="Arial" w:cs="Arial" w:eastAsia="Arial" w:hAnsi="Arial"/>
          <w:sz w:val="19"/>
          <w:szCs w:val="19"/>
          <w:u w:val="single" w:color="auto"/>
          <w:color w:val="auto"/>
        </w:rPr>
        <w:t>Voluntary Resignation; Termination for Cause</w:t>
      </w:r>
      <w:r>
        <w:rPr>
          <w:rFonts w:ascii="Arial" w:cs="Arial" w:eastAsia="Arial" w:hAnsi="Arial"/>
          <w:sz w:val="19"/>
          <w:szCs w:val="19"/>
          <w:color w:val="auto"/>
        </w:rPr>
        <w:t>. If Executive’s employment with the Company terminates (i) voluntarily by Executive (other than for Good Reason) or (ii) for Cause by the Company, then Executive will not be entitled to receive severance or other benefits except for those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hanging="273"/>
        <w:spacing w:after="0"/>
        <w:tabs>
          <w:tab w:leader="none" w:pos="460" w:val="left"/>
        </w:tabs>
        <w:numPr>
          <w:ilvl w:val="0"/>
          <w:numId w:val="42"/>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220"/>
          </w:cols>
          <w:pgMar w:left="320" w:top="1340" w:right="359" w:bottom="1440" w:gutter="0" w:footer="0" w:header="0"/>
        </w:sectPr>
      </w:pPr>
    </w:p>
    <w:bookmarkStart w:id="92" w:name="page93"/>
    <w:bookmarkEnd w:id="92"/>
    <w:p>
      <w:pPr>
        <w:ind w:right="80"/>
        <w:spacing w:after="0" w:line="257" w:lineRule="auto"/>
        <w:rPr>
          <w:sz w:val="20"/>
          <w:szCs w:val="20"/>
          <w:color w:val="auto"/>
        </w:rPr>
      </w:pPr>
      <w:r>
        <w:rPr>
          <w:rFonts w:ascii="Arial" w:cs="Arial" w:eastAsia="Arial" w:hAnsi="Arial"/>
          <w:sz w:val="19"/>
          <w:szCs w:val="19"/>
          <w:color w:val="auto"/>
        </w:rPr>
        <w:t>any) as may then be established under the Company’s then existing severance and benefits plans and practices or pursuant to other written agreements with the Company.</w:t>
      </w:r>
    </w:p>
    <w:p>
      <w:pPr>
        <w:spacing w:after="0" w:line="166" w:lineRule="exact"/>
        <w:rPr>
          <w:sz w:val="20"/>
          <w:szCs w:val="20"/>
          <w:color w:val="auto"/>
        </w:rPr>
      </w:pPr>
    </w:p>
    <w:p>
      <w:pPr>
        <w:ind w:right="140" w:firstLine="1218"/>
        <w:spacing w:after="0" w:line="243" w:lineRule="auto"/>
        <w:tabs>
          <w:tab w:leader="none" w:pos="1619" w:val="left"/>
        </w:tabs>
        <w:numPr>
          <w:ilvl w:val="1"/>
          <w:numId w:val="43"/>
        </w:numPr>
        <w:rPr>
          <w:rFonts w:ascii="Arial" w:cs="Arial" w:eastAsia="Arial" w:hAnsi="Arial"/>
          <w:sz w:val="19"/>
          <w:szCs w:val="19"/>
          <w:color w:val="010000"/>
        </w:rPr>
      </w:pP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80" w:lineRule="exact"/>
        <w:rPr>
          <w:rFonts w:ascii="Arial" w:cs="Arial" w:eastAsia="Arial" w:hAnsi="Arial"/>
          <w:sz w:val="19"/>
          <w:szCs w:val="19"/>
          <w:color w:val="010000"/>
        </w:rPr>
      </w:pPr>
    </w:p>
    <w:p>
      <w:pPr>
        <w:ind w:right="40" w:firstLine="1218"/>
        <w:spacing w:after="0" w:line="277" w:lineRule="auto"/>
        <w:tabs>
          <w:tab w:leader="none" w:pos="1609" w:val="left"/>
        </w:tabs>
        <w:numPr>
          <w:ilvl w:val="1"/>
          <w:numId w:val="43"/>
        </w:numPr>
        <w:rPr>
          <w:rFonts w:ascii="Arial" w:cs="Arial" w:eastAsia="Arial" w:hAnsi="Arial"/>
          <w:sz w:val="17"/>
          <w:szCs w:val="17"/>
          <w:color w:val="010000"/>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52" w:lineRule="exact"/>
        <w:rPr>
          <w:rFonts w:ascii="Arial" w:cs="Arial" w:eastAsia="Arial" w:hAnsi="Arial"/>
          <w:sz w:val="17"/>
          <w:szCs w:val="17"/>
          <w:color w:val="010000"/>
        </w:rPr>
      </w:pPr>
    </w:p>
    <w:p>
      <w:pPr>
        <w:ind w:left="940" w:hanging="330"/>
        <w:spacing w:after="0"/>
        <w:tabs>
          <w:tab w:leader="none" w:pos="940" w:val="left"/>
        </w:tabs>
        <w:numPr>
          <w:ilvl w:val="0"/>
          <w:numId w:val="44"/>
        </w:numPr>
        <w:rPr>
          <w:rFonts w:ascii="Arial" w:cs="Arial" w:eastAsia="Arial" w:hAnsi="Arial"/>
          <w:sz w:val="19"/>
          <w:szCs w:val="19"/>
          <w:color w:val="010000"/>
        </w:rPr>
      </w:pPr>
      <w:r>
        <w:rPr>
          <w:rFonts w:ascii="Arial" w:cs="Arial" w:eastAsia="Arial" w:hAnsi="Arial"/>
          <w:sz w:val="19"/>
          <w:szCs w:val="19"/>
          <w:u w:val="single" w:color="auto"/>
          <w:color w:val="auto"/>
        </w:rPr>
        <w:t>Conditions to Receipt of Severance</w:t>
      </w:r>
    </w:p>
    <w:p>
      <w:pPr>
        <w:spacing w:after="0" w:line="199" w:lineRule="exact"/>
        <w:rPr>
          <w:rFonts w:ascii="Arial" w:cs="Arial" w:eastAsia="Arial" w:hAnsi="Arial"/>
          <w:sz w:val="19"/>
          <w:szCs w:val="19"/>
          <w:color w:val="010000"/>
        </w:rPr>
      </w:pPr>
    </w:p>
    <w:p>
      <w:pPr>
        <w:ind w:right="60" w:firstLine="1218"/>
        <w:spacing w:after="0" w:line="256" w:lineRule="auto"/>
        <w:tabs>
          <w:tab w:leader="none" w:pos="1609"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Release of Claims Agreement.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Exhibit A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which must become effective and irrevocable no later than the sixtieth (60th) day following Executive’s termination of employment (the “</w:t>
      </w:r>
      <w:r>
        <w:rPr>
          <w:rFonts w:ascii="Arial" w:cs="Arial" w:eastAsia="Arial" w:hAnsi="Arial"/>
          <w:sz w:val="18"/>
          <w:szCs w:val="18"/>
          <w:b w:val="1"/>
          <w:bCs w:val="1"/>
          <w:i w:val="1"/>
          <w:iCs w:val="1"/>
          <w:color w:val="auto"/>
        </w:rPr>
        <w:t>Release Deadline</w:t>
      </w:r>
      <w:r>
        <w:rPr>
          <w:rFonts w:ascii="Arial" w:cs="Arial" w:eastAsia="Arial" w:hAnsi="Arial"/>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71" w:lineRule="exact"/>
        <w:rPr>
          <w:rFonts w:ascii="Arial" w:cs="Arial" w:eastAsia="Arial" w:hAnsi="Arial"/>
          <w:sz w:val="18"/>
          <w:szCs w:val="18"/>
          <w:color w:val="010000"/>
        </w:rPr>
      </w:pPr>
    </w:p>
    <w:p>
      <w:pPr>
        <w:jc w:val="both"/>
        <w:ind w:right="100" w:firstLine="1218"/>
        <w:spacing w:after="0" w:line="243" w:lineRule="auto"/>
        <w:tabs>
          <w:tab w:leader="none" w:pos="1619" w:val="left"/>
        </w:tabs>
        <w:numPr>
          <w:ilvl w:val="1"/>
          <w:numId w:val="44"/>
        </w:numPr>
        <w:rPr>
          <w:rFonts w:ascii="Arial" w:cs="Arial" w:eastAsia="Arial" w:hAnsi="Arial"/>
          <w:sz w:val="19"/>
          <w:szCs w:val="19"/>
          <w:color w:val="010000"/>
        </w:rPr>
      </w:pPr>
      <w:r>
        <w:rPr>
          <w:rFonts w:ascii="Arial" w:cs="Arial" w:eastAsia="Arial" w:hAnsi="Arial"/>
          <w:sz w:val="19"/>
          <w:szCs w:val="19"/>
          <w:u w:val="single" w:color="auto"/>
          <w:color w:val="auto"/>
        </w:rPr>
        <w:t>Confidential Information and Invention Assignment Agreements</w:t>
      </w:r>
      <w:r>
        <w:rPr>
          <w:rFonts w:ascii="Arial" w:cs="Arial" w:eastAsia="Arial" w:hAnsi="Arial"/>
          <w:sz w:val="19"/>
          <w:szCs w:val="19"/>
          <w:color w:val="auto"/>
        </w:rPr>
        <w:t>. Executive’s receipt of any payments or benefits under Section 3 (other than the accrued benefits set forth in either Sections 3(a)(i) or 3(b)(i)) will be subject to Executive continuing to comply with the terms of the Confidentiality Agreement, dated on or about September 12, 2011, between the Company and Executive, as such agreement may be amended from time to time.</w:t>
      </w:r>
    </w:p>
    <w:p>
      <w:pPr>
        <w:spacing w:after="0" w:line="180" w:lineRule="exact"/>
        <w:rPr>
          <w:rFonts w:ascii="Arial" w:cs="Arial" w:eastAsia="Arial" w:hAnsi="Arial"/>
          <w:sz w:val="19"/>
          <w:szCs w:val="19"/>
          <w:color w:val="010000"/>
        </w:rPr>
      </w:pPr>
    </w:p>
    <w:p>
      <w:pPr>
        <w:ind w:left="1620" w:hanging="402"/>
        <w:spacing w:after="0"/>
        <w:tabs>
          <w:tab w:leader="none" w:pos="1620" w:val="left"/>
        </w:tabs>
        <w:numPr>
          <w:ilvl w:val="1"/>
          <w:numId w:val="44"/>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199" w:lineRule="exact"/>
        <w:rPr>
          <w:rFonts w:ascii="Arial" w:cs="Arial" w:eastAsia="Arial" w:hAnsi="Arial"/>
          <w:sz w:val="19"/>
          <w:szCs w:val="19"/>
          <w:color w:val="010000"/>
        </w:rPr>
      </w:pPr>
    </w:p>
    <w:p>
      <w:pPr>
        <w:ind w:firstLine="1827"/>
        <w:spacing w:after="0" w:line="318" w:lineRule="auto"/>
        <w:tabs>
          <w:tab w:leader="none" w:pos="2187" w:val="left"/>
        </w:tabs>
        <w:numPr>
          <w:ilvl w:val="2"/>
          <w:numId w:val="44"/>
        </w:numPr>
        <w:rPr>
          <w:rFonts w:ascii="Arial" w:cs="Arial" w:eastAsia="Arial" w:hAnsi="Arial"/>
          <w:sz w:val="15"/>
          <w:szCs w:val="15"/>
          <w:color w:val="010000"/>
        </w:rPr>
      </w:pPr>
      <w:r>
        <w:rPr>
          <w:rFonts w:ascii="Arial" w:cs="Arial" w:eastAsia="Arial" w:hAnsi="Arial"/>
          <w:sz w:val="15"/>
          <w:szCs w:val="15"/>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 (together, the “</w:t>
      </w:r>
      <w:r>
        <w:rPr>
          <w:rFonts w:ascii="Arial" w:cs="Arial" w:eastAsia="Arial" w:hAnsi="Arial"/>
          <w:sz w:val="15"/>
          <w:szCs w:val="15"/>
          <w:b w:val="1"/>
          <w:bCs w:val="1"/>
          <w:i w:val="1"/>
          <w:iCs w:val="1"/>
          <w:color w:val="auto"/>
        </w:rPr>
        <w:t>Deferred Payments</w:t>
      </w:r>
      <w:r>
        <w:rPr>
          <w:rFonts w:ascii="Arial" w:cs="Arial" w:eastAsia="Arial" w:hAnsi="Arial"/>
          <w:sz w:val="15"/>
          <w:szCs w:val="15"/>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24" w:lineRule="exact"/>
        <w:rPr>
          <w:rFonts w:ascii="Arial" w:cs="Arial" w:eastAsia="Arial" w:hAnsi="Arial"/>
          <w:sz w:val="15"/>
          <w:szCs w:val="15"/>
          <w:color w:val="010000"/>
        </w:rPr>
      </w:pPr>
    </w:p>
    <w:p>
      <w:pPr>
        <w:ind w:right="280" w:firstLine="1827"/>
        <w:spacing w:after="0" w:line="247" w:lineRule="auto"/>
        <w:tabs>
          <w:tab w:leader="none" w:pos="2238" w:val="left"/>
        </w:tabs>
        <w:numPr>
          <w:ilvl w:val="2"/>
          <w:numId w:val="44"/>
        </w:numPr>
        <w:rPr>
          <w:rFonts w:ascii="Arial" w:cs="Arial" w:eastAsia="Arial" w:hAnsi="Arial"/>
          <w:sz w:val="19"/>
          <w:szCs w:val="19"/>
          <w:color w:val="010000"/>
        </w:rPr>
      </w:pPr>
      <w:r>
        <w:rPr>
          <w:rFonts w:ascii="Arial" w:cs="Arial" w:eastAsia="Arial" w:hAnsi="Arial"/>
          <w:sz w:val="19"/>
          <w:szCs w:val="19"/>
          <w:color w:val="auto"/>
        </w:rPr>
        <w:t xml:space="preserve">It is intended that none of the severance payments under this Agreement will constitute Deferred Payments but rather will be exempt from Section 409A as a payment that would fall within the </w:t>
      </w:r>
      <w:r>
        <w:rPr>
          <w:rFonts w:ascii="Arial" w:cs="Arial" w:eastAsia="Arial" w:hAnsi="Arial"/>
          <w:sz w:val="19"/>
          <w:szCs w:val="19"/>
          <w:color w:val="343436"/>
        </w:rPr>
        <w:t>“short-term</w:t>
      </w:r>
      <w:r>
        <w:rPr>
          <w:rFonts w:ascii="Arial" w:cs="Arial" w:eastAsia="Arial" w:hAnsi="Arial"/>
          <w:sz w:val="19"/>
          <w:szCs w:val="19"/>
          <w:color w:val="auto"/>
        </w:rPr>
        <w:t xml:space="preserve"> deferral period” as described in Section 4(c)(iv) below or resulting from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hanging="273"/>
        <w:spacing w:after="0"/>
        <w:tabs>
          <w:tab w:leader="none" w:pos="460" w:val="left"/>
        </w:tabs>
        <w:numPr>
          <w:ilvl w:val="0"/>
          <w:numId w:val="45"/>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240"/>
          </w:cols>
          <w:pgMar w:left="320" w:top="1340" w:right="339" w:bottom="1440" w:gutter="0" w:footer="0" w:header="0"/>
        </w:sectPr>
      </w:pPr>
    </w:p>
    <w:bookmarkStart w:id="93" w:name="page94"/>
    <w:bookmarkEnd w:id="93"/>
    <w:p>
      <w:pPr>
        <w:ind w:right="40"/>
        <w:spacing w:after="0" w:line="262" w:lineRule="auto"/>
        <w:rPr>
          <w:sz w:val="20"/>
          <w:szCs w:val="20"/>
          <w:color w:val="auto"/>
        </w:rPr>
      </w:pPr>
      <w:r>
        <w:rPr>
          <w:rFonts w:ascii="Arial" w:cs="Arial" w:eastAsia="Arial" w:hAnsi="Arial"/>
          <w:sz w:val="17"/>
          <w:szCs w:val="17"/>
          <w:color w:val="auto"/>
        </w:rPr>
        <w:t>involuntary separation from service as described in Section 4(c)(v) below. Any severance payments or benefits under this Agreement will be paid on, or, in the case of installments, will commence on, the sixty-first (61</w:t>
      </w:r>
      <w:r>
        <w:rPr>
          <w:rFonts w:ascii="Arial" w:cs="Arial" w:eastAsia="Arial" w:hAnsi="Arial"/>
          <w:sz w:val="22"/>
          <w:szCs w:val="22"/>
          <w:color w:val="auto"/>
          <w:vertAlign w:val="superscript"/>
        </w:rPr>
        <w:t>st</w:t>
      </w:r>
      <w:r>
        <w:rPr>
          <w:rFonts w:ascii="Arial" w:cs="Arial" w:eastAsia="Arial" w:hAnsi="Arial"/>
          <w:sz w:val="17"/>
          <w:szCs w:val="17"/>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Arial" w:cs="Arial" w:eastAsia="Arial" w:hAnsi="Arial"/>
          <w:sz w:val="22"/>
          <w:szCs w:val="22"/>
          <w:color w:val="auto"/>
          <w:vertAlign w:val="superscript"/>
        </w:rPr>
        <w:t>st</w:t>
      </w:r>
      <w:r>
        <w:rPr>
          <w:rFonts w:ascii="Arial" w:cs="Arial" w:eastAsia="Arial" w:hAnsi="Arial"/>
          <w:sz w:val="17"/>
          <w:szCs w:val="17"/>
          <w:color w:val="auto"/>
        </w:rPr>
        <w:t>) day following Executive’s separation from service and the remaining payments will be made as provided in this Agreement.</w:t>
      </w:r>
    </w:p>
    <w:p>
      <w:pPr>
        <w:spacing w:after="0" w:line="88" w:lineRule="exact"/>
        <w:rPr>
          <w:sz w:val="20"/>
          <w:szCs w:val="20"/>
          <w:color w:val="auto"/>
        </w:rPr>
      </w:pPr>
    </w:p>
    <w:p>
      <w:pPr>
        <w:ind w:firstLine="1827"/>
        <w:spacing w:after="0" w:line="271" w:lineRule="auto"/>
        <w:tabs>
          <w:tab w:leader="none" w:pos="2290" w:val="left"/>
        </w:tabs>
        <w:numPr>
          <w:ilvl w:val="2"/>
          <w:numId w:val="46"/>
        </w:numPr>
        <w:rPr>
          <w:rFonts w:ascii="Arial" w:cs="Arial" w:eastAsia="Arial" w:hAnsi="Arial"/>
          <w:sz w:val="17"/>
          <w:szCs w:val="17"/>
          <w:color w:val="010000"/>
        </w:rPr>
      </w:pPr>
      <w:r>
        <w:rPr>
          <w:rFonts w:ascii="Arial" w:cs="Arial" w:eastAsia="Arial" w:hAnsi="Arial"/>
          <w:sz w:val="17"/>
          <w:szCs w:val="17"/>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(I)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56" w:lineRule="exact"/>
        <w:rPr>
          <w:rFonts w:ascii="Arial" w:cs="Arial" w:eastAsia="Arial" w:hAnsi="Arial"/>
          <w:sz w:val="17"/>
          <w:szCs w:val="17"/>
          <w:color w:val="010000"/>
        </w:rPr>
      </w:pPr>
    </w:p>
    <w:p>
      <w:pPr>
        <w:ind w:right="440" w:firstLine="1827"/>
        <w:spacing w:after="0" w:line="285" w:lineRule="auto"/>
        <w:tabs>
          <w:tab w:leader="none" w:pos="2280" w:val="left"/>
        </w:tabs>
        <w:numPr>
          <w:ilvl w:val="2"/>
          <w:numId w:val="46"/>
        </w:numPr>
        <w:rPr>
          <w:rFonts w:ascii="Arial" w:cs="Arial" w:eastAsia="Arial" w:hAnsi="Arial"/>
          <w:sz w:val="18"/>
          <w:szCs w:val="18"/>
          <w:color w:val="010000"/>
        </w:rPr>
      </w:pPr>
      <w:r>
        <w:rPr>
          <w:rFonts w:ascii="Arial" w:cs="Arial" w:eastAsia="Arial" w:hAnsi="Arial"/>
          <w:sz w:val="18"/>
          <w:szCs w:val="18"/>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42" w:lineRule="exact"/>
        <w:rPr>
          <w:rFonts w:ascii="Arial" w:cs="Arial" w:eastAsia="Arial" w:hAnsi="Arial"/>
          <w:sz w:val="18"/>
          <w:szCs w:val="18"/>
          <w:color w:val="010000"/>
        </w:rPr>
      </w:pPr>
    </w:p>
    <w:p>
      <w:pPr>
        <w:jc w:val="both"/>
        <w:ind w:right="220" w:firstLine="1827"/>
        <w:spacing w:after="0" w:line="247" w:lineRule="auto"/>
        <w:tabs>
          <w:tab w:leader="none" w:pos="2228" w:val="left"/>
        </w:tabs>
        <w:numPr>
          <w:ilvl w:val="2"/>
          <w:numId w:val="46"/>
        </w:numPr>
        <w:rPr>
          <w:rFonts w:ascii="Arial" w:cs="Arial" w:eastAsia="Arial" w:hAnsi="Arial"/>
          <w:sz w:val="19"/>
          <w:szCs w:val="19"/>
          <w:color w:val="010000"/>
        </w:rPr>
      </w:pPr>
      <w:r>
        <w:rPr>
          <w:rFonts w:ascii="Arial" w:cs="Arial" w:eastAsia="Arial" w:hAnsi="Arial"/>
          <w:sz w:val="19"/>
          <w:szCs w:val="19"/>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74" w:lineRule="exact"/>
        <w:rPr>
          <w:rFonts w:ascii="Arial" w:cs="Arial" w:eastAsia="Arial" w:hAnsi="Arial"/>
          <w:sz w:val="19"/>
          <w:szCs w:val="19"/>
          <w:color w:val="010000"/>
        </w:rPr>
      </w:pPr>
    </w:p>
    <w:p>
      <w:pPr>
        <w:jc w:val="both"/>
        <w:ind w:right="100" w:firstLine="1827"/>
        <w:spacing w:after="0" w:line="241" w:lineRule="auto"/>
        <w:tabs>
          <w:tab w:leader="none" w:pos="2280" w:val="left"/>
        </w:tabs>
        <w:numPr>
          <w:ilvl w:val="2"/>
          <w:numId w:val="46"/>
        </w:numPr>
        <w:rPr>
          <w:rFonts w:ascii="Arial" w:cs="Arial" w:eastAsia="Arial" w:hAnsi="Arial"/>
          <w:sz w:val="19"/>
          <w:szCs w:val="19"/>
          <w:color w:val="010000"/>
        </w:rPr>
      </w:pPr>
      <w:r>
        <w:rPr>
          <w:rFonts w:ascii="Arial" w:cs="Arial" w:eastAsia="Arial" w:hAnsi="Arial"/>
          <w:sz w:val="19"/>
          <w:szCs w:val="19"/>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3" w:lineRule="exact"/>
        <w:rPr>
          <w:rFonts w:ascii="Arial" w:cs="Arial" w:eastAsia="Arial" w:hAnsi="Arial"/>
          <w:sz w:val="19"/>
          <w:szCs w:val="19"/>
          <w:color w:val="010000"/>
        </w:rPr>
      </w:pPr>
    </w:p>
    <w:p>
      <w:pPr>
        <w:ind w:right="60" w:firstLine="610"/>
        <w:spacing w:after="0" w:line="267" w:lineRule="auto"/>
        <w:tabs>
          <w:tab w:leader="none" w:pos="934" w:val="left"/>
        </w:tabs>
        <w:numPr>
          <w:ilvl w:val="0"/>
          <w:numId w:val="47"/>
        </w:numPr>
        <w:rPr>
          <w:rFonts w:ascii="Arial" w:cs="Arial" w:eastAsia="Arial" w:hAnsi="Arial"/>
          <w:sz w:val="18"/>
          <w:szCs w:val="18"/>
          <w:color w:val="010000"/>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58" w:lineRule="exact"/>
        <w:rPr>
          <w:rFonts w:ascii="Arial" w:cs="Arial" w:eastAsia="Arial" w:hAnsi="Arial"/>
          <w:sz w:val="18"/>
          <w:szCs w:val="18"/>
          <w:color w:val="010000"/>
        </w:rPr>
      </w:pPr>
    </w:p>
    <w:p>
      <w:pPr>
        <w:ind w:left="1620" w:hanging="402"/>
        <w:spacing w:after="0"/>
        <w:tabs>
          <w:tab w:leader="none" w:pos="1620" w:val="left"/>
        </w:tabs>
        <w:numPr>
          <w:ilvl w:val="1"/>
          <w:numId w:val="47"/>
        </w:numPr>
        <w:rPr>
          <w:rFonts w:ascii="Arial" w:cs="Arial" w:eastAsia="Arial" w:hAnsi="Arial"/>
          <w:sz w:val="19"/>
          <w:szCs w:val="19"/>
          <w:color w:val="010000"/>
        </w:rPr>
      </w:pPr>
      <w:r>
        <w:rPr>
          <w:rFonts w:ascii="Arial" w:cs="Arial" w:eastAsia="Arial" w:hAnsi="Arial"/>
          <w:sz w:val="19"/>
          <w:szCs w:val="19"/>
          <w:color w:val="auto"/>
        </w:rPr>
        <w:t>delivered in full, or</w:t>
      </w:r>
    </w:p>
    <w:p>
      <w:pPr>
        <w:spacing w:after="0" w:line="199" w:lineRule="exact"/>
        <w:rPr>
          <w:rFonts w:ascii="Arial" w:cs="Arial" w:eastAsia="Arial" w:hAnsi="Arial"/>
          <w:sz w:val="19"/>
          <w:szCs w:val="19"/>
          <w:color w:val="010000"/>
        </w:rPr>
      </w:pPr>
    </w:p>
    <w:p>
      <w:pPr>
        <w:ind w:left="1620" w:hanging="402"/>
        <w:spacing w:after="0"/>
        <w:tabs>
          <w:tab w:leader="none" w:pos="1620" w:val="left"/>
        </w:tabs>
        <w:numPr>
          <w:ilvl w:val="1"/>
          <w:numId w:val="47"/>
        </w:numPr>
        <w:rPr>
          <w:rFonts w:ascii="Arial" w:cs="Arial" w:eastAsia="Arial" w:hAnsi="Arial"/>
          <w:sz w:val="17"/>
          <w:szCs w:val="17"/>
          <w:color w:val="010000"/>
        </w:rPr>
      </w:pPr>
      <w:r>
        <w:rPr>
          <w:rFonts w:ascii="Arial" w:cs="Arial" w:eastAsia="Arial" w:hAnsi="Arial"/>
          <w:sz w:val="17"/>
          <w:szCs w:val="17"/>
          <w:color w:val="auto"/>
        </w:rPr>
        <w:t>delivered as to such lesser extent which would result in no portion of such benefits being subject to excise tax under Section</w:t>
      </w:r>
    </w:p>
    <w:p>
      <w:pPr>
        <w:spacing w:after="0" w:line="36"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9"/>
          <w:szCs w:val="19"/>
          <w:color w:val="auto"/>
        </w:rPr>
        <w:t>4999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60" w:hanging="273"/>
        <w:spacing w:after="0"/>
        <w:tabs>
          <w:tab w:leader="none" w:pos="460" w:val="left"/>
        </w:tabs>
        <w:numPr>
          <w:ilvl w:val="0"/>
          <w:numId w:val="48"/>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200"/>
          </w:cols>
          <w:pgMar w:left="320" w:top="1340" w:right="379" w:bottom="1440" w:gutter="0" w:footer="0" w:header="0"/>
        </w:sectPr>
      </w:pPr>
    </w:p>
    <w:bookmarkStart w:id="94" w:name="page95"/>
    <w:bookmarkEnd w:id="94"/>
    <w:p>
      <w:pPr>
        <w:ind w:right="80"/>
        <w:spacing w:after="0" w:line="273"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55" w:lineRule="exact"/>
        <w:rPr>
          <w:sz w:val="20"/>
          <w:szCs w:val="20"/>
          <w:color w:val="auto"/>
        </w:rPr>
      </w:pPr>
    </w:p>
    <w:p>
      <w:pPr>
        <w:ind w:right="60" w:firstLine="609"/>
        <w:spacing w:after="0" w:line="273" w:lineRule="auto"/>
        <w:rPr>
          <w:sz w:val="20"/>
          <w:szCs w:val="20"/>
          <w:color w:val="auto"/>
        </w:rPr>
      </w:pPr>
      <w:r>
        <w:rPr>
          <w:rFonts w:ascii="Arial" w:cs="Arial" w:eastAsia="Arial" w:hAnsi="Arial"/>
          <w:sz w:val="17"/>
          <w:szCs w:val="17"/>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7"/>
          <w:szCs w:val="17"/>
          <w:b w:val="1"/>
          <w:bCs w:val="1"/>
          <w:i w:val="1"/>
          <w:iCs w:val="1"/>
          <w:color w:val="auto"/>
        </w:rPr>
        <w:t>Firm</w:t>
      </w:r>
      <w:r>
        <w:rPr>
          <w:rFonts w:ascii="Arial" w:cs="Arial" w:eastAsia="Arial" w:hAnsi="Arial"/>
          <w:sz w:val="17"/>
          <w:szCs w:val="17"/>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55" w:lineRule="exact"/>
        <w:rPr>
          <w:sz w:val="20"/>
          <w:szCs w:val="20"/>
          <w:color w:val="auto"/>
        </w:rPr>
      </w:pPr>
    </w:p>
    <w:p>
      <w:pPr>
        <w:ind w:left="940" w:hanging="330"/>
        <w:spacing w:after="0"/>
        <w:tabs>
          <w:tab w:leader="none" w:pos="940" w:val="left"/>
        </w:tabs>
        <w:numPr>
          <w:ilvl w:val="0"/>
          <w:numId w:val="49"/>
        </w:numPr>
        <w:rPr>
          <w:rFonts w:ascii="Arial" w:cs="Arial" w:eastAsia="Arial" w:hAnsi="Arial"/>
          <w:sz w:val="19"/>
          <w:szCs w:val="19"/>
          <w:color w:val="010000"/>
        </w:rPr>
      </w:pPr>
      <w:r>
        <w:rPr>
          <w:rFonts w:ascii="Arial" w:cs="Arial" w:eastAsia="Arial" w:hAnsi="Arial"/>
          <w:sz w:val="19"/>
          <w:szCs w:val="19"/>
          <w:u w:val="single" w:color="auto"/>
          <w:color w:val="auto"/>
        </w:rPr>
        <w:t>Definition of Terms</w:t>
      </w:r>
      <w:r>
        <w:rPr>
          <w:rFonts w:ascii="Arial" w:cs="Arial" w:eastAsia="Arial" w:hAnsi="Arial"/>
          <w:sz w:val="19"/>
          <w:szCs w:val="19"/>
          <w:color w:val="auto"/>
        </w:rPr>
        <w:t>. The following terms referred to in this Agreement will have the following meanings:</w:t>
      </w:r>
    </w:p>
    <w:p>
      <w:pPr>
        <w:spacing w:after="0" w:line="199" w:lineRule="exact"/>
        <w:rPr>
          <w:rFonts w:ascii="Arial" w:cs="Arial" w:eastAsia="Arial" w:hAnsi="Arial"/>
          <w:sz w:val="19"/>
          <w:szCs w:val="19"/>
          <w:color w:val="010000"/>
        </w:rPr>
      </w:pPr>
    </w:p>
    <w:p>
      <w:pPr>
        <w:ind w:left="1620" w:hanging="402"/>
        <w:spacing w:after="0"/>
        <w:tabs>
          <w:tab w:leader="none" w:pos="1620" w:val="left"/>
        </w:tabs>
        <w:numPr>
          <w:ilvl w:val="1"/>
          <w:numId w:val="49"/>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will mean:</w:t>
      </w:r>
    </w:p>
    <w:p>
      <w:pPr>
        <w:spacing w:after="0" w:line="199" w:lineRule="exact"/>
        <w:rPr>
          <w:rFonts w:ascii="Arial" w:cs="Arial" w:eastAsia="Arial" w:hAnsi="Arial"/>
          <w:sz w:val="19"/>
          <w:szCs w:val="19"/>
          <w:color w:val="010000"/>
        </w:rPr>
      </w:pPr>
    </w:p>
    <w:p>
      <w:pPr>
        <w:ind w:left="2180" w:hanging="353"/>
        <w:spacing w:after="0"/>
        <w:tabs>
          <w:tab w:leader="none" w:pos="2180" w:val="left"/>
        </w:tabs>
        <w:numPr>
          <w:ilvl w:val="2"/>
          <w:numId w:val="49"/>
        </w:numPr>
        <w:rPr>
          <w:rFonts w:ascii="Arial" w:cs="Arial" w:eastAsia="Arial" w:hAnsi="Arial"/>
          <w:sz w:val="17"/>
          <w:szCs w:val="17"/>
          <w:color w:val="010000"/>
        </w:rPr>
      </w:pPr>
      <w:r>
        <w:rPr>
          <w:rFonts w:ascii="Arial" w:cs="Arial" w:eastAsia="Arial" w:hAnsi="Arial"/>
          <w:sz w:val="17"/>
          <w:szCs w:val="17"/>
          <w:color w:val="auto"/>
        </w:rPr>
        <w:t>The willful or grossly negligent failure of the Executive to substantially perform his or her duties as an employee of the</w:t>
      </w:r>
    </w:p>
    <w:p>
      <w:pPr>
        <w:spacing w:after="0" w:line="36"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9"/>
          <w:szCs w:val="19"/>
          <w:color w:val="auto"/>
        </w:rPr>
        <w:t>Company;</w:t>
      </w:r>
    </w:p>
    <w:p>
      <w:pPr>
        <w:spacing w:after="0" w:line="183" w:lineRule="exact"/>
        <w:rPr>
          <w:rFonts w:ascii="Arial" w:cs="Arial" w:eastAsia="Arial" w:hAnsi="Arial"/>
          <w:sz w:val="17"/>
          <w:szCs w:val="17"/>
          <w:color w:val="010000"/>
        </w:rPr>
      </w:pPr>
    </w:p>
    <w:p>
      <w:pPr>
        <w:ind w:left="2240" w:hanging="413"/>
        <w:spacing w:after="0"/>
        <w:tabs>
          <w:tab w:leader="none" w:pos="2240" w:val="left"/>
        </w:tabs>
        <w:numPr>
          <w:ilvl w:val="2"/>
          <w:numId w:val="49"/>
        </w:numPr>
        <w:rPr>
          <w:rFonts w:ascii="Arial" w:cs="Arial" w:eastAsia="Arial" w:hAnsi="Arial"/>
          <w:sz w:val="19"/>
          <w:szCs w:val="19"/>
          <w:color w:val="010000"/>
        </w:rPr>
      </w:pPr>
      <w:r>
        <w:rPr>
          <w:rFonts w:ascii="Arial" w:cs="Arial" w:eastAsia="Arial" w:hAnsi="Arial"/>
          <w:sz w:val="19"/>
          <w:szCs w:val="19"/>
          <w:color w:val="auto"/>
        </w:rPr>
        <w:t>Executive’s commission of a gross misconduct which is injurious to the Company;</w:t>
      </w:r>
    </w:p>
    <w:p>
      <w:pPr>
        <w:spacing w:after="0" w:line="199" w:lineRule="exact"/>
        <w:rPr>
          <w:rFonts w:ascii="Arial" w:cs="Arial" w:eastAsia="Arial" w:hAnsi="Arial"/>
          <w:sz w:val="19"/>
          <w:szCs w:val="19"/>
          <w:color w:val="010000"/>
        </w:rPr>
      </w:pPr>
    </w:p>
    <w:p>
      <w:pPr>
        <w:ind w:left="2300" w:hanging="473"/>
        <w:spacing w:after="0"/>
        <w:tabs>
          <w:tab w:leader="none" w:pos="2300" w:val="left"/>
        </w:tabs>
        <w:numPr>
          <w:ilvl w:val="2"/>
          <w:numId w:val="49"/>
        </w:numPr>
        <w:rPr>
          <w:rFonts w:ascii="Arial" w:cs="Arial" w:eastAsia="Arial" w:hAnsi="Arial"/>
          <w:sz w:val="19"/>
          <w:szCs w:val="19"/>
          <w:color w:val="010000"/>
        </w:rPr>
      </w:pPr>
      <w:r>
        <w:rPr>
          <w:rFonts w:ascii="Arial" w:cs="Arial" w:eastAsia="Arial" w:hAnsi="Arial"/>
          <w:sz w:val="19"/>
          <w:szCs w:val="19"/>
          <w:color w:val="auto"/>
        </w:rPr>
        <w:t>Executive’s breach of a material provision of any agreement between Executive and the Company;</w:t>
      </w:r>
    </w:p>
    <w:p>
      <w:pPr>
        <w:spacing w:after="0" w:line="199" w:lineRule="exact"/>
        <w:rPr>
          <w:rFonts w:ascii="Arial" w:cs="Arial" w:eastAsia="Arial" w:hAnsi="Arial"/>
          <w:sz w:val="19"/>
          <w:szCs w:val="19"/>
          <w:color w:val="010000"/>
        </w:rPr>
      </w:pPr>
    </w:p>
    <w:p>
      <w:pPr>
        <w:ind w:left="2280" w:hanging="453"/>
        <w:spacing w:after="0"/>
        <w:tabs>
          <w:tab w:leader="none" w:pos="2280" w:val="left"/>
        </w:tabs>
        <w:numPr>
          <w:ilvl w:val="2"/>
          <w:numId w:val="49"/>
        </w:numPr>
        <w:rPr>
          <w:rFonts w:ascii="Arial" w:cs="Arial" w:eastAsia="Arial" w:hAnsi="Arial"/>
          <w:sz w:val="18"/>
          <w:szCs w:val="18"/>
          <w:color w:val="010000"/>
        </w:rPr>
      </w:pPr>
      <w:r>
        <w:rPr>
          <w:rFonts w:ascii="Arial" w:cs="Arial" w:eastAsia="Arial" w:hAnsi="Arial"/>
          <w:sz w:val="18"/>
          <w:szCs w:val="18"/>
          <w:color w:val="auto"/>
        </w:rPr>
        <w:t>Executive’s material and willful violation of a federal or state law or regulation applicable to the business of the</w:t>
      </w:r>
    </w:p>
    <w:p>
      <w:pPr>
        <w:spacing w:after="0" w:line="24"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19"/>
          <w:szCs w:val="19"/>
          <w:color w:val="auto"/>
        </w:rPr>
        <w:t>Company;</w:t>
      </w:r>
    </w:p>
    <w:p>
      <w:pPr>
        <w:spacing w:after="0" w:line="183" w:lineRule="exact"/>
        <w:rPr>
          <w:rFonts w:ascii="Arial" w:cs="Arial" w:eastAsia="Arial" w:hAnsi="Arial"/>
          <w:sz w:val="18"/>
          <w:szCs w:val="18"/>
          <w:color w:val="010000"/>
        </w:rPr>
      </w:pPr>
    </w:p>
    <w:p>
      <w:pPr>
        <w:ind w:left="2220" w:hanging="393"/>
        <w:spacing w:after="0"/>
        <w:tabs>
          <w:tab w:leader="none" w:pos="2220" w:val="left"/>
        </w:tabs>
        <w:numPr>
          <w:ilvl w:val="2"/>
          <w:numId w:val="49"/>
        </w:numPr>
        <w:rPr>
          <w:rFonts w:ascii="Arial" w:cs="Arial" w:eastAsia="Arial" w:hAnsi="Arial"/>
          <w:sz w:val="17"/>
          <w:szCs w:val="17"/>
          <w:color w:val="010000"/>
        </w:rPr>
      </w:pPr>
      <w:r>
        <w:rPr>
          <w:rFonts w:ascii="Arial" w:cs="Arial" w:eastAsia="Arial" w:hAnsi="Arial"/>
          <w:sz w:val="17"/>
          <w:szCs w:val="17"/>
          <w:color w:val="auto"/>
        </w:rPr>
        <w:t>Executive’s misappropriation or embezzlement of Company funds or Executive’s act of fraud or dishonesty upon the</w:t>
      </w:r>
    </w:p>
    <w:p>
      <w:pPr>
        <w:spacing w:after="0" w:line="36"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9"/>
          <w:szCs w:val="19"/>
          <w:color w:val="auto"/>
        </w:rPr>
        <w:t>Company; or</w:t>
      </w:r>
    </w:p>
    <w:p>
      <w:pPr>
        <w:spacing w:after="0" w:line="183" w:lineRule="exact"/>
        <w:rPr>
          <w:rFonts w:ascii="Arial" w:cs="Arial" w:eastAsia="Arial" w:hAnsi="Arial"/>
          <w:sz w:val="17"/>
          <w:szCs w:val="17"/>
          <w:color w:val="010000"/>
        </w:rPr>
      </w:pPr>
    </w:p>
    <w:p>
      <w:pPr>
        <w:ind w:right="100" w:firstLine="1827"/>
        <w:spacing w:after="0" w:line="257" w:lineRule="auto"/>
        <w:tabs>
          <w:tab w:leader="none" w:pos="2280" w:val="left"/>
        </w:tabs>
        <w:numPr>
          <w:ilvl w:val="2"/>
          <w:numId w:val="49"/>
        </w:numPr>
        <w:rPr>
          <w:rFonts w:ascii="Arial" w:cs="Arial" w:eastAsia="Arial" w:hAnsi="Arial"/>
          <w:sz w:val="19"/>
          <w:szCs w:val="19"/>
          <w:color w:val="010000"/>
        </w:rPr>
      </w:pPr>
      <w:r>
        <w:rPr>
          <w:rFonts w:ascii="Arial" w:cs="Arial" w:eastAsia="Arial" w:hAnsi="Arial"/>
          <w:sz w:val="19"/>
          <w:szCs w:val="19"/>
          <w:color w:val="auto"/>
        </w:rPr>
        <w:t>Executive’s conviction of, or plea of nolo contendere, to a felony (other than motor vehicle offenses the effect of which do not materially impair Executive’s performance of Executive’s duties for the Company).</w:t>
      </w:r>
    </w:p>
    <w:p>
      <w:pPr>
        <w:spacing w:after="0" w:line="166"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hanging="273"/>
        <w:spacing w:after="0"/>
        <w:tabs>
          <w:tab w:leader="none" w:pos="460" w:val="left"/>
        </w:tabs>
        <w:numPr>
          <w:ilvl w:val="0"/>
          <w:numId w:val="50"/>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240"/>
          </w:cols>
          <w:pgMar w:left="320" w:top="1340" w:right="339" w:bottom="1440" w:gutter="0" w:footer="0" w:header="0"/>
        </w:sectPr>
      </w:pPr>
    </w:p>
    <w:bookmarkStart w:id="95" w:name="page96"/>
    <w:bookmarkEnd w:id="95"/>
    <w:p>
      <w:pPr>
        <w:ind w:right="80"/>
        <w:spacing w:after="0" w:line="290"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41" w:lineRule="exact"/>
        <w:rPr>
          <w:sz w:val="20"/>
          <w:szCs w:val="20"/>
          <w:color w:val="auto"/>
        </w:rPr>
      </w:pPr>
    </w:p>
    <w:p>
      <w:pPr>
        <w:ind w:left="1620" w:hanging="402"/>
        <w:spacing w:after="0"/>
        <w:tabs>
          <w:tab w:leader="none" w:pos="1620" w:val="left"/>
        </w:tabs>
        <w:numPr>
          <w:ilvl w:val="0"/>
          <w:numId w:val="51"/>
        </w:numPr>
        <w:rPr>
          <w:rFonts w:ascii="Arial" w:cs="Arial" w:eastAsia="Arial" w:hAnsi="Arial"/>
          <w:sz w:val="19"/>
          <w:szCs w:val="19"/>
          <w:color w:val="010000"/>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means the occurrence of any of the following events:</w:t>
      </w:r>
    </w:p>
    <w:p>
      <w:pPr>
        <w:spacing w:after="0" w:line="199" w:lineRule="exact"/>
        <w:rPr>
          <w:rFonts w:ascii="Arial" w:cs="Arial" w:eastAsia="Arial" w:hAnsi="Arial"/>
          <w:sz w:val="19"/>
          <w:szCs w:val="19"/>
          <w:color w:val="010000"/>
        </w:rPr>
      </w:pPr>
    </w:p>
    <w:p>
      <w:pPr>
        <w:ind w:firstLine="1827"/>
        <w:spacing w:after="0" w:line="241" w:lineRule="auto"/>
        <w:tabs>
          <w:tab w:leader="none" w:pos="2187" w:val="left"/>
        </w:tabs>
        <w:numPr>
          <w:ilvl w:val="1"/>
          <w:numId w:val="51"/>
        </w:numPr>
        <w:rPr>
          <w:rFonts w:ascii="Arial" w:cs="Arial" w:eastAsia="Arial" w:hAnsi="Arial"/>
          <w:sz w:val="19"/>
          <w:szCs w:val="19"/>
          <w:color w:val="010000"/>
        </w:rPr>
      </w:pPr>
      <w:r>
        <w:rPr>
          <w:rFonts w:ascii="Arial" w:cs="Arial" w:eastAsia="Arial" w:hAnsi="Arial"/>
          <w:sz w:val="19"/>
          <w:szCs w:val="19"/>
          <w:color w:val="auto"/>
        </w:rPr>
        <w:t>A change in the ownership of the Company which occurs on the date that any one person, or more than one person acting as a group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3" w:lineRule="exact"/>
        <w:rPr>
          <w:rFonts w:ascii="Arial" w:cs="Arial" w:eastAsia="Arial" w:hAnsi="Arial"/>
          <w:sz w:val="19"/>
          <w:szCs w:val="19"/>
          <w:color w:val="010000"/>
        </w:rPr>
      </w:pPr>
    </w:p>
    <w:p>
      <w:pPr>
        <w:ind w:right="140" w:firstLine="1827"/>
        <w:spacing w:after="0" w:line="281" w:lineRule="auto"/>
        <w:tabs>
          <w:tab w:leader="none" w:pos="2238" w:val="left"/>
        </w:tabs>
        <w:numPr>
          <w:ilvl w:val="1"/>
          <w:numId w:val="51"/>
        </w:numPr>
        <w:rPr>
          <w:rFonts w:ascii="Arial" w:cs="Arial" w:eastAsia="Arial" w:hAnsi="Arial"/>
          <w:sz w:val="17"/>
          <w:szCs w:val="17"/>
          <w:color w:val="010000"/>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49" w:lineRule="exact"/>
        <w:rPr>
          <w:rFonts w:ascii="Arial" w:cs="Arial" w:eastAsia="Arial" w:hAnsi="Arial"/>
          <w:sz w:val="17"/>
          <w:szCs w:val="17"/>
          <w:color w:val="010000"/>
        </w:rPr>
      </w:pPr>
    </w:p>
    <w:p>
      <w:pPr>
        <w:ind w:right="40" w:firstLine="1827"/>
        <w:spacing w:after="0" w:line="253" w:lineRule="auto"/>
        <w:tabs>
          <w:tab w:leader="none" w:pos="2290" w:val="left"/>
        </w:tabs>
        <w:numPr>
          <w:ilvl w:val="1"/>
          <w:numId w:val="51"/>
        </w:numPr>
        <w:rPr>
          <w:rFonts w:ascii="Arial" w:cs="Arial" w:eastAsia="Arial" w:hAnsi="Arial"/>
          <w:sz w:val="18"/>
          <w:szCs w:val="18"/>
          <w:color w:val="010000"/>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1" w:lineRule="exact"/>
        <w:rPr>
          <w:sz w:val="20"/>
          <w:szCs w:val="20"/>
          <w:color w:val="auto"/>
        </w:rPr>
      </w:pPr>
    </w:p>
    <w:p>
      <w:pPr>
        <w:ind w:right="80" w:firstLine="609"/>
        <w:spacing w:after="0" w:line="257"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6" w:lineRule="exact"/>
        <w:rPr>
          <w:sz w:val="20"/>
          <w:szCs w:val="20"/>
          <w:color w:val="auto"/>
        </w:rPr>
      </w:pPr>
    </w:p>
    <w:p>
      <w:pPr>
        <w:ind w:right="280" w:firstLine="609"/>
        <w:spacing w:after="0" w:line="247" w:lineRule="auto"/>
        <w:rPr>
          <w:sz w:val="20"/>
          <w:szCs w:val="20"/>
          <w:color w:val="auto"/>
        </w:rPr>
      </w:pPr>
      <w:r>
        <w:rPr>
          <w:rFonts w:ascii="Arial" w:cs="Arial" w:eastAsia="Arial" w:hAnsi="Arial"/>
          <w:sz w:val="19"/>
          <w:szCs w:val="19"/>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hanging="273"/>
        <w:spacing w:after="0"/>
        <w:tabs>
          <w:tab w:leader="none" w:pos="460" w:val="left"/>
        </w:tabs>
        <w:numPr>
          <w:ilvl w:val="0"/>
          <w:numId w:val="52"/>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240"/>
          </w:cols>
          <w:pgMar w:left="320" w:top="1340" w:right="339" w:bottom="1440" w:gutter="0" w:footer="0" w:header="0"/>
        </w:sectPr>
      </w:pPr>
    </w:p>
    <w:bookmarkStart w:id="96" w:name="page97"/>
    <w:bookmarkEnd w:id="96"/>
    <w:p>
      <w:pPr>
        <w:spacing w:after="0"/>
        <w:rPr>
          <w:sz w:val="20"/>
          <w:szCs w:val="20"/>
          <w:color w:val="auto"/>
        </w:rPr>
      </w:pPr>
      <w:r>
        <w:rPr>
          <w:rFonts w:ascii="Arial" w:cs="Arial" w:eastAsia="Arial" w:hAnsi="Arial"/>
          <w:sz w:val="19"/>
          <w:szCs w:val="19"/>
          <w:color w:val="auto"/>
        </w:rPr>
        <w:t>Revenue Service guidance that has been promulgated or may be promulgated thereunder from time to time.</w:t>
      </w:r>
    </w:p>
    <w:p>
      <w:pPr>
        <w:spacing w:after="0" w:line="200" w:lineRule="exact"/>
        <w:rPr>
          <w:sz w:val="20"/>
          <w:szCs w:val="20"/>
          <w:color w:val="auto"/>
        </w:rPr>
      </w:pPr>
    </w:p>
    <w:p>
      <w:pPr>
        <w:ind w:right="60" w:firstLine="609"/>
        <w:spacing w:after="0" w:line="247" w:lineRule="auto"/>
        <w:rPr>
          <w:sz w:val="20"/>
          <w:szCs w:val="20"/>
          <w:color w:val="auto"/>
        </w:rPr>
      </w:pPr>
      <w:r>
        <w:rPr>
          <w:rFonts w:ascii="Arial" w:cs="Arial" w:eastAsia="Arial" w:hAnsi="Arial"/>
          <w:sz w:val="19"/>
          <w:szCs w:val="19"/>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ind w:right="360" w:firstLine="1218"/>
        <w:spacing w:after="0" w:line="257" w:lineRule="auto"/>
        <w:tabs>
          <w:tab w:leader="none" w:pos="1609"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Change of Control Period</w:t>
      </w:r>
      <w:r>
        <w:rPr>
          <w:rFonts w:ascii="Arial" w:cs="Arial" w:eastAsia="Arial" w:hAnsi="Arial"/>
          <w:sz w:val="19"/>
          <w:szCs w:val="19"/>
          <w:color w:val="auto"/>
        </w:rPr>
        <w:t>. “</w:t>
      </w:r>
      <w:r>
        <w:rPr>
          <w:rFonts w:ascii="Arial" w:cs="Arial" w:eastAsia="Arial" w:hAnsi="Arial"/>
          <w:sz w:val="19"/>
          <w:szCs w:val="19"/>
          <w:b w:val="1"/>
          <w:bCs w:val="1"/>
          <w:i w:val="1"/>
          <w:iCs w:val="1"/>
          <w:color w:val="auto"/>
        </w:rPr>
        <w:t>Change of Control Period</w:t>
      </w:r>
      <w:r>
        <w:rPr>
          <w:rFonts w:ascii="Arial" w:cs="Arial" w:eastAsia="Arial" w:hAnsi="Arial"/>
          <w:sz w:val="19"/>
          <w:szCs w:val="19"/>
          <w:color w:val="auto"/>
        </w:rPr>
        <w:t>’’ will mean the period beginning two (2) months prior to, and ending twelve (12) months following, a Change of Control.</w:t>
      </w:r>
    </w:p>
    <w:p>
      <w:pPr>
        <w:spacing w:after="0" w:line="165" w:lineRule="exact"/>
        <w:rPr>
          <w:rFonts w:ascii="Arial" w:cs="Arial" w:eastAsia="Arial" w:hAnsi="Arial"/>
          <w:sz w:val="19"/>
          <w:szCs w:val="19"/>
          <w:color w:val="010000"/>
        </w:rPr>
      </w:pPr>
    </w:p>
    <w:p>
      <w:pPr>
        <w:ind w:left="1660" w:hanging="442"/>
        <w:spacing w:after="0"/>
        <w:tabs>
          <w:tab w:leader="none" w:pos="1660"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Code</w:t>
      </w:r>
      <w:r>
        <w:rPr>
          <w:rFonts w:ascii="Arial" w:cs="Arial" w:eastAsia="Arial" w:hAnsi="Arial"/>
          <w:sz w:val="19"/>
          <w:szCs w:val="19"/>
          <w:color w:val="auto"/>
        </w:rPr>
        <w:t>.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will mean the Internal Revenue Code of 1986, as amended.</w:t>
      </w:r>
    </w:p>
    <w:p>
      <w:pPr>
        <w:spacing w:after="0" w:line="199" w:lineRule="exact"/>
        <w:rPr>
          <w:rFonts w:ascii="Arial" w:cs="Arial" w:eastAsia="Arial" w:hAnsi="Arial"/>
          <w:sz w:val="19"/>
          <w:szCs w:val="19"/>
          <w:color w:val="010000"/>
        </w:rPr>
      </w:pPr>
    </w:p>
    <w:p>
      <w:pPr>
        <w:ind w:firstLine="1218"/>
        <w:spacing w:after="0"/>
        <w:tabs>
          <w:tab w:leader="none" w:pos="1609"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Disability</w:t>
      </w:r>
      <w:r>
        <w:rPr>
          <w:rFonts w:ascii="Arial" w:cs="Arial" w:eastAsia="Arial" w:hAnsi="Arial"/>
          <w:sz w:val="19"/>
          <w:szCs w:val="19"/>
          <w:color w:val="auto"/>
        </w:rPr>
        <w:t>.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82" w:lineRule="exact"/>
        <w:rPr>
          <w:rFonts w:ascii="Arial" w:cs="Arial" w:eastAsia="Arial" w:hAnsi="Arial"/>
          <w:sz w:val="19"/>
          <w:szCs w:val="19"/>
          <w:color w:val="010000"/>
        </w:rPr>
      </w:pPr>
    </w:p>
    <w:p>
      <w:pPr>
        <w:ind w:right="360" w:firstLine="1218"/>
        <w:spacing w:after="0" w:line="257" w:lineRule="auto"/>
        <w:tabs>
          <w:tab w:leader="none" w:pos="1589"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will mean Executive’s outstanding stock options, stock appreciation rights, restricted stock units, performance shares, performance stock units and any other Company equity compensation awards.</w:t>
      </w:r>
    </w:p>
    <w:p>
      <w:pPr>
        <w:spacing w:after="0" w:line="165" w:lineRule="exact"/>
        <w:rPr>
          <w:rFonts w:ascii="Arial" w:cs="Arial" w:eastAsia="Arial" w:hAnsi="Arial"/>
          <w:sz w:val="19"/>
          <w:szCs w:val="19"/>
          <w:color w:val="010000"/>
        </w:rPr>
      </w:pPr>
    </w:p>
    <w:p>
      <w:pPr>
        <w:ind w:right="60" w:firstLine="1218"/>
        <w:spacing w:after="0" w:line="285" w:lineRule="auto"/>
        <w:tabs>
          <w:tab w:leader="none" w:pos="1619" w:val="left"/>
        </w:tabs>
        <w:numPr>
          <w:ilvl w:val="0"/>
          <w:numId w:val="53"/>
        </w:numPr>
        <w:rPr>
          <w:rFonts w:ascii="Arial" w:cs="Arial" w:eastAsia="Arial" w:hAnsi="Arial"/>
          <w:sz w:val="18"/>
          <w:szCs w:val="18"/>
          <w:color w:val="010000"/>
        </w:rPr>
      </w:pPr>
      <w:r>
        <w:rPr>
          <w:rFonts w:ascii="Arial" w:cs="Arial" w:eastAsia="Arial" w:hAnsi="Arial"/>
          <w:sz w:val="18"/>
          <w:szCs w:val="18"/>
          <w:u w:val="single" w:color="auto"/>
          <w:color w:val="auto"/>
        </w:rPr>
        <w:t>Good Reason</w:t>
      </w:r>
      <w:r>
        <w:rPr>
          <w:rFonts w:ascii="Arial" w:cs="Arial" w:eastAsia="Arial" w:hAnsi="Arial"/>
          <w:sz w:val="18"/>
          <w:szCs w:val="18"/>
          <w:color w:val="auto"/>
        </w:rPr>
        <w: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42" w:lineRule="exact"/>
        <w:rPr>
          <w:rFonts w:ascii="Arial" w:cs="Arial" w:eastAsia="Arial" w:hAnsi="Arial"/>
          <w:sz w:val="18"/>
          <w:szCs w:val="18"/>
          <w:color w:val="010000"/>
        </w:rPr>
      </w:pPr>
    </w:p>
    <w:p>
      <w:pPr>
        <w:ind w:right="440" w:firstLine="1827"/>
        <w:spacing w:after="0" w:line="257" w:lineRule="auto"/>
        <w:tabs>
          <w:tab w:leader="none" w:pos="2154" w:val="left"/>
        </w:tabs>
        <w:numPr>
          <w:ilvl w:val="1"/>
          <w:numId w:val="53"/>
        </w:numPr>
        <w:rPr>
          <w:rFonts w:ascii="Arial" w:cs="Arial" w:eastAsia="Arial" w:hAnsi="Arial"/>
          <w:sz w:val="17"/>
          <w:szCs w:val="17"/>
          <w:color w:val="auto"/>
        </w:rPr>
      </w:pPr>
      <w:r>
        <w:rPr>
          <w:rFonts w:ascii="Arial" w:cs="Arial" w:eastAsia="Arial" w:hAnsi="Arial"/>
          <w:sz w:val="19"/>
          <w:szCs w:val="19"/>
          <w:color w:val="auto"/>
        </w:rPr>
        <w:t>a material reduction of Executive’s authorities, duties or responsibilities relative to Executive’s authorities, duties or responsibilities in effect immediately prior to such reduction;</w:t>
      </w:r>
    </w:p>
    <w:p>
      <w:pPr>
        <w:spacing w:after="0" w:line="165" w:lineRule="exact"/>
        <w:rPr>
          <w:rFonts w:ascii="Arial" w:cs="Arial" w:eastAsia="Arial" w:hAnsi="Arial"/>
          <w:sz w:val="17"/>
          <w:szCs w:val="17"/>
          <w:color w:val="auto"/>
        </w:rPr>
      </w:pPr>
    </w:p>
    <w:p>
      <w:pPr>
        <w:ind w:right="460" w:firstLine="1827"/>
        <w:spacing w:after="0" w:line="316" w:lineRule="auto"/>
        <w:tabs>
          <w:tab w:leader="none" w:pos="2201" w:val="left"/>
        </w:tabs>
        <w:numPr>
          <w:ilvl w:val="1"/>
          <w:numId w:val="53"/>
        </w:numPr>
        <w:rPr>
          <w:rFonts w:ascii="Arial" w:cs="Arial" w:eastAsia="Arial" w:hAnsi="Arial"/>
          <w:sz w:val="15"/>
          <w:szCs w:val="15"/>
          <w:color w:val="auto"/>
        </w:rPr>
      </w:pPr>
      <w:r>
        <w:rPr>
          <w:rFonts w:ascii="Arial" w:cs="Arial" w:eastAsia="Arial" w:hAnsi="Arial"/>
          <w:sz w:val="17"/>
          <w:szCs w:val="17"/>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119" w:lineRule="exact"/>
        <w:rPr>
          <w:rFonts w:ascii="Arial" w:cs="Arial" w:eastAsia="Arial" w:hAnsi="Arial"/>
          <w:sz w:val="15"/>
          <w:szCs w:val="15"/>
          <w:color w:val="auto"/>
        </w:rPr>
      </w:pPr>
    </w:p>
    <w:p>
      <w:pPr>
        <w:ind w:left="2240" w:hanging="413"/>
        <w:spacing w:after="0"/>
        <w:tabs>
          <w:tab w:leader="none" w:pos="2240" w:val="left"/>
        </w:tabs>
        <w:numPr>
          <w:ilvl w:val="1"/>
          <w:numId w:val="53"/>
        </w:numPr>
        <w:rPr>
          <w:rFonts w:ascii="Arial" w:cs="Arial" w:eastAsia="Arial" w:hAnsi="Arial"/>
          <w:sz w:val="15"/>
          <w:szCs w:val="15"/>
          <w:color w:val="auto"/>
        </w:rPr>
      </w:pPr>
      <w:r>
        <w:rPr>
          <w:rFonts w:ascii="Arial" w:cs="Arial" w:eastAsia="Arial" w:hAnsi="Arial"/>
          <w:sz w:val="17"/>
          <w:szCs w:val="17"/>
          <w:color w:val="auto"/>
        </w:rPr>
        <w:t>the relocation of Executive’s principal place of performing his or her duties as an employee of the Company by more</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9"/>
          <w:szCs w:val="19"/>
          <w:color w:val="auto"/>
        </w:rPr>
        <w:t>than fifty (50) miles; or</w:t>
      </w:r>
    </w:p>
    <w:p>
      <w:pPr>
        <w:spacing w:after="0" w:line="183" w:lineRule="exact"/>
        <w:rPr>
          <w:rFonts w:ascii="Arial" w:cs="Arial" w:eastAsia="Arial" w:hAnsi="Arial"/>
          <w:sz w:val="15"/>
          <w:szCs w:val="15"/>
          <w:color w:val="auto"/>
        </w:rPr>
      </w:pPr>
    </w:p>
    <w:p>
      <w:pPr>
        <w:ind w:left="2240" w:hanging="413"/>
        <w:spacing w:after="0"/>
        <w:tabs>
          <w:tab w:leader="none" w:pos="2240" w:val="left"/>
        </w:tabs>
        <w:numPr>
          <w:ilvl w:val="1"/>
          <w:numId w:val="53"/>
        </w:numPr>
        <w:rPr>
          <w:rFonts w:ascii="Arial" w:cs="Arial" w:eastAsia="Arial" w:hAnsi="Arial"/>
          <w:sz w:val="17"/>
          <w:szCs w:val="17"/>
          <w:color w:val="auto"/>
        </w:rPr>
      </w:pPr>
      <w:r>
        <w:rPr>
          <w:rFonts w:ascii="Arial" w:cs="Arial" w:eastAsia="Arial" w:hAnsi="Arial"/>
          <w:sz w:val="19"/>
          <w:szCs w:val="19"/>
          <w:color w:val="auto"/>
        </w:rPr>
        <w:t>a successor of the Company as set forth in Section 7(a) hereof does not assume this Agreement.</w:t>
      </w:r>
    </w:p>
    <w:p>
      <w:pPr>
        <w:spacing w:after="0" w:line="200"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hanging="273"/>
        <w:spacing w:after="0"/>
        <w:tabs>
          <w:tab w:leader="none" w:pos="460" w:val="left"/>
        </w:tabs>
        <w:numPr>
          <w:ilvl w:val="0"/>
          <w:numId w:val="54"/>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220"/>
          </w:cols>
          <w:pgMar w:left="320" w:top="1340" w:right="359" w:bottom="1440" w:gutter="0" w:footer="0" w:header="0"/>
        </w:sectPr>
      </w:pPr>
    </w:p>
    <w:bookmarkStart w:id="97" w:name="page98"/>
    <w:bookmarkEnd w:id="97"/>
    <w:p>
      <w:pPr>
        <w:ind w:right="80"/>
        <w:spacing w:after="0" w:line="257" w:lineRule="auto"/>
        <w:rPr>
          <w:sz w:val="20"/>
          <w:szCs w:val="20"/>
          <w:color w:val="auto"/>
        </w:rPr>
      </w:pPr>
      <w:r>
        <w:rPr>
          <w:rFonts w:ascii="Arial" w:cs="Arial" w:eastAsia="Arial" w:hAnsi="Arial"/>
          <w:sz w:val="19"/>
          <w:szCs w:val="19"/>
          <w:color w:val="auto"/>
        </w:rPr>
        <w:t>For purposes of the “Good Reason” definition, the term “Company” will be interpreted to include any subsidiary, parent, affiliate or successor thereto, if applicable.</w:t>
      </w:r>
    </w:p>
    <w:p>
      <w:pPr>
        <w:spacing w:after="0" w:line="166" w:lineRule="exact"/>
        <w:rPr>
          <w:sz w:val="20"/>
          <w:szCs w:val="20"/>
          <w:color w:val="auto"/>
        </w:rPr>
      </w:pPr>
    </w:p>
    <w:p>
      <w:pPr>
        <w:ind w:right="60" w:firstLine="1218"/>
        <w:spacing w:after="0" w:line="258" w:lineRule="auto"/>
        <w:tabs>
          <w:tab w:leader="none" w:pos="1619" w:val="left"/>
        </w:tabs>
        <w:numPr>
          <w:ilvl w:val="1"/>
          <w:numId w:val="55"/>
        </w:numPr>
        <w:rPr>
          <w:rFonts w:ascii="Arial" w:cs="Arial" w:eastAsia="Arial" w:hAnsi="Arial"/>
          <w:sz w:val="18"/>
          <w:szCs w:val="18"/>
          <w:color w:val="010000"/>
        </w:rPr>
      </w:pPr>
      <w:r>
        <w:rPr>
          <w:rFonts w:ascii="Arial" w:cs="Arial" w:eastAsia="Arial" w:hAnsi="Arial"/>
          <w:sz w:val="18"/>
          <w:szCs w:val="18"/>
          <w:u w:val="single" w:color="auto"/>
          <w:color w:val="auto"/>
        </w:rPr>
        <w:t>Section 409A Limit</w:t>
      </w:r>
      <w:r>
        <w:rPr>
          <w:rFonts w:ascii="Arial" w:cs="Arial" w:eastAsia="Arial" w:hAnsi="Arial"/>
          <w:sz w:val="18"/>
          <w:szCs w:val="18"/>
          <w:color w:val="auto"/>
        </w:rPr>
        <w:t>. “</w:t>
      </w:r>
      <w:r>
        <w:rPr>
          <w:rFonts w:ascii="Arial" w:cs="Arial" w:eastAsia="Arial" w:hAnsi="Arial"/>
          <w:sz w:val="18"/>
          <w:szCs w:val="18"/>
          <w:b w:val="1"/>
          <w:bCs w:val="1"/>
          <w:i w:val="1"/>
          <w:iCs w:val="1"/>
          <w:color w:val="auto"/>
        </w:rPr>
        <w:t>Section 409A Limit”</w:t>
      </w:r>
      <w:r>
        <w:rPr>
          <w:rFonts w:ascii="Arial" w:cs="Arial" w:eastAsia="Arial" w:hAnsi="Arial"/>
          <w:sz w:val="18"/>
          <w:szCs w:val="18"/>
          <w:color w:val="auto"/>
        </w:rPr>
        <w:t xml:space="preserve"> will mean two (2) times the lesser of: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1.409A-1(b)(9)(iii)(A)(l)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67" w:lineRule="exact"/>
        <w:rPr>
          <w:rFonts w:ascii="Arial" w:cs="Arial" w:eastAsia="Arial" w:hAnsi="Arial"/>
          <w:sz w:val="18"/>
          <w:szCs w:val="18"/>
          <w:color w:val="010000"/>
        </w:rPr>
      </w:pPr>
    </w:p>
    <w:p>
      <w:pPr>
        <w:ind w:left="940" w:hanging="330"/>
        <w:spacing w:after="0"/>
        <w:tabs>
          <w:tab w:leader="none" w:pos="940" w:val="left"/>
        </w:tabs>
        <w:numPr>
          <w:ilvl w:val="0"/>
          <w:numId w:val="56"/>
        </w:numPr>
        <w:rPr>
          <w:rFonts w:ascii="Arial" w:cs="Arial" w:eastAsia="Arial" w:hAnsi="Arial"/>
          <w:sz w:val="19"/>
          <w:szCs w:val="19"/>
          <w:color w:val="010000"/>
        </w:rPr>
      </w:pPr>
      <w:r>
        <w:rPr>
          <w:rFonts w:ascii="Arial" w:cs="Arial" w:eastAsia="Arial" w:hAnsi="Arial"/>
          <w:sz w:val="19"/>
          <w:szCs w:val="19"/>
          <w:u w:val="single" w:color="auto"/>
          <w:color w:val="auto"/>
        </w:rPr>
        <w:t>Successors</w:t>
      </w:r>
      <w:r>
        <w:rPr>
          <w:rFonts w:ascii="Arial" w:cs="Arial" w:eastAsia="Arial" w:hAnsi="Arial"/>
          <w:sz w:val="19"/>
          <w:szCs w:val="19"/>
          <w:color w:val="auto"/>
        </w:rPr>
        <w:t>.</w:t>
      </w:r>
    </w:p>
    <w:p>
      <w:pPr>
        <w:spacing w:after="0" w:line="199" w:lineRule="exact"/>
        <w:rPr>
          <w:rFonts w:ascii="Arial" w:cs="Arial" w:eastAsia="Arial" w:hAnsi="Arial"/>
          <w:sz w:val="19"/>
          <w:szCs w:val="19"/>
          <w:color w:val="010000"/>
        </w:rPr>
      </w:pPr>
    </w:p>
    <w:p>
      <w:pPr>
        <w:ind w:right="80" w:firstLine="1218"/>
        <w:spacing w:after="0" w:line="256" w:lineRule="auto"/>
        <w:tabs>
          <w:tab w:leader="none" w:pos="1609" w:val="left"/>
        </w:tabs>
        <w:numPr>
          <w:ilvl w:val="1"/>
          <w:numId w:val="56"/>
        </w:numPr>
        <w:rPr>
          <w:rFonts w:ascii="Arial" w:cs="Arial" w:eastAsia="Arial" w:hAnsi="Arial"/>
          <w:sz w:val="18"/>
          <w:szCs w:val="18"/>
          <w:color w:val="010000"/>
        </w:rPr>
      </w:pPr>
      <w:r>
        <w:rPr>
          <w:rFonts w:ascii="Arial" w:cs="Arial" w:eastAsia="Arial" w:hAnsi="Arial"/>
          <w:sz w:val="18"/>
          <w:szCs w:val="18"/>
          <w:u w:val="single" w:color="auto"/>
          <w:color w:val="auto"/>
        </w:rPr>
        <w:t>The Company’s Successors</w:t>
      </w:r>
      <w:r>
        <w:rPr>
          <w:rFonts w:ascii="Arial" w:cs="Arial" w:eastAsia="Arial" w:hAnsi="Arial"/>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71" w:lineRule="exact"/>
        <w:rPr>
          <w:rFonts w:ascii="Arial" w:cs="Arial" w:eastAsia="Arial" w:hAnsi="Arial"/>
          <w:sz w:val="18"/>
          <w:szCs w:val="18"/>
          <w:color w:val="010000"/>
        </w:rPr>
      </w:pPr>
    </w:p>
    <w:p>
      <w:pPr>
        <w:ind w:right="300" w:firstLine="1218"/>
        <w:spacing w:after="0" w:line="390" w:lineRule="auto"/>
        <w:tabs>
          <w:tab w:leader="none" w:pos="1619" w:val="left"/>
        </w:tabs>
        <w:numPr>
          <w:ilvl w:val="1"/>
          <w:numId w:val="56"/>
        </w:numPr>
        <w:rPr>
          <w:rFonts w:ascii="Arial" w:cs="Arial" w:eastAsia="Arial" w:hAnsi="Arial"/>
          <w:sz w:val="15"/>
          <w:szCs w:val="15"/>
          <w:color w:val="010000"/>
        </w:rPr>
      </w:pPr>
      <w:r>
        <w:rPr>
          <w:rFonts w:ascii="Arial" w:cs="Arial" w:eastAsia="Arial" w:hAnsi="Arial"/>
          <w:sz w:val="15"/>
          <w:szCs w:val="15"/>
          <w:u w:val="single" w:color="auto"/>
          <w:color w:val="auto"/>
        </w:rPr>
        <w:t>Executive’s Successors</w:t>
      </w:r>
      <w:r>
        <w:rPr>
          <w:rFonts w:ascii="Arial" w:cs="Arial" w:eastAsia="Arial" w:hAnsi="Arial"/>
          <w:sz w:val="15"/>
          <w:szCs w:val="15"/>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73" w:lineRule="exact"/>
        <w:rPr>
          <w:rFonts w:ascii="Arial" w:cs="Arial" w:eastAsia="Arial" w:hAnsi="Arial"/>
          <w:sz w:val="15"/>
          <w:szCs w:val="15"/>
          <w:color w:val="010000"/>
        </w:rPr>
      </w:pPr>
    </w:p>
    <w:p>
      <w:pPr>
        <w:ind w:left="940" w:hanging="330"/>
        <w:spacing w:after="0"/>
        <w:tabs>
          <w:tab w:leader="none" w:pos="940" w:val="left"/>
        </w:tabs>
        <w:numPr>
          <w:ilvl w:val="0"/>
          <w:numId w:val="56"/>
        </w:numPr>
        <w:rPr>
          <w:rFonts w:ascii="Arial" w:cs="Arial" w:eastAsia="Arial" w:hAnsi="Arial"/>
          <w:sz w:val="19"/>
          <w:szCs w:val="19"/>
          <w:color w:val="010000"/>
        </w:rPr>
      </w:pPr>
      <w:r>
        <w:rPr>
          <w:rFonts w:ascii="Arial" w:cs="Arial" w:eastAsia="Arial" w:hAnsi="Arial"/>
          <w:sz w:val="19"/>
          <w:szCs w:val="19"/>
          <w:u w:val="single" w:color="auto"/>
          <w:color w:val="auto"/>
        </w:rPr>
        <w:t>Notice</w:t>
      </w:r>
      <w:r>
        <w:rPr>
          <w:rFonts w:ascii="Arial" w:cs="Arial" w:eastAsia="Arial" w:hAnsi="Arial"/>
          <w:sz w:val="19"/>
          <w:szCs w:val="19"/>
          <w:color w:val="auto"/>
        </w:rPr>
        <w:t>.</w:t>
      </w:r>
    </w:p>
    <w:p>
      <w:pPr>
        <w:spacing w:after="0" w:line="199" w:lineRule="exact"/>
        <w:rPr>
          <w:rFonts w:ascii="Arial" w:cs="Arial" w:eastAsia="Arial" w:hAnsi="Arial"/>
          <w:sz w:val="19"/>
          <w:szCs w:val="19"/>
          <w:color w:val="010000"/>
        </w:rPr>
      </w:pPr>
    </w:p>
    <w:p>
      <w:pPr>
        <w:ind w:firstLine="1218"/>
        <w:spacing w:after="0" w:line="255" w:lineRule="auto"/>
        <w:tabs>
          <w:tab w:leader="none" w:pos="1609" w:val="left"/>
        </w:tabs>
        <w:numPr>
          <w:ilvl w:val="1"/>
          <w:numId w:val="56"/>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72" w:lineRule="exact"/>
        <w:rPr>
          <w:rFonts w:ascii="Arial" w:cs="Arial" w:eastAsia="Arial" w:hAnsi="Arial"/>
          <w:sz w:val="18"/>
          <w:szCs w:val="18"/>
          <w:color w:val="010000"/>
        </w:rPr>
      </w:pPr>
    </w:p>
    <w:p>
      <w:pPr>
        <w:ind w:right="20" w:firstLine="1218"/>
        <w:spacing w:after="0" w:line="241" w:lineRule="auto"/>
        <w:tabs>
          <w:tab w:leader="none" w:pos="1619" w:val="left"/>
        </w:tabs>
        <w:numPr>
          <w:ilvl w:val="1"/>
          <w:numId w:val="56"/>
        </w:numPr>
        <w:rPr>
          <w:rFonts w:ascii="Arial" w:cs="Arial" w:eastAsia="Arial" w:hAnsi="Arial"/>
          <w:sz w:val="19"/>
          <w:szCs w:val="19"/>
          <w:color w:val="010000"/>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83" w:lineRule="exact"/>
        <w:rPr>
          <w:rFonts w:ascii="Arial" w:cs="Arial" w:eastAsia="Arial" w:hAnsi="Arial"/>
          <w:sz w:val="19"/>
          <w:szCs w:val="19"/>
          <w:color w:val="010000"/>
        </w:rPr>
      </w:pPr>
    </w:p>
    <w:p>
      <w:pPr>
        <w:ind w:right="80" w:firstLine="610"/>
        <w:spacing w:after="0" w:line="247" w:lineRule="auto"/>
        <w:tabs>
          <w:tab w:leader="none" w:pos="934" w:val="left"/>
        </w:tabs>
        <w:numPr>
          <w:ilvl w:val="0"/>
          <w:numId w:val="56"/>
        </w:numPr>
        <w:rPr>
          <w:rFonts w:ascii="Arial" w:cs="Arial" w:eastAsia="Arial" w:hAnsi="Arial"/>
          <w:sz w:val="19"/>
          <w:szCs w:val="19"/>
          <w:color w:val="010000"/>
        </w:rPr>
      </w:pPr>
      <w:r>
        <w:rPr>
          <w:rFonts w:ascii="Arial" w:cs="Arial" w:eastAsia="Arial" w:hAnsi="Arial"/>
          <w:sz w:val="19"/>
          <w:szCs w:val="19"/>
          <w:u w:val="single" w:color="auto"/>
          <w:color w:val="auto"/>
        </w:rPr>
        <w:t>Resignation</w:t>
      </w:r>
      <w:r>
        <w:rPr>
          <w:rFonts w:ascii="Arial" w:cs="Arial" w:eastAsia="Arial" w:hAnsi="Arial"/>
          <w:sz w:val="19"/>
          <w:szCs w:val="19"/>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hanging="273"/>
        <w:spacing w:after="0"/>
        <w:tabs>
          <w:tab w:leader="none" w:pos="460" w:val="left"/>
        </w:tabs>
        <w:numPr>
          <w:ilvl w:val="0"/>
          <w:numId w:val="57"/>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240"/>
          </w:cols>
          <w:pgMar w:left="320" w:top="134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employment and Executive, at the Board’s request, will execute any documents reasonably necessary to reflect Executive’s resignation.</w:t>
      </w:r>
    </w:p>
    <w:p>
      <w:pPr>
        <w:spacing w:after="0" w:line="211" w:lineRule="exact"/>
        <w:rPr>
          <w:sz w:val="20"/>
          <w:szCs w:val="20"/>
          <w:color w:val="auto"/>
        </w:rPr>
      </w:pPr>
    </w:p>
    <w:p>
      <w:pPr>
        <w:ind w:left="1020" w:hanging="410"/>
        <w:spacing w:after="0"/>
        <w:tabs>
          <w:tab w:leader="none" w:pos="1020" w:val="left"/>
        </w:tabs>
        <w:numPr>
          <w:ilvl w:val="0"/>
          <w:numId w:val="58"/>
        </w:numPr>
        <w:rPr>
          <w:rFonts w:ascii="Arial" w:cs="Arial" w:eastAsia="Arial" w:hAnsi="Arial"/>
          <w:sz w:val="19"/>
          <w:szCs w:val="19"/>
          <w:color w:val="010000"/>
        </w:rPr>
      </w:pPr>
      <w:r>
        <w:rPr>
          <w:rFonts w:ascii="Arial" w:cs="Arial" w:eastAsia="Arial" w:hAnsi="Arial"/>
          <w:sz w:val="19"/>
          <w:szCs w:val="19"/>
          <w:u w:val="single" w:color="auto"/>
          <w:color w:val="auto"/>
        </w:rPr>
        <w:t>Arbitration</w:t>
      </w:r>
      <w:r>
        <w:rPr>
          <w:rFonts w:ascii="Arial" w:cs="Arial" w:eastAsia="Arial" w:hAnsi="Arial"/>
          <w:sz w:val="19"/>
          <w:szCs w:val="19"/>
          <w:color w:val="auto"/>
        </w:rPr>
        <w:t>.</w:t>
      </w:r>
    </w:p>
    <w:p>
      <w:pPr>
        <w:spacing w:after="0" w:line="199" w:lineRule="exact"/>
        <w:rPr>
          <w:rFonts w:ascii="Arial" w:cs="Arial" w:eastAsia="Arial" w:hAnsi="Arial"/>
          <w:sz w:val="19"/>
          <w:szCs w:val="19"/>
          <w:color w:val="010000"/>
        </w:rPr>
      </w:pPr>
    </w:p>
    <w:p>
      <w:pPr>
        <w:ind w:firstLine="1218"/>
        <w:spacing w:after="0" w:line="273" w:lineRule="auto"/>
        <w:tabs>
          <w:tab w:leader="none" w:pos="1609" w:val="left"/>
        </w:tabs>
        <w:numPr>
          <w:ilvl w:val="1"/>
          <w:numId w:val="58"/>
        </w:numPr>
        <w:rPr>
          <w:rFonts w:ascii="Arial" w:cs="Arial" w:eastAsia="Arial" w:hAnsi="Arial"/>
          <w:sz w:val="17"/>
          <w:szCs w:val="17"/>
          <w:color w:val="010000"/>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 and pursuant to California law . The Federal Arbitration Act will also apply with full force and effect, notwithstanding the application of procedural rules set forth under the Act.</w:t>
      </w:r>
    </w:p>
    <w:p>
      <w:pPr>
        <w:spacing w:after="0" w:line="155" w:lineRule="exact"/>
        <w:rPr>
          <w:rFonts w:ascii="Arial" w:cs="Arial" w:eastAsia="Arial" w:hAnsi="Arial"/>
          <w:sz w:val="17"/>
          <w:szCs w:val="17"/>
          <w:color w:val="010000"/>
        </w:rPr>
      </w:pPr>
    </w:p>
    <w:p>
      <w:pPr>
        <w:ind w:left="20" w:right="40" w:firstLine="1211"/>
        <w:spacing w:after="0"/>
        <w:tabs>
          <w:tab w:leader="none" w:pos="1639" w:val="left"/>
        </w:tabs>
        <w:numPr>
          <w:ilvl w:val="2"/>
          <w:numId w:val="58"/>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Disputes that Executive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82" w:lineRule="exact"/>
        <w:rPr>
          <w:sz w:val="20"/>
          <w:szCs w:val="20"/>
          <w:color w:val="auto"/>
        </w:rPr>
      </w:pPr>
    </w:p>
    <w:p>
      <w:pPr>
        <w:ind w:left="1620" w:hanging="402"/>
        <w:spacing w:after="0"/>
        <w:tabs>
          <w:tab w:leader="none" w:pos="1620" w:val="left"/>
        </w:tabs>
        <w:numPr>
          <w:ilvl w:val="0"/>
          <w:numId w:val="59"/>
        </w:numPr>
        <w:rPr>
          <w:rFonts w:ascii="Arial" w:cs="Arial" w:eastAsia="Arial" w:hAnsi="Arial"/>
          <w:sz w:val="17"/>
          <w:szCs w:val="17"/>
          <w:color w:val="010000"/>
        </w:rPr>
      </w:pPr>
      <w:r>
        <w:rPr>
          <w:rFonts w:ascii="Arial" w:cs="Arial" w:eastAsia="Arial" w:hAnsi="Arial"/>
          <w:sz w:val="17"/>
          <w:szCs w:val="17"/>
          <w:u w:val="single" w:color="auto"/>
          <w:color w:val="auto"/>
        </w:rPr>
        <w:t>Procedure</w:t>
      </w:r>
      <w:r>
        <w:rPr>
          <w:rFonts w:ascii="Arial" w:cs="Arial" w:eastAsia="Arial" w:hAnsi="Arial"/>
          <w:sz w:val="17"/>
          <w:szCs w:val="17"/>
          <w:color w:val="auto"/>
        </w:rPr>
        <w:t>. Executive agrees that any arbitration will be administered by the Judicial Arbitration &amp; Mediation Services, Inc.</w:t>
      </w:r>
    </w:p>
    <w:p>
      <w:pPr>
        <w:spacing w:after="0" w:line="3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59" w:lineRule="exact"/>
        <w:rPr>
          <w:sz w:val="20"/>
          <w:szCs w:val="20"/>
          <w:color w:val="auto"/>
        </w:rPr>
      </w:pPr>
    </w:p>
    <w:p>
      <w:pPr>
        <w:ind w:right="100" w:firstLine="1218"/>
        <w:spacing w:after="0" w:line="243" w:lineRule="auto"/>
        <w:tabs>
          <w:tab w:leader="none" w:pos="1619" w:val="left"/>
        </w:tabs>
        <w:numPr>
          <w:ilvl w:val="0"/>
          <w:numId w:val="60"/>
        </w:numPr>
        <w:rPr>
          <w:rFonts w:ascii="Arial" w:cs="Arial" w:eastAsia="Arial" w:hAnsi="Arial"/>
          <w:sz w:val="19"/>
          <w:szCs w:val="19"/>
          <w:color w:val="010000"/>
        </w:rPr>
      </w:pPr>
      <w:r>
        <w:rPr>
          <w:rFonts w:ascii="Arial" w:cs="Arial" w:eastAsia="Arial" w:hAnsi="Arial"/>
          <w:sz w:val="19"/>
          <w:szCs w:val="19"/>
          <w:u w:val="single" w:color="auto"/>
          <w:color w:val="auto"/>
        </w:rPr>
        <w:t>Remedy</w:t>
      </w:r>
      <w:r>
        <w:rPr>
          <w:rFonts w:ascii="Arial" w:cs="Arial" w:eastAsia="Arial" w:hAnsi="Arial"/>
          <w:sz w:val="19"/>
          <w:szCs w:val="19"/>
          <w:color w:val="auto"/>
        </w:rPr>
        <w:t>. Except as provided by the Act, arbitration will be the sole, exclusive, and final remedy for any dispute between Executive and the Company. Accordingly, except as provided by the Act and this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60" w:hanging="373"/>
        <w:spacing w:after="0"/>
        <w:tabs>
          <w:tab w:leader="none" w:pos="560" w:val="left"/>
        </w:tabs>
        <w:numPr>
          <w:ilvl w:val="0"/>
          <w:numId w:val="61"/>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240"/>
          </w:cols>
          <w:pgMar w:left="320" w:top="1340" w:right="339" w:bottom="1440" w:gutter="0" w:footer="0" w:header="0"/>
        </w:sectPr>
      </w:pPr>
    </w:p>
    <w:bookmarkStart w:id="99" w:name="page100"/>
    <w:bookmarkEnd w:id="99"/>
    <w:p>
      <w:pPr>
        <w:spacing w:after="0"/>
        <w:rPr>
          <w:sz w:val="20"/>
          <w:szCs w:val="20"/>
          <w:color w:val="auto"/>
        </w:rPr>
      </w:pPr>
      <w:r>
        <w:rPr>
          <w:rFonts w:ascii="Arial" w:cs="Arial" w:eastAsia="Arial" w:hAnsi="Arial"/>
          <w:sz w:val="19"/>
          <w:szCs w:val="19"/>
          <w:color w:val="auto"/>
        </w:rPr>
        <w:t>require the Company to adopt a policy not otherwise required by law which the Company has not adopted.</w:t>
      </w:r>
    </w:p>
    <w:p>
      <w:pPr>
        <w:spacing w:after="0" w:line="200" w:lineRule="exact"/>
        <w:rPr>
          <w:sz w:val="20"/>
          <w:szCs w:val="20"/>
          <w:color w:val="auto"/>
        </w:rPr>
      </w:pPr>
    </w:p>
    <w:p>
      <w:pPr>
        <w:ind w:right="60" w:firstLine="1218"/>
        <w:spacing w:after="0" w:line="281" w:lineRule="auto"/>
        <w:tabs>
          <w:tab w:leader="none" w:pos="1609" w:val="left"/>
        </w:tabs>
        <w:numPr>
          <w:ilvl w:val="1"/>
          <w:numId w:val="62"/>
        </w:numPr>
        <w:rPr>
          <w:rFonts w:ascii="Arial" w:cs="Arial" w:eastAsia="Arial" w:hAnsi="Arial"/>
          <w:sz w:val="17"/>
          <w:szCs w:val="17"/>
          <w:color w:val="010000"/>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49" w:lineRule="exact"/>
        <w:rPr>
          <w:rFonts w:ascii="Arial" w:cs="Arial" w:eastAsia="Arial" w:hAnsi="Arial"/>
          <w:sz w:val="17"/>
          <w:szCs w:val="17"/>
          <w:color w:val="010000"/>
        </w:rPr>
      </w:pPr>
    </w:p>
    <w:p>
      <w:pPr>
        <w:ind w:right="80" w:firstLine="1218"/>
        <w:spacing w:after="0" w:line="322" w:lineRule="auto"/>
        <w:tabs>
          <w:tab w:leader="none" w:pos="1589" w:val="left"/>
        </w:tabs>
        <w:numPr>
          <w:ilvl w:val="1"/>
          <w:numId w:val="62"/>
        </w:numPr>
        <w:rPr>
          <w:rFonts w:ascii="Arial" w:cs="Arial" w:eastAsia="Arial" w:hAnsi="Arial"/>
          <w:sz w:val="15"/>
          <w:szCs w:val="15"/>
          <w:color w:val="010000"/>
        </w:rPr>
      </w:pPr>
      <w:r>
        <w:rPr>
          <w:rFonts w:ascii="Arial" w:cs="Arial" w:eastAsia="Arial" w:hAnsi="Arial"/>
          <w:sz w:val="15"/>
          <w:szCs w:val="15"/>
          <w:u w:val="single" w:color="auto"/>
          <w:color w:val="auto"/>
        </w:rPr>
        <w:t>Voluntary Nature of Agreement</w:t>
      </w:r>
      <w:r>
        <w:rPr>
          <w:rFonts w:ascii="Arial" w:cs="Arial" w:eastAsia="Arial" w:hAnsi="Arial"/>
          <w:sz w:val="15"/>
          <w:szCs w:val="15"/>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5"/>
          <w:szCs w:val="15"/>
          <w:b w:val="1"/>
          <w:bCs w:val="1"/>
          <w:i w:val="1"/>
          <w:iCs w:val="1"/>
          <w:color w:val="auto"/>
        </w:rPr>
        <w:t>EXECUTIVE IS WAIVING EXECUTIVE’S RIGHT TO A JURY TRIAL</w:t>
      </w:r>
      <w:r>
        <w:rPr>
          <w:rFonts w:ascii="Arial" w:cs="Arial" w:eastAsia="Arial" w:hAnsi="Arial"/>
          <w:sz w:val="15"/>
          <w:szCs w:val="15"/>
          <w:color w:val="auto"/>
        </w:rPr>
        <w:t>. Finally, Executive agrees that Executive has been provided an opportunity to seek the advice of an attorney of Executive’s choice before signing this Agreement.</w:t>
      </w:r>
    </w:p>
    <w:p>
      <w:pPr>
        <w:spacing w:after="0" w:line="123" w:lineRule="exact"/>
        <w:rPr>
          <w:rFonts w:ascii="Arial" w:cs="Arial" w:eastAsia="Arial" w:hAnsi="Arial"/>
          <w:sz w:val="15"/>
          <w:szCs w:val="15"/>
          <w:color w:val="010000"/>
        </w:rPr>
      </w:pPr>
    </w:p>
    <w:p>
      <w:pPr>
        <w:ind w:left="1020" w:hanging="410"/>
        <w:spacing w:after="0"/>
        <w:tabs>
          <w:tab w:leader="none" w:pos="1020" w:val="left"/>
        </w:tabs>
        <w:numPr>
          <w:ilvl w:val="0"/>
          <w:numId w:val="63"/>
        </w:numPr>
        <w:rPr>
          <w:rFonts w:ascii="Arial" w:cs="Arial" w:eastAsia="Arial" w:hAnsi="Arial"/>
          <w:sz w:val="19"/>
          <w:szCs w:val="19"/>
          <w:color w:val="010000"/>
        </w:rPr>
      </w:pPr>
      <w:r>
        <w:rPr>
          <w:rFonts w:ascii="Arial" w:cs="Arial" w:eastAsia="Arial" w:hAnsi="Arial"/>
          <w:sz w:val="19"/>
          <w:szCs w:val="19"/>
          <w:u w:val="single" w:color="auto"/>
          <w:color w:val="auto"/>
        </w:rPr>
        <w:t>Miscellaneous Provisions</w:t>
      </w:r>
      <w:r>
        <w:rPr>
          <w:rFonts w:ascii="Arial" w:cs="Arial" w:eastAsia="Arial" w:hAnsi="Arial"/>
          <w:sz w:val="19"/>
          <w:szCs w:val="19"/>
          <w:color w:val="auto"/>
        </w:rPr>
        <w:t>.</w:t>
      </w:r>
    </w:p>
    <w:p>
      <w:pPr>
        <w:spacing w:after="0" w:line="199" w:lineRule="exact"/>
        <w:rPr>
          <w:rFonts w:ascii="Arial" w:cs="Arial" w:eastAsia="Arial" w:hAnsi="Arial"/>
          <w:sz w:val="19"/>
          <w:szCs w:val="19"/>
          <w:color w:val="010000"/>
        </w:rPr>
      </w:pPr>
    </w:p>
    <w:p>
      <w:pPr>
        <w:ind w:right="20" w:firstLine="1218"/>
        <w:spacing w:after="0" w:line="257" w:lineRule="auto"/>
        <w:tabs>
          <w:tab w:leader="none" w:pos="1609" w:val="left"/>
        </w:tabs>
        <w:numPr>
          <w:ilvl w:val="1"/>
          <w:numId w:val="63"/>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165" w:lineRule="exact"/>
        <w:rPr>
          <w:rFonts w:ascii="Arial" w:cs="Arial" w:eastAsia="Arial" w:hAnsi="Arial"/>
          <w:sz w:val="19"/>
          <w:szCs w:val="19"/>
          <w:color w:val="010000"/>
        </w:rPr>
      </w:pPr>
    </w:p>
    <w:p>
      <w:pPr>
        <w:ind w:firstLine="1218"/>
        <w:spacing w:after="0" w:line="243" w:lineRule="auto"/>
        <w:tabs>
          <w:tab w:leader="none" w:pos="1619" w:val="left"/>
        </w:tabs>
        <w:numPr>
          <w:ilvl w:val="1"/>
          <w:numId w:val="63"/>
        </w:numPr>
        <w:rPr>
          <w:rFonts w:ascii="Arial" w:cs="Arial" w:eastAsia="Arial" w:hAnsi="Arial"/>
          <w:sz w:val="19"/>
          <w:szCs w:val="19"/>
          <w:color w:val="010000"/>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0" w:lineRule="exact"/>
        <w:rPr>
          <w:rFonts w:ascii="Arial" w:cs="Arial" w:eastAsia="Arial" w:hAnsi="Arial"/>
          <w:sz w:val="19"/>
          <w:szCs w:val="19"/>
          <w:color w:val="010000"/>
        </w:rPr>
      </w:pPr>
    </w:p>
    <w:p>
      <w:pPr>
        <w:ind w:left="1620" w:hanging="402"/>
        <w:spacing w:after="0"/>
        <w:tabs>
          <w:tab w:leader="none" w:pos="1620" w:val="left"/>
        </w:tabs>
        <w:numPr>
          <w:ilvl w:val="1"/>
          <w:numId w:val="63"/>
        </w:numPr>
        <w:rPr>
          <w:rFonts w:ascii="Arial" w:cs="Arial" w:eastAsia="Arial" w:hAnsi="Arial"/>
          <w:sz w:val="17"/>
          <w:szCs w:val="17"/>
          <w:color w:val="010000"/>
        </w:rPr>
      </w:pPr>
      <w:r>
        <w:rPr>
          <w:rFonts w:ascii="Arial" w:cs="Arial" w:eastAsia="Arial" w:hAnsi="Arial"/>
          <w:sz w:val="17"/>
          <w:szCs w:val="17"/>
          <w:u w:val="single" w:color="auto"/>
          <w:color w:val="auto"/>
        </w:rPr>
        <w:t>Headings</w:t>
      </w:r>
      <w:r>
        <w:rPr>
          <w:rFonts w:ascii="Arial" w:cs="Arial" w:eastAsia="Arial" w:hAnsi="Arial"/>
          <w:sz w:val="17"/>
          <w:szCs w:val="17"/>
          <w:color w:val="auto"/>
        </w:rPr>
        <w:t>. All captions and section headings used in this Agreement are for convenient reference only and do not form a part of</w:t>
      </w:r>
    </w:p>
    <w:p>
      <w:pPr>
        <w:spacing w:after="0" w:line="36"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9"/>
          <w:szCs w:val="19"/>
          <w:color w:val="auto"/>
        </w:rPr>
        <w:t>this Agreement.</w:t>
      </w:r>
    </w:p>
    <w:p>
      <w:pPr>
        <w:spacing w:after="0" w:line="183" w:lineRule="exact"/>
        <w:rPr>
          <w:rFonts w:ascii="Arial" w:cs="Arial" w:eastAsia="Arial" w:hAnsi="Arial"/>
          <w:sz w:val="17"/>
          <w:szCs w:val="17"/>
          <w:color w:val="010000"/>
        </w:rPr>
      </w:pPr>
    </w:p>
    <w:p>
      <w:pPr>
        <w:ind w:right="40" w:firstLine="1218"/>
        <w:spacing w:after="0" w:line="261" w:lineRule="auto"/>
        <w:tabs>
          <w:tab w:leader="none" w:pos="1619" w:val="left"/>
        </w:tabs>
        <w:numPr>
          <w:ilvl w:val="1"/>
          <w:numId w:val="63"/>
        </w:numPr>
        <w:rPr>
          <w:rFonts w:ascii="Arial" w:cs="Arial" w:eastAsia="Arial" w:hAnsi="Arial"/>
          <w:sz w:val="18"/>
          <w:szCs w:val="18"/>
          <w:color w:val="010000"/>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164" w:lineRule="exact"/>
        <w:rPr>
          <w:rFonts w:ascii="Arial" w:cs="Arial" w:eastAsia="Arial" w:hAnsi="Arial"/>
          <w:sz w:val="18"/>
          <w:szCs w:val="18"/>
          <w:color w:val="010000"/>
        </w:rPr>
      </w:pPr>
    </w:p>
    <w:p>
      <w:pPr>
        <w:ind w:right="60" w:firstLine="1218"/>
        <w:spacing w:after="0" w:line="241" w:lineRule="auto"/>
        <w:tabs>
          <w:tab w:leader="none" w:pos="1609" w:val="left"/>
        </w:tabs>
        <w:numPr>
          <w:ilvl w:val="1"/>
          <w:numId w:val="63"/>
        </w:numPr>
        <w:rPr>
          <w:rFonts w:ascii="Arial" w:cs="Arial" w:eastAsia="Arial" w:hAnsi="Arial"/>
          <w:sz w:val="19"/>
          <w:szCs w:val="19"/>
          <w:color w:val="010000"/>
        </w:rPr>
      </w:pPr>
      <w:r>
        <w:rPr>
          <w:rFonts w:ascii="Arial" w:cs="Arial" w:eastAsia="Arial" w:hAnsi="Arial"/>
          <w:sz w:val="19"/>
          <w:szCs w:val="19"/>
          <w:u w:val="single" w:color="auto"/>
          <w:color w:val="auto"/>
        </w:rPr>
        <w:t>Choice of Law</w:t>
      </w:r>
      <w:r>
        <w:rPr>
          <w:rFonts w:ascii="Arial" w:cs="Arial" w:eastAsia="Arial" w:hAnsi="Arial"/>
          <w:sz w:val="19"/>
          <w:szCs w:val="19"/>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60" w:hanging="373"/>
        <w:spacing w:after="0"/>
        <w:tabs>
          <w:tab w:leader="none" w:pos="560" w:val="left"/>
        </w:tabs>
        <w:numPr>
          <w:ilvl w:val="0"/>
          <w:numId w:val="64"/>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220"/>
          </w:cols>
          <w:pgMar w:left="320" w:top="1340" w:right="359" w:bottom="1440" w:gutter="0" w:footer="0" w:header="0"/>
        </w:sectPr>
      </w:pPr>
    </w:p>
    <w:bookmarkStart w:id="100" w:name="page101"/>
    <w:bookmarkEnd w:id="100"/>
    <w:p>
      <w:pPr>
        <w:ind w:right="100" w:firstLine="1218"/>
        <w:spacing w:after="0" w:line="257" w:lineRule="auto"/>
        <w:tabs>
          <w:tab w:leader="none" w:pos="1589" w:val="left"/>
        </w:tabs>
        <w:numPr>
          <w:ilvl w:val="0"/>
          <w:numId w:val="65"/>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or provisions of this Agreement will not affect the validity or enforceability of any other provision hereof, which will remain in full force and effect.</w:t>
      </w:r>
    </w:p>
    <w:p>
      <w:pPr>
        <w:spacing w:after="0" w:line="165" w:lineRule="exact"/>
        <w:rPr>
          <w:rFonts w:ascii="Arial" w:cs="Arial" w:eastAsia="Arial" w:hAnsi="Arial"/>
          <w:sz w:val="19"/>
          <w:szCs w:val="19"/>
          <w:color w:val="010000"/>
        </w:rPr>
      </w:pPr>
    </w:p>
    <w:p>
      <w:pPr>
        <w:ind w:left="1620" w:hanging="402"/>
        <w:spacing w:after="0"/>
        <w:tabs>
          <w:tab w:leader="none" w:pos="1620" w:val="left"/>
        </w:tabs>
        <w:numPr>
          <w:ilvl w:val="0"/>
          <w:numId w:val="65"/>
        </w:numPr>
        <w:rPr>
          <w:rFonts w:ascii="Arial" w:cs="Arial" w:eastAsia="Arial" w:hAnsi="Arial"/>
          <w:sz w:val="17"/>
          <w:szCs w:val="17"/>
          <w:color w:val="010000"/>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withholding of applicable income, employment</w:t>
      </w:r>
    </w:p>
    <w:p>
      <w:pPr>
        <w:spacing w:after="0" w:line="36"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9"/>
          <w:szCs w:val="19"/>
          <w:color w:val="auto"/>
        </w:rPr>
        <w:t>and other taxes.</w:t>
      </w:r>
    </w:p>
    <w:p>
      <w:pPr>
        <w:spacing w:after="0" w:line="183" w:lineRule="exact"/>
        <w:rPr>
          <w:rFonts w:ascii="Arial" w:cs="Arial" w:eastAsia="Arial" w:hAnsi="Arial"/>
          <w:sz w:val="17"/>
          <w:szCs w:val="17"/>
          <w:color w:val="010000"/>
        </w:rPr>
      </w:pPr>
    </w:p>
    <w:p>
      <w:pPr>
        <w:ind w:right="280" w:firstLine="1218"/>
        <w:spacing w:after="0" w:line="257" w:lineRule="auto"/>
        <w:tabs>
          <w:tab w:leader="none" w:pos="1619" w:val="left"/>
        </w:tabs>
        <w:numPr>
          <w:ilvl w:val="0"/>
          <w:numId w:val="65"/>
        </w:numPr>
        <w:rPr>
          <w:rFonts w:ascii="Arial" w:cs="Arial" w:eastAsia="Arial" w:hAnsi="Arial"/>
          <w:sz w:val="19"/>
          <w:szCs w:val="19"/>
          <w:color w:val="010000"/>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0" w:hanging="373"/>
        <w:spacing w:after="0"/>
        <w:tabs>
          <w:tab w:leader="none" w:pos="560" w:val="left"/>
        </w:tabs>
        <w:numPr>
          <w:ilvl w:val="0"/>
          <w:numId w:val="66"/>
        </w:numPr>
        <w:rPr>
          <w:rFonts w:ascii="Arial" w:cs="Arial" w:eastAsia="Arial" w:hAnsi="Arial"/>
          <w:sz w:val="19"/>
          <w:szCs w:val="19"/>
          <w:color w:val="auto"/>
        </w:rPr>
      </w:pPr>
      <w:r>
        <w:rPr>
          <w:rFonts w:ascii="Arial" w:cs="Arial" w:eastAsia="Arial" w:hAnsi="Arial"/>
          <w:sz w:val="14"/>
          <w:szCs w:val="14"/>
          <w:color w:val="auto"/>
        </w:rPr>
        <w:t>33857/00600/FW/10411001.4</w:t>
      </w:r>
    </w:p>
    <w:p>
      <w:pPr>
        <w:sectPr>
          <w:pgSz w:w="11900" w:h="16838" w:orient="portrait"/>
          <w:cols w:equalWidth="0" w:num="1">
            <w:col w:w="11040"/>
          </w:cols>
          <w:pgMar w:left="320" w:top="1340" w:right="539" w:bottom="1440" w:gutter="0" w:footer="0" w:header="0"/>
        </w:sectPr>
      </w:pPr>
    </w:p>
    <w:bookmarkStart w:id="101" w:name="page102"/>
    <w:bookmarkEnd w:id="101"/>
    <w:p>
      <w:pPr>
        <w:ind w:firstLine="609"/>
        <w:spacing w:after="0" w:line="257" w:lineRule="auto"/>
        <w:rPr>
          <w:sz w:val="20"/>
          <w:szCs w:val="20"/>
          <w:color w:val="auto"/>
        </w:rPr>
      </w:pPr>
      <w:r>
        <w:rPr>
          <w:rFonts w:ascii="Arial" w:cs="Arial" w:eastAsia="Arial" w:hAnsi="Arial"/>
          <w:sz w:val="19"/>
          <w:szCs w:val="19"/>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tabs>
          <w:tab w:leader="none" w:pos="5120" w:val="left"/>
        </w:tabs>
        <w:rPr>
          <w:sz w:val="20"/>
          <w:szCs w:val="20"/>
          <w:color w:val="auto"/>
        </w:rPr>
      </w:pPr>
      <w:r>
        <w:rPr>
          <w:rFonts w:ascii="Arial" w:cs="Arial" w:eastAsia="Arial" w:hAnsi="Arial"/>
          <w:sz w:val="19"/>
          <w:szCs w:val="19"/>
          <w:color w:val="auto"/>
        </w:rPr>
        <w:t>COMPANY</w:t>
      </w:r>
      <w:r>
        <w:rPr>
          <w:sz w:val="20"/>
          <w:szCs w:val="20"/>
          <w:color w:val="auto"/>
        </w:rPr>
        <w:tab/>
      </w:r>
      <w:r>
        <w:rPr>
          <w:rFonts w:ascii="Arial" w:cs="Arial" w:eastAsia="Arial" w:hAnsi="Arial"/>
          <w:sz w:val="19"/>
          <w:szCs w:val="19"/>
          <w:color w:val="auto"/>
        </w:rPr>
        <w:t>VERACYTE, INC.</w:t>
      </w:r>
    </w:p>
    <w:p>
      <w:pPr>
        <w:spacing w:after="0" w:line="200"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By: /s/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890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-14605</wp:posOffset>
            </wp:positionV>
            <wp:extent cx="12490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180"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Date: 7/1/2021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537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7210" cy="8255"/>
                    </a:xfrm>
                    <a:prstGeom prst="rect">
                      <a:avLst/>
                    </a:prstGeom>
                    <a:noFill/>
                  </pic:spPr>
                </pic:pic>
              </a:graphicData>
            </a:graphic>
          </wp:anchor>
        </w:drawing>
      </w:r>
    </w:p>
    <w:p>
      <w:pPr>
        <w:spacing w:after="0" w:line="231" w:lineRule="exact"/>
        <w:rPr>
          <w:sz w:val="20"/>
          <w:szCs w:val="20"/>
          <w:color w:val="auto"/>
        </w:rPr>
      </w:pPr>
    </w:p>
    <w:p>
      <w:pPr>
        <w:ind w:left="60"/>
        <w:spacing w:after="0"/>
        <w:tabs>
          <w:tab w:leader="none" w:pos="5120" w:val="left"/>
        </w:tabs>
        <w:rPr>
          <w:sz w:val="20"/>
          <w:szCs w:val="20"/>
          <w:color w:val="auto"/>
        </w:rPr>
      </w:pPr>
      <w:r>
        <w:rPr>
          <w:rFonts w:ascii="Arial" w:cs="Arial" w:eastAsia="Arial" w:hAnsi="Arial"/>
          <w:sz w:val="19"/>
          <w:szCs w:val="19"/>
          <w:color w:val="auto"/>
        </w:rPr>
        <w:t>EXECUTIVE</w:t>
      </w:r>
      <w:r>
        <w:rPr>
          <w:sz w:val="20"/>
          <w:szCs w:val="20"/>
          <w:color w:val="auto"/>
        </w:rPr>
        <w:tab/>
      </w:r>
      <w:r>
        <w:rPr>
          <w:rFonts w:ascii="Arial" w:cs="Arial" w:eastAsia="Arial" w:hAnsi="Arial"/>
          <w:sz w:val="19"/>
          <w:szCs w:val="19"/>
          <w:color w:val="auto"/>
        </w:rPr>
        <w:t>By: /s/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11664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-14605</wp:posOffset>
            </wp:positionV>
            <wp:extent cx="12166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180"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Date: 7/1/2021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537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1F1D23"/>
        </w:rPr>
        <w:t>[</w:t>
      </w:r>
      <w:r>
        <w:rPr>
          <w:rFonts w:ascii="Arial" w:cs="Arial" w:eastAsia="Arial" w:hAnsi="Arial"/>
          <w:sz w:val="19"/>
          <w:szCs w:val="19"/>
          <w:b w:val="1"/>
          <w:bCs w:val="1"/>
          <w:i w:val="1"/>
          <w:iCs w:val="1"/>
          <w:color w:val="1F1D23"/>
        </w:rPr>
        <w:t>signature page of the Change of Control and Severance Agreement]</w:t>
      </w:r>
    </w:p>
    <w:p>
      <w:pPr>
        <w:sectPr>
          <w:pgSz w:w="11900" w:h="16838" w:orient="portrait"/>
          <w:cols w:equalWidth="0" w:num="1">
            <w:col w:w="10980"/>
          </w:cols>
          <w:pgMar w:left="320" w:top="1340" w:right="599" w:bottom="1440" w:gutter="0" w:footer="0" w:header="0"/>
        </w:sectPr>
      </w:pPr>
    </w:p>
    <w:bookmarkStart w:id="102" w:name="page103"/>
    <w:bookmarkEnd w:id="102"/>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u w:val="single" w:color="auto"/>
          <w:color w:val="auto"/>
        </w:rPr>
        <w:t>EXHIBIT A</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FORM OF RELEASE OF CLAIMS</w:t>
      </w:r>
    </w:p>
    <w:p>
      <w:pPr>
        <w:spacing w:after="0" w:line="204" w:lineRule="exact"/>
        <w:rPr>
          <w:sz w:val="20"/>
          <w:szCs w:val="20"/>
          <w:color w:val="auto"/>
        </w:rPr>
      </w:pPr>
    </w:p>
    <w:p>
      <w:pPr>
        <w:ind w:right="100" w:firstLine="609"/>
        <w:spacing w:after="0" w:line="285" w:lineRule="auto"/>
        <w:rPr>
          <w:sz w:val="20"/>
          <w:szCs w:val="20"/>
          <w:color w:val="auto"/>
        </w:rPr>
      </w:pPr>
      <w:r>
        <w:rPr>
          <w:rFonts w:ascii="Arial" w:cs="Arial" w:eastAsia="Arial" w:hAnsi="Arial"/>
          <w:sz w:val="18"/>
          <w:szCs w:val="18"/>
          <w:color w:val="auto"/>
        </w:rPr>
        <w:t>This release of claims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and between Veracyte,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Name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The Company and Executive are sometimes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RECITALS</w:t>
      </w:r>
    </w:p>
    <w:p>
      <w:pPr>
        <w:spacing w:after="0" w:line="200" w:lineRule="exact"/>
        <w:rPr>
          <w:sz w:val="20"/>
          <w:szCs w:val="20"/>
          <w:color w:val="auto"/>
        </w:rPr>
      </w:pPr>
    </w:p>
    <w:p>
      <w:pPr>
        <w:ind w:right="720" w:firstLine="609"/>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WHEREAS</w:t>
      </w:r>
      <w:r>
        <w:rPr>
          <w:rFonts w:ascii="Arial" w:cs="Arial" w:eastAsia="Arial" w:hAnsi="Arial"/>
          <w:sz w:val="19"/>
          <w:szCs w:val="19"/>
          <w:color w:val="auto"/>
        </w:rPr>
        <w:t>, Executive signed a [Confidential Information and Invention Assignment Agreement] with the Company on Date (the “</w:t>
      </w:r>
      <w:r>
        <w:rPr>
          <w:rFonts w:ascii="Arial" w:cs="Arial" w:eastAsia="Arial" w:hAnsi="Arial"/>
          <w:sz w:val="19"/>
          <w:szCs w:val="19"/>
          <w:b w:val="1"/>
          <w:bCs w:val="1"/>
          <w:i w:val="1"/>
          <w:iCs w:val="1"/>
          <w:color w:val="auto"/>
        </w:rPr>
        <w:t>Confidentiality Agreement</w:t>
      </w:r>
      <w:r>
        <w:rPr>
          <w:rFonts w:ascii="Arial" w:cs="Arial" w:eastAsia="Arial" w:hAnsi="Arial"/>
          <w:sz w:val="19"/>
          <w:szCs w:val="19"/>
          <w:color w:val="auto"/>
        </w:rPr>
        <w:t>”);]</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signed a Change of Control and Severance Agreement with the company on ________________ (the “</w:t>
      </w:r>
      <w:r>
        <w:rPr>
          <w:rFonts w:ascii="Arial" w:cs="Arial" w:eastAsia="Arial" w:hAnsi="Arial"/>
          <w:sz w:val="17"/>
          <w:szCs w:val="17"/>
          <w:b w:val="1"/>
          <w:bCs w:val="1"/>
          <w:i w:val="1"/>
          <w:iCs w:val="1"/>
          <w:color w:val="auto"/>
        </w:rPr>
        <w:t>Severance</w:t>
      </w:r>
    </w:p>
    <w:p>
      <w:pPr>
        <w:spacing w:after="0" w:line="40" w:lineRule="exact"/>
        <w:rPr>
          <w:sz w:val="20"/>
          <w:szCs w:val="20"/>
          <w:color w:val="auto"/>
        </w:rPr>
      </w:pPr>
    </w:p>
    <w:p>
      <w:pPr>
        <w:ind w:right="300"/>
        <w:spacing w:after="0"/>
        <w:rPr>
          <w:sz w:val="20"/>
          <w:szCs w:val="20"/>
          <w:color w:val="auto"/>
        </w:rPr>
      </w:pP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among other things, provides for certain severance benefits to be paid to Executive by the Company upon the termination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Executive’s employment;</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was employed by the Company until __________________, when Executive’s employment was terminated</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w:t>
      </w:r>
    </w:p>
    <w:p>
      <w:pPr>
        <w:spacing w:after="0" w:line="180" w:lineRule="exact"/>
        <w:rPr>
          <w:sz w:val="20"/>
          <w:szCs w:val="20"/>
          <w:color w:val="auto"/>
        </w:rPr>
      </w:pPr>
    </w:p>
    <w:p>
      <w:pPr>
        <w:jc w:val="both"/>
        <w:ind w:firstLine="609"/>
        <w:spacing w:after="0" w:line="2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accordance with Section 4 of the Severance Agreement between the Company and Executive, Executive has agreed to enter</w:t>
      </w:r>
      <w:r>
        <w:rPr>
          <w:rFonts w:ascii="Arial" w:cs="Arial" w:eastAsia="Arial" w:hAnsi="Arial"/>
          <w:sz w:val="19"/>
          <w:szCs w:val="19"/>
          <w:b w:val="1"/>
          <w:bCs w:val="1"/>
          <w:color w:val="auto"/>
        </w:rPr>
        <w:t xml:space="preserve"> </w:t>
      </w:r>
      <w:r>
        <w:rPr>
          <w:rFonts w:ascii="Arial" w:cs="Arial" w:eastAsia="Arial" w:hAnsi="Arial"/>
          <w:sz w:val="19"/>
          <w:szCs w:val="19"/>
          <w:color w:val="auto"/>
        </w:rPr>
        <w:t>into and not revoke a standard release of claims in favor of the Company as a condition to receiving the severance benefits described in the Severance Agreement; and</w:t>
      </w:r>
    </w:p>
    <w:p>
      <w:pPr>
        <w:spacing w:after="0" w:line="169" w:lineRule="exact"/>
        <w:rPr>
          <w:sz w:val="20"/>
          <w:szCs w:val="20"/>
          <w:color w:val="auto"/>
        </w:rPr>
      </w:pPr>
    </w:p>
    <w:p>
      <w:pPr>
        <w:ind w:right="60" w:firstLine="609"/>
        <w:spacing w:after="0" w:line="29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wish to resolve any and all disputes, claims, complaints, grievances, charges, actions, petitions and demands that</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including the mutual promises and covenants made herein, the Company and</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Executive hereby agree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COVENANTS</w:t>
      </w:r>
    </w:p>
    <w:p>
      <w:pPr>
        <w:spacing w:after="0" w:line="204" w:lineRule="exact"/>
        <w:rPr>
          <w:sz w:val="20"/>
          <w:szCs w:val="20"/>
          <w:color w:val="auto"/>
        </w:rPr>
      </w:pPr>
    </w:p>
    <w:p>
      <w:pPr>
        <w:ind w:left="940" w:hanging="330"/>
        <w:spacing w:after="0"/>
        <w:tabs>
          <w:tab w:leader="none" w:pos="940" w:val="left"/>
        </w:tabs>
        <w:numPr>
          <w:ilvl w:val="0"/>
          <w:numId w:val="67"/>
        </w:numPr>
        <w:rPr>
          <w:rFonts w:ascii="Arial" w:cs="Arial" w:eastAsia="Arial" w:hAnsi="Arial"/>
          <w:sz w:val="19"/>
          <w:szCs w:val="19"/>
          <w:color w:val="010000"/>
        </w:rPr>
      </w:pPr>
      <w:r>
        <w:rPr>
          <w:rFonts w:ascii="Arial" w:cs="Arial" w:eastAsia="Arial" w:hAnsi="Arial"/>
          <w:sz w:val="19"/>
          <w:szCs w:val="19"/>
          <w:u w:val="single" w:color="auto"/>
          <w:color w:val="auto"/>
        </w:rPr>
        <w:t>Termination</w:t>
      </w:r>
      <w:r>
        <w:rPr>
          <w:rFonts w:ascii="Arial" w:cs="Arial" w:eastAsia="Arial" w:hAnsi="Arial"/>
          <w:sz w:val="19"/>
          <w:szCs w:val="19"/>
          <w:color w:val="auto"/>
        </w:rPr>
        <w:t>. Executive’s employment with the Company terminated on the Termination Date.</w:t>
      </w:r>
    </w:p>
    <w:p>
      <w:pPr>
        <w:spacing w:after="0" w:line="199" w:lineRule="exact"/>
        <w:rPr>
          <w:rFonts w:ascii="Arial" w:cs="Arial" w:eastAsia="Arial" w:hAnsi="Arial"/>
          <w:sz w:val="19"/>
          <w:szCs w:val="19"/>
          <w:color w:val="010000"/>
        </w:rPr>
      </w:pPr>
    </w:p>
    <w:p>
      <w:pPr>
        <w:ind w:right="100" w:firstLine="610"/>
        <w:spacing w:after="0" w:line="277" w:lineRule="auto"/>
        <w:tabs>
          <w:tab w:leader="none" w:pos="934" w:val="left"/>
        </w:tabs>
        <w:numPr>
          <w:ilvl w:val="0"/>
          <w:numId w:val="67"/>
        </w:numPr>
        <w:rPr>
          <w:rFonts w:ascii="Arial" w:cs="Arial" w:eastAsia="Arial" w:hAnsi="Arial"/>
          <w:sz w:val="17"/>
          <w:szCs w:val="17"/>
          <w:color w:val="010000"/>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52" w:lineRule="exact"/>
        <w:rPr>
          <w:rFonts w:ascii="Arial" w:cs="Arial" w:eastAsia="Arial" w:hAnsi="Arial"/>
          <w:sz w:val="17"/>
          <w:szCs w:val="17"/>
          <w:color w:val="010000"/>
        </w:rPr>
      </w:pPr>
    </w:p>
    <w:p>
      <w:pPr>
        <w:ind w:right="460" w:firstLine="610"/>
        <w:spacing w:after="0" w:line="257" w:lineRule="auto"/>
        <w:tabs>
          <w:tab w:leader="none" w:pos="934" w:val="left"/>
        </w:tabs>
        <w:numPr>
          <w:ilvl w:val="0"/>
          <w:numId w:val="67"/>
        </w:numPr>
        <w:rPr>
          <w:rFonts w:ascii="Arial" w:cs="Arial" w:eastAsia="Arial" w:hAnsi="Arial"/>
          <w:sz w:val="19"/>
          <w:szCs w:val="19"/>
          <w:color w:val="010000"/>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Executive agrees that the consideration to be paid in accordance with the terms and conditions of the Severance Agreement represents settlement in full of all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1F1D23"/>
        </w:rPr>
        <w:t>A-1</w:t>
      </w:r>
    </w:p>
    <w:p>
      <w:pPr>
        <w:sectPr>
          <w:pgSz w:w="11900" w:h="16838" w:orient="portrait"/>
          <w:cols w:equalWidth="0" w:num="1">
            <w:col w:w="11140"/>
          </w:cols>
          <w:pgMar w:left="320" w:top="1440" w:right="439" w:bottom="1440" w:gutter="0" w:footer="0" w:header="0"/>
        </w:sectPr>
      </w:pPr>
    </w:p>
    <w:bookmarkStart w:id="103" w:name="page104"/>
    <w:bookmarkEnd w:id="103"/>
    <w:p>
      <w:pPr>
        <w:ind w:right="100"/>
        <w:spacing w:after="0" w:line="314" w:lineRule="auto"/>
        <w:rPr>
          <w:sz w:val="20"/>
          <w:szCs w:val="20"/>
          <w:color w:val="auto"/>
        </w:rPr>
      </w:pPr>
      <w:r>
        <w:rPr>
          <w:rFonts w:ascii="Arial" w:cs="Arial" w:eastAsia="Arial" w:hAnsi="Arial"/>
          <w:sz w:val="15"/>
          <w:szCs w:val="15"/>
          <w:color w:val="auto"/>
        </w:rPr>
        <w:t>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5"/>
          <w:szCs w:val="15"/>
          <w:b w:val="1"/>
          <w:bCs w:val="1"/>
          <w:i w:val="1"/>
          <w:iCs w:val="1"/>
          <w:color w:val="auto"/>
        </w:rPr>
        <w:t>Releasees</w:t>
      </w:r>
      <w:r>
        <w:rPr>
          <w:rFonts w:ascii="Arial" w:cs="Arial" w:eastAsia="Arial" w:hAnsi="Arial"/>
          <w:sz w:val="15"/>
          <w:szCs w:val="15"/>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32" w:lineRule="exact"/>
        <w:rPr>
          <w:sz w:val="20"/>
          <w:szCs w:val="20"/>
          <w:color w:val="auto"/>
        </w:rPr>
      </w:pPr>
    </w:p>
    <w:p>
      <w:pPr>
        <w:ind w:left="1620" w:hanging="402"/>
        <w:spacing w:after="0"/>
        <w:tabs>
          <w:tab w:leader="none" w:pos="1620"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any and all claims relating to or arising from Executive’s employment relationship with the Company and the termination of that</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relationship;</w:t>
      </w:r>
    </w:p>
    <w:p>
      <w:pPr>
        <w:spacing w:after="0" w:line="184" w:lineRule="exact"/>
        <w:rPr>
          <w:sz w:val="20"/>
          <w:szCs w:val="20"/>
          <w:color w:val="auto"/>
        </w:rPr>
      </w:pPr>
    </w:p>
    <w:p>
      <w:pPr>
        <w:ind w:right="580" w:firstLine="1218"/>
        <w:spacing w:after="0" w:line="247" w:lineRule="auto"/>
        <w:tabs>
          <w:tab w:leader="none" w:pos="1619"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4" w:lineRule="exact"/>
        <w:rPr>
          <w:rFonts w:ascii="Arial" w:cs="Arial" w:eastAsia="Arial" w:hAnsi="Arial"/>
          <w:sz w:val="19"/>
          <w:szCs w:val="19"/>
          <w:color w:val="010000"/>
        </w:rPr>
      </w:pPr>
    </w:p>
    <w:p>
      <w:pPr>
        <w:ind w:firstLine="1218"/>
        <w:spacing w:after="0" w:line="258" w:lineRule="auto"/>
        <w:tabs>
          <w:tab w:leader="none" w:pos="1609"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7" w:lineRule="exact"/>
        <w:rPr>
          <w:rFonts w:ascii="Arial" w:cs="Arial" w:eastAsia="Arial" w:hAnsi="Arial"/>
          <w:sz w:val="18"/>
          <w:szCs w:val="18"/>
          <w:color w:val="010000"/>
        </w:rPr>
      </w:pPr>
    </w:p>
    <w:p>
      <w:pPr>
        <w:ind w:right="80" w:firstLine="1218"/>
        <w:spacing w:after="0" w:line="245" w:lineRule="auto"/>
        <w:tabs>
          <w:tab w:leader="none" w:pos="1619"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of2002; [the California Family Rights Act]; [the California Labor Code]; [the California Workers’ Compensation Act]; and [the California Fair Employment and Housing Act];</w:t>
      </w:r>
      <w:r>
        <w:rPr>
          <w:rFonts w:ascii="Arial" w:cs="Arial" w:eastAsia="Arial" w:hAnsi="Arial"/>
          <w:sz w:val="24"/>
          <w:szCs w:val="24"/>
          <w:color w:val="auto"/>
          <w:vertAlign w:val="superscript"/>
        </w:rPr>
        <w:t>1</w:t>
      </w:r>
    </w:p>
    <w:p>
      <w:pPr>
        <w:spacing w:after="0" w:line="99" w:lineRule="exact"/>
        <w:rPr>
          <w:rFonts w:ascii="Arial" w:cs="Arial" w:eastAsia="Arial" w:hAnsi="Arial"/>
          <w:sz w:val="19"/>
          <w:szCs w:val="19"/>
          <w:color w:val="010000"/>
        </w:rPr>
      </w:pPr>
    </w:p>
    <w:p>
      <w:pPr>
        <w:ind w:left="1620" w:hanging="402"/>
        <w:spacing w:after="0"/>
        <w:tabs>
          <w:tab w:leader="none" w:pos="1620"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any and all claims for violation of the federal, or any state, constitution;</w:t>
      </w:r>
    </w:p>
    <w:p>
      <w:pPr>
        <w:spacing w:after="0" w:line="199" w:lineRule="exact"/>
        <w:rPr>
          <w:rFonts w:ascii="Arial" w:cs="Arial" w:eastAsia="Arial" w:hAnsi="Arial"/>
          <w:sz w:val="19"/>
          <w:szCs w:val="19"/>
          <w:color w:val="010000"/>
        </w:rPr>
      </w:pPr>
    </w:p>
    <w:p>
      <w:pPr>
        <w:ind w:left="1600" w:hanging="382"/>
        <w:spacing w:after="0"/>
        <w:tabs>
          <w:tab w:leader="none" w:pos="160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any and all claims arising out of any other laws and regulations relating to employment or employment discrimination;</w:t>
      </w:r>
    </w:p>
    <w:p>
      <w:pPr>
        <w:spacing w:after="0" w:line="211" w:lineRule="exact"/>
        <w:rPr>
          <w:rFonts w:ascii="Arial" w:cs="Arial" w:eastAsia="Arial" w:hAnsi="Arial"/>
          <w:sz w:val="18"/>
          <w:szCs w:val="18"/>
          <w:color w:val="010000"/>
        </w:rPr>
      </w:pPr>
    </w:p>
    <w:p>
      <w:pPr>
        <w:ind w:right="240" w:firstLine="1218"/>
        <w:spacing w:after="0" w:line="257" w:lineRule="auto"/>
        <w:tabs>
          <w:tab w:leader="none" w:pos="1619"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any claim for any loss, cost, damage, or expense arising out of any dispute over the non- withholding or other tax treatment of any of the proceeds received by Executive as a result of this Agreement; and</w:t>
      </w:r>
    </w:p>
    <w:p>
      <w:pPr>
        <w:spacing w:after="0" w:line="165" w:lineRule="exact"/>
        <w:rPr>
          <w:rFonts w:ascii="Arial" w:cs="Arial" w:eastAsia="Arial" w:hAnsi="Arial"/>
          <w:sz w:val="19"/>
          <w:szCs w:val="19"/>
          <w:color w:val="010000"/>
        </w:rPr>
      </w:pPr>
    </w:p>
    <w:p>
      <w:pPr>
        <w:ind w:left="1620" w:hanging="402"/>
        <w:spacing w:after="0"/>
        <w:tabs>
          <w:tab w:leader="none" w:pos="1620"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137795</wp:posOffset>
            </wp:positionV>
            <wp:extent cx="16103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286" w:lineRule="exact"/>
        <w:rPr>
          <w:sz w:val="20"/>
          <w:szCs w:val="20"/>
          <w:color w:val="auto"/>
        </w:rPr>
      </w:pPr>
    </w:p>
    <w:p>
      <w:pPr>
        <w:ind w:right="460" w:firstLine="1"/>
        <w:spacing w:after="0" w:line="223" w:lineRule="auto"/>
        <w:tabs>
          <w:tab w:leader="none" w:pos="97" w:val="left"/>
        </w:tabs>
        <w:numPr>
          <w:ilvl w:val="0"/>
          <w:numId w:val="70"/>
        </w:numPr>
        <w:rPr>
          <w:rFonts w:ascii="Arial" w:cs="Arial" w:eastAsia="Arial" w:hAnsi="Arial"/>
          <w:sz w:val="22"/>
          <w:szCs w:val="22"/>
          <w:color w:val="auto"/>
          <w:vertAlign w:val="superscript"/>
        </w:rPr>
      </w:pPr>
      <w:r>
        <w:rPr>
          <w:rFonts w:ascii="Arial" w:cs="Arial" w:eastAsia="Arial" w:hAnsi="Arial"/>
          <w:sz w:val="17"/>
          <w:szCs w:val="17"/>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9"/>
          <w:szCs w:val="19"/>
          <w:color w:val="auto"/>
        </w:rPr>
        <w:t>A-2</w:t>
      </w:r>
      <w:r>
        <w:rPr>
          <w:sz w:val="20"/>
          <w:szCs w:val="20"/>
          <w:color w:val="auto"/>
        </w:rPr>
        <w:tab/>
      </w:r>
      <w:r>
        <w:rPr>
          <w:rFonts w:ascii="Arial" w:cs="Arial" w:eastAsia="Arial" w:hAnsi="Arial"/>
          <w:sz w:val="12"/>
          <w:szCs w:val="12"/>
          <w:color w:val="auto"/>
        </w:rPr>
        <w:t>33857/00600/FW/10411001.4</w:t>
      </w:r>
    </w:p>
    <w:p>
      <w:pPr>
        <w:sectPr>
          <w:pgSz w:w="11900" w:h="16838" w:orient="portrait"/>
          <w:cols w:equalWidth="0" w:num="1">
            <w:col w:w="11220"/>
          </w:cols>
          <w:pgMar w:left="320" w:top="1340" w:right="359" w:bottom="1440" w:gutter="0" w:footer="0" w:header="0"/>
        </w:sectPr>
      </w:pPr>
    </w:p>
    <w:bookmarkStart w:id="104" w:name="page105"/>
    <w:bookmarkEnd w:id="104"/>
    <w:p>
      <w:pPr>
        <w:ind w:right="80"/>
        <w:spacing w:after="0" w:line="256" w:lineRule="auto"/>
        <w:rPr>
          <w:sz w:val="20"/>
          <w:szCs w:val="20"/>
          <w:color w:val="auto"/>
        </w:rPr>
      </w:pPr>
      <w:r>
        <w:rPr>
          <w:rFonts w:ascii="Arial" w:cs="Arial" w:eastAsia="Arial" w:hAnsi="Arial"/>
          <w:sz w:val="18"/>
          <w:szCs w:val="18"/>
          <w:color w:val="auto"/>
        </w:rPr>
        <w:t xml:space="preserve">Executive agrees that the release set forth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Section 3. Nothing in this Agreement waives Executive’s rights to indemnification or any payments under any fiduciary insurance policy, if any, provided by any act or agreement of the Company, state or federal law or policy of insurance.</w:t>
      </w:r>
    </w:p>
    <w:p>
      <w:pPr>
        <w:spacing w:after="0" w:line="171" w:lineRule="exact"/>
        <w:rPr>
          <w:sz w:val="20"/>
          <w:szCs w:val="20"/>
          <w:color w:val="auto"/>
        </w:rPr>
      </w:pPr>
    </w:p>
    <w:p>
      <w:pPr>
        <w:ind w:right="20" w:firstLine="610"/>
        <w:spacing w:after="0" w:line="255" w:lineRule="auto"/>
        <w:tabs>
          <w:tab w:leader="none" w:pos="93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Protected Rights</w:t>
      </w:r>
      <w:r>
        <w:rPr>
          <w:rFonts w:ascii="Arial" w:cs="Arial" w:eastAsia="Arial" w:hAnsi="Arial"/>
          <w:sz w:val="18"/>
          <w:szCs w:val="18"/>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8"/>
          <w:szCs w:val="18"/>
          <w:b w:val="1"/>
          <w:bCs w:val="1"/>
          <w:i w:val="1"/>
          <w:iCs w:val="1"/>
          <w:color w:val="auto"/>
        </w:rPr>
        <w:t>Government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Agencies</w:t>
      </w:r>
      <w:r>
        <w:rPr>
          <w:rFonts w:ascii="Arial" w:cs="Arial" w:eastAsia="Arial" w:hAnsi="Arial"/>
          <w:sz w:val="18"/>
          <w:szCs w:val="18"/>
          <w:color w:val="auto"/>
        </w:rPr>
        <w:t>”). Executive further understands that this Agreement does not limit Executive’s ability to communicate with any Government Agencies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72" w:lineRule="exact"/>
        <w:rPr>
          <w:rFonts w:ascii="Arial" w:cs="Arial" w:eastAsia="Arial" w:hAnsi="Arial"/>
          <w:sz w:val="18"/>
          <w:szCs w:val="18"/>
          <w:color w:val="auto"/>
        </w:rPr>
      </w:pPr>
    </w:p>
    <w:p>
      <w:pPr>
        <w:ind w:firstLine="610"/>
        <w:spacing w:after="0" w:line="270" w:lineRule="auto"/>
        <w:tabs>
          <w:tab w:leader="none" w:pos="934" w:val="left"/>
        </w:tabs>
        <w:numPr>
          <w:ilvl w:val="0"/>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Acknowledgment of Waiver of Claims under ADEA</w:t>
      </w:r>
      <w:r>
        <w:rPr>
          <w:rFonts w:ascii="Arial" w:cs="Arial" w:eastAsia="Arial" w:hAnsi="Arial"/>
          <w:sz w:val="17"/>
          <w:szCs w:val="17"/>
          <w:color w:val="auto"/>
        </w:rPr>
        <w:t>. Executive acknowledges that Executive is waiving and releasing any rights Executive may have under the Age Discrimination in Employment Act of 1967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7"/>
          <w:szCs w:val="17"/>
          <w:b w:val="1"/>
          <w:bCs w:val="1"/>
          <w:i w:val="1"/>
          <w:iCs w:val="1"/>
          <w:color w:val="auto"/>
        </w:rPr>
        <w:t>prior</w:t>
      </w:r>
      <w:r>
        <w:rPr>
          <w:rFonts w:ascii="Arial" w:cs="Arial" w:eastAsia="Arial" w:hAnsi="Arial"/>
          <w:sz w:val="17"/>
          <w:szCs w:val="17"/>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Executive Officer of the Company that is received prior to the Effective Date.]</w:t>
      </w:r>
      <w:r>
        <w:rPr>
          <w:rFonts w:ascii="Arial" w:cs="Arial" w:eastAsia="Arial" w:hAnsi="Arial"/>
          <w:sz w:val="22"/>
          <w:szCs w:val="22"/>
          <w:color w:val="auto"/>
          <w:vertAlign w:val="superscript"/>
        </w:rPr>
        <w:t>2</w:t>
      </w:r>
    </w:p>
    <w:p>
      <w:pPr>
        <w:spacing w:after="0" w:line="81" w:lineRule="exact"/>
        <w:rPr>
          <w:rFonts w:ascii="Arial" w:cs="Arial" w:eastAsia="Arial" w:hAnsi="Arial"/>
          <w:sz w:val="17"/>
          <w:szCs w:val="17"/>
          <w:color w:val="auto"/>
        </w:rPr>
      </w:pPr>
    </w:p>
    <w:p>
      <w:pPr>
        <w:ind w:firstLine="610"/>
        <w:spacing w:after="0" w:line="247" w:lineRule="auto"/>
        <w:tabs>
          <w:tab w:leader="none" w:pos="934"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California Civil Code Section 1542</w:t>
      </w:r>
      <w:r>
        <w:rPr>
          <w:rFonts w:ascii="Arial" w:cs="Arial" w:eastAsia="Arial" w:hAnsi="Arial"/>
          <w:sz w:val="19"/>
          <w:szCs w:val="19"/>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75" w:lineRule="exact"/>
        <w:rPr>
          <w:sz w:val="20"/>
          <w:szCs w:val="20"/>
          <w:color w:val="auto"/>
        </w:rPr>
      </w:pPr>
    </w:p>
    <w:p>
      <w:pPr>
        <w:ind w:left="1220" w:right="180"/>
        <w:spacing w:after="0" w:line="285"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16103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90" w:lineRule="exact"/>
        <w:rPr>
          <w:sz w:val="20"/>
          <w:szCs w:val="20"/>
          <w:color w:val="auto"/>
        </w:rPr>
      </w:pPr>
    </w:p>
    <w:p>
      <w:pPr>
        <w:ind w:left="100" w:hanging="99"/>
        <w:spacing w:after="0"/>
        <w:tabs>
          <w:tab w:leader="none" w:pos="100" w:val="left"/>
        </w:tabs>
        <w:numPr>
          <w:ilvl w:val="0"/>
          <w:numId w:val="72"/>
        </w:numPr>
        <w:rPr>
          <w:rFonts w:ascii="Arial" w:cs="Arial" w:eastAsia="Arial" w:hAnsi="Arial"/>
          <w:sz w:val="22"/>
          <w:szCs w:val="22"/>
          <w:color w:val="auto"/>
          <w:vertAlign w:val="superscript"/>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385" w:lineRule="exact"/>
        <w:rPr>
          <w:rFonts w:ascii="Arial" w:cs="Arial" w:eastAsia="Arial" w:hAnsi="Arial"/>
          <w:sz w:val="22"/>
          <w:szCs w:val="22"/>
          <w:color w:val="auto"/>
          <w:vertAlign w:val="superscript"/>
        </w:rPr>
      </w:pPr>
    </w:p>
    <w:p>
      <w:pPr>
        <w:ind w:left="180"/>
        <w:spacing w:after="0"/>
        <w:rPr>
          <w:rFonts w:ascii="Arial" w:cs="Arial" w:eastAsia="Arial" w:hAnsi="Arial"/>
          <w:sz w:val="22"/>
          <w:szCs w:val="22"/>
          <w:color w:val="auto"/>
          <w:vertAlign w:val="superscript"/>
        </w:rPr>
      </w:pPr>
      <w:r>
        <w:rPr>
          <w:rFonts w:ascii="Arial" w:cs="Arial" w:eastAsia="Arial" w:hAnsi="Arial"/>
          <w:sz w:val="19"/>
          <w:szCs w:val="19"/>
          <w:color w:val="auto"/>
        </w:rPr>
        <w:t xml:space="preserve">A-3  </w:t>
      </w:r>
      <w:r>
        <w:rPr>
          <w:rFonts w:ascii="Arial" w:cs="Arial" w:eastAsia="Arial" w:hAnsi="Arial"/>
          <w:sz w:val="13"/>
          <w:szCs w:val="13"/>
          <w:color w:val="auto"/>
        </w:rPr>
        <w:t>33857/00600/FW/10411001.4</w:t>
      </w:r>
    </w:p>
    <w:p>
      <w:pPr>
        <w:sectPr>
          <w:pgSz w:w="11900" w:h="16838" w:orient="portrait"/>
          <w:cols w:equalWidth="0" w:num="1">
            <w:col w:w="11180"/>
          </w:cols>
          <w:pgMar w:left="320" w:top="1340" w:right="399" w:bottom="1440" w:gutter="0" w:footer="0" w:header="0"/>
        </w:sectPr>
      </w:pPr>
    </w:p>
    <w:bookmarkStart w:id="105" w:name="page106"/>
    <w:bookmarkEnd w:id="105"/>
    <w:p>
      <w:pPr>
        <w:ind w:left="1220"/>
        <w:spacing w:after="0"/>
        <w:rPr>
          <w:sz w:val="20"/>
          <w:szCs w:val="20"/>
          <w:color w:val="auto"/>
        </w:rPr>
      </w:pPr>
      <w:r>
        <w:rPr>
          <w:rFonts w:ascii="Arial" w:cs="Arial" w:eastAsia="Arial" w:hAnsi="Arial"/>
          <w:sz w:val="19"/>
          <w:szCs w:val="19"/>
          <w:color w:val="auto"/>
        </w:rPr>
        <w:t>HER MUST HAVE MATERIALLY AFFECTED HIS OR HER SETTLEMENT WITH THE DEBTOR.</w:t>
      </w:r>
    </w:p>
    <w:p>
      <w:pPr>
        <w:spacing w:after="0" w:line="200" w:lineRule="exact"/>
        <w:rPr>
          <w:sz w:val="20"/>
          <w:szCs w:val="20"/>
          <w:color w:val="auto"/>
        </w:rPr>
      </w:pPr>
    </w:p>
    <w:p>
      <w:pPr>
        <w:ind w:right="140"/>
        <w:spacing w:after="0" w:line="257" w:lineRule="auto"/>
        <w:rPr>
          <w:sz w:val="20"/>
          <w:szCs w:val="20"/>
          <w:color w:val="auto"/>
        </w:rPr>
      </w:pPr>
      <w:r>
        <w:rPr>
          <w:rFonts w:ascii="Arial" w:cs="Arial" w:eastAsia="Arial" w:hAnsi="Arial"/>
          <w:sz w:val="19"/>
          <w:szCs w:val="19"/>
          <w:color w:val="auto"/>
        </w:rPr>
        <w:t>Executive, being aware of California Civil Code Section 1542, agrees to expressly waive any rights Executive may have thereunder, as well as under any other statute or common law principles of similar effect.</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9"/>
          <w:szCs w:val="19"/>
          <w:b w:val="1"/>
          <w:bCs w:val="1"/>
          <w:i w:val="1"/>
          <w:iCs w:val="1"/>
          <w:color w:val="auto"/>
        </w:rPr>
        <w:t>OR</w:t>
      </w:r>
    </w:p>
    <w:p>
      <w:pPr>
        <w:spacing w:after="0" w:line="200" w:lineRule="exact"/>
        <w:rPr>
          <w:sz w:val="20"/>
          <w:szCs w:val="20"/>
          <w:color w:val="auto"/>
        </w:rPr>
      </w:pPr>
    </w:p>
    <w:p>
      <w:pPr>
        <w:ind w:right="100"/>
        <w:spacing w:after="0" w:line="247" w:lineRule="auto"/>
        <w:rPr>
          <w:sz w:val="20"/>
          <w:szCs w:val="20"/>
          <w:color w:val="auto"/>
        </w:rPr>
      </w:pPr>
      <w:r>
        <w:rPr>
          <w:rFonts w:ascii="Arial" w:cs="Arial" w:eastAsia="Arial" w:hAnsi="Arial"/>
          <w:sz w:val="19"/>
          <w:szCs w:val="19"/>
          <w:u w:val="single" w:color="auto"/>
          <w:color w:val="auto"/>
        </w:rPr>
        <w:t>Unknown Claims</w:t>
      </w:r>
      <w:r>
        <w:rPr>
          <w:rFonts w:ascii="Arial" w:cs="Arial" w:eastAsia="Arial" w:hAnsi="Arial"/>
          <w:sz w:val="19"/>
          <w:szCs w:val="19"/>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Arial" w:cs="Arial" w:eastAsia="Arial" w:hAnsi="Arial"/>
          <w:sz w:val="24"/>
          <w:szCs w:val="24"/>
          <w:color w:val="auto"/>
          <w:vertAlign w:val="superscript"/>
        </w:rPr>
        <w:t>3</w:t>
      </w:r>
    </w:p>
    <w:p>
      <w:pPr>
        <w:spacing w:after="0" w:line="97" w:lineRule="exact"/>
        <w:rPr>
          <w:sz w:val="20"/>
          <w:szCs w:val="20"/>
          <w:color w:val="auto"/>
        </w:rPr>
      </w:pPr>
    </w:p>
    <w:p>
      <w:pPr>
        <w:ind w:right="40" w:firstLine="610"/>
        <w:spacing w:after="0" w:line="290" w:lineRule="auto"/>
        <w:tabs>
          <w:tab w:leader="none" w:pos="934"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No Pending or Future Lawsuits</w:t>
      </w:r>
      <w:r>
        <w:rPr>
          <w:rFonts w:ascii="Arial" w:cs="Arial" w:eastAsia="Arial" w:hAnsi="Arial"/>
          <w:sz w:val="17"/>
          <w:szCs w:val="17"/>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140" w:lineRule="exact"/>
        <w:rPr>
          <w:rFonts w:ascii="Arial" w:cs="Arial" w:eastAsia="Arial" w:hAnsi="Arial"/>
          <w:sz w:val="17"/>
          <w:szCs w:val="17"/>
          <w:color w:val="auto"/>
        </w:rPr>
      </w:pPr>
    </w:p>
    <w:p>
      <w:pPr>
        <w:ind w:right="220" w:firstLine="610"/>
        <w:spacing w:after="0" w:line="257" w:lineRule="auto"/>
        <w:tabs>
          <w:tab w:leader="none" w:pos="934"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Sufficiency of Consideration</w:t>
      </w:r>
      <w:r>
        <w:rPr>
          <w:rFonts w:ascii="Arial" w:cs="Arial" w:eastAsia="Arial" w:hAnsi="Arial"/>
          <w:sz w:val="19"/>
          <w:szCs w:val="19"/>
          <w:color w:val="auto"/>
        </w:rPr>
        <w:t>. Executive hereby acknowledges and agrees that Executive has received good and sufficient consideration for every promise, duty, release, obligation, agreement and right contained in this Release.</w:t>
      </w:r>
    </w:p>
    <w:p>
      <w:pPr>
        <w:spacing w:after="0" w:line="165" w:lineRule="exact"/>
        <w:rPr>
          <w:rFonts w:ascii="Arial" w:cs="Arial" w:eastAsia="Arial" w:hAnsi="Arial"/>
          <w:sz w:val="19"/>
          <w:szCs w:val="19"/>
          <w:color w:val="auto"/>
        </w:rPr>
      </w:pPr>
    </w:p>
    <w:p>
      <w:pPr>
        <w:ind w:firstLine="610"/>
        <w:spacing w:after="0" w:line="269" w:lineRule="auto"/>
        <w:tabs>
          <w:tab w:leader="none" w:pos="934"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as to any provisions regarding competition contained in the Confidentiality Agreement that conflict with the provisions regarding competition contained in the Severance Agreement, the provisions of the Severance Agreement will control;</w:t>
      </w:r>
    </w:p>
    <w:p>
      <w:pPr>
        <w:spacing w:after="0" w:line="1" w:lineRule="exact"/>
        <w:rPr>
          <w:rFonts w:ascii="Arial" w:cs="Arial" w:eastAsia="Arial" w:hAnsi="Arial"/>
          <w:sz w:val="17"/>
          <w:szCs w:val="17"/>
          <w:color w:val="auto"/>
        </w:rPr>
      </w:pPr>
    </w:p>
    <w:p>
      <w:pPr>
        <w:ind w:right="360" w:firstLine="1"/>
        <w:spacing w:after="0"/>
        <w:tabs>
          <w:tab w:leader="none" w:pos="263" w:val="left"/>
        </w:tabs>
        <w:numPr>
          <w:ilvl w:val="0"/>
          <w:numId w:val="74"/>
        </w:numPr>
        <w:rPr>
          <w:rFonts w:ascii="Arial" w:cs="Arial" w:eastAsia="Arial" w:hAnsi="Arial"/>
          <w:sz w:val="19"/>
          <w:szCs w:val="19"/>
          <w:color w:val="auto"/>
        </w:rPr>
      </w:pPr>
      <w:r>
        <w:rPr>
          <w:rFonts w:ascii="Arial" w:cs="Arial" w:eastAsia="Arial" w:hAnsi="Arial"/>
          <w:sz w:val="19"/>
          <w:szCs w:val="19"/>
          <w:color w:val="auto"/>
        </w:rPr>
        <w:t>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80" w:lineRule="exact"/>
        <w:rPr>
          <w:rFonts w:ascii="Arial" w:cs="Arial" w:eastAsia="Arial" w:hAnsi="Arial"/>
          <w:sz w:val="19"/>
          <w:szCs w:val="19"/>
          <w:color w:val="auto"/>
        </w:rPr>
      </w:pPr>
    </w:p>
    <w:p>
      <w:pPr>
        <w:ind w:right="60" w:firstLine="610"/>
        <w:spacing w:after="0" w:line="255" w:lineRule="auto"/>
        <w:tabs>
          <w:tab w:leader="none" w:pos="102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Return of Company Property; Passwords and Password-protected Documents</w:t>
      </w:r>
      <w:r>
        <w:rPr>
          <w:rFonts w:ascii="Arial" w:cs="Arial" w:eastAsia="Arial" w:hAnsi="Arial"/>
          <w:sz w:val="18"/>
          <w:szCs w:val="18"/>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16103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258" w:lineRule="exact"/>
        <w:rPr>
          <w:sz w:val="20"/>
          <w:szCs w:val="20"/>
          <w:color w:val="auto"/>
        </w:rPr>
      </w:pPr>
    </w:p>
    <w:p>
      <w:pPr>
        <w:ind w:right="80" w:firstLine="1"/>
        <w:spacing w:after="0" w:line="223" w:lineRule="auto"/>
        <w:tabs>
          <w:tab w:leader="none" w:pos="97" w:val="left"/>
        </w:tabs>
        <w:numPr>
          <w:ilvl w:val="0"/>
          <w:numId w:val="75"/>
        </w:numPr>
        <w:rPr>
          <w:rFonts w:ascii="Arial" w:cs="Arial" w:eastAsia="Arial" w:hAnsi="Arial"/>
          <w:sz w:val="22"/>
          <w:szCs w:val="22"/>
          <w:color w:val="auto"/>
          <w:vertAlign w:val="superscript"/>
        </w:rPr>
      </w:pPr>
      <w:r>
        <w:rPr>
          <w:rFonts w:ascii="Arial" w:cs="Arial" w:eastAsia="Arial" w:hAnsi="Arial"/>
          <w:sz w:val="17"/>
          <w:szCs w:val="17"/>
          <w:color w:val="auto"/>
        </w:rPr>
        <w:t>If Executive resides in California at the time Executive’s employment relationship is terminated, the first provision - “</w:t>
      </w:r>
      <w:r>
        <w:rPr>
          <w:rFonts w:ascii="Arial" w:cs="Arial" w:eastAsia="Arial" w:hAnsi="Arial"/>
          <w:sz w:val="17"/>
          <w:szCs w:val="17"/>
          <w:i w:val="1"/>
          <w:iCs w:val="1"/>
          <w:color w:val="auto"/>
        </w:rPr>
        <w:t>California Civil Code Section 1542</w:t>
      </w:r>
      <w:r>
        <w:rPr>
          <w:rFonts w:ascii="Arial" w:cs="Arial" w:eastAsia="Arial" w:hAnsi="Arial"/>
          <w:sz w:val="17"/>
          <w:szCs w:val="17"/>
          <w:color w:val="auto"/>
        </w:rPr>
        <w:t>” - will be included in this Agreement, otherwise the second provision - “</w:t>
      </w:r>
      <w:r>
        <w:rPr>
          <w:rFonts w:ascii="Arial" w:cs="Arial" w:eastAsia="Arial" w:hAnsi="Arial"/>
          <w:sz w:val="17"/>
          <w:szCs w:val="17"/>
          <w:i w:val="1"/>
          <w:iCs w:val="1"/>
          <w:color w:val="auto"/>
        </w:rPr>
        <w:t>Unknown Claims</w:t>
      </w:r>
      <w:r>
        <w:rPr>
          <w:rFonts w:ascii="Arial" w:cs="Arial" w:eastAsia="Arial" w:hAnsi="Arial"/>
          <w:sz w:val="17"/>
          <w:szCs w:val="17"/>
          <w:color w:val="auto"/>
        </w:rPr>
        <w:t>” - will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9"/>
          <w:szCs w:val="19"/>
          <w:color w:val="auto"/>
        </w:rPr>
        <w:t>A-4</w:t>
      </w:r>
      <w:r>
        <w:rPr>
          <w:sz w:val="20"/>
          <w:szCs w:val="20"/>
          <w:color w:val="auto"/>
        </w:rPr>
        <w:tab/>
      </w:r>
      <w:r>
        <w:rPr>
          <w:rFonts w:ascii="Arial" w:cs="Arial" w:eastAsia="Arial" w:hAnsi="Arial"/>
          <w:sz w:val="12"/>
          <w:szCs w:val="12"/>
          <w:color w:val="auto"/>
        </w:rPr>
        <w:t>33857/00600/FW/10411001.4</w:t>
      </w:r>
    </w:p>
    <w:p>
      <w:pPr>
        <w:sectPr>
          <w:pgSz w:w="11900" w:h="16838" w:orient="portrait"/>
          <w:cols w:equalWidth="0" w:num="1">
            <w:col w:w="11220"/>
          </w:cols>
          <w:pgMar w:left="320" w:top="1340" w:right="359"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color w:val="auto"/>
        </w:rPr>
        <w:t>which Executive is otherwise aware that are password-protected, along with the password(s) necessary to access such password-protected documents.</w:t>
      </w:r>
    </w:p>
    <w:p>
      <w:pPr>
        <w:spacing w:after="0" w:line="246" w:lineRule="exact"/>
        <w:rPr>
          <w:sz w:val="20"/>
          <w:szCs w:val="20"/>
          <w:color w:val="auto"/>
        </w:rPr>
      </w:pPr>
    </w:p>
    <w:p>
      <w:pPr>
        <w:ind w:right="300" w:firstLine="610"/>
        <w:spacing w:after="0" w:line="277" w:lineRule="auto"/>
        <w:tabs>
          <w:tab w:leader="none" w:pos="102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 Cooperation</w:t>
      </w:r>
      <w:r>
        <w:rPr>
          <w:rFonts w:ascii="Arial" w:cs="Arial" w:eastAsia="Arial" w:hAnsi="Arial"/>
          <w:sz w:val="17"/>
          <w:szCs w:val="17"/>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52" w:lineRule="exact"/>
        <w:rPr>
          <w:rFonts w:ascii="Arial" w:cs="Arial" w:eastAsia="Arial" w:hAnsi="Arial"/>
          <w:sz w:val="17"/>
          <w:szCs w:val="17"/>
          <w:color w:val="auto"/>
        </w:rPr>
      </w:pPr>
    </w:p>
    <w:p>
      <w:pPr>
        <w:ind w:right="420" w:firstLine="610"/>
        <w:spacing w:after="0" w:line="257" w:lineRule="auto"/>
        <w:tabs>
          <w:tab w:leader="none" w:pos="102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65" w:lineRule="exact"/>
        <w:rPr>
          <w:rFonts w:ascii="Arial" w:cs="Arial" w:eastAsia="Arial" w:hAnsi="Arial"/>
          <w:sz w:val="19"/>
          <w:szCs w:val="19"/>
          <w:color w:val="auto"/>
        </w:rPr>
      </w:pPr>
    </w:p>
    <w:p>
      <w:pPr>
        <w:ind w:right="280" w:firstLine="610"/>
        <w:spacing w:after="0" w:line="261" w:lineRule="auto"/>
        <w:tabs>
          <w:tab w:leader="none" w:pos="102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64" w:lineRule="exact"/>
        <w:rPr>
          <w:rFonts w:ascii="Arial" w:cs="Arial" w:eastAsia="Arial" w:hAnsi="Arial"/>
          <w:sz w:val="18"/>
          <w:szCs w:val="18"/>
          <w:color w:val="auto"/>
        </w:rPr>
      </w:pPr>
    </w:p>
    <w:p>
      <w:pPr>
        <w:ind w:right="40" w:firstLine="610"/>
        <w:spacing w:after="0" w:line="243" w:lineRule="auto"/>
        <w:tabs>
          <w:tab w:leader="none" w:pos="102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Solicitation of Employees</w:t>
      </w:r>
      <w:r>
        <w:rPr>
          <w:rFonts w:ascii="Arial" w:cs="Arial" w:eastAsia="Arial" w:hAnsi="Arial"/>
          <w:sz w:val="19"/>
          <w:szCs w:val="19"/>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80" w:lineRule="exact"/>
        <w:rPr>
          <w:rFonts w:ascii="Arial" w:cs="Arial" w:eastAsia="Arial" w:hAnsi="Arial"/>
          <w:sz w:val="19"/>
          <w:szCs w:val="19"/>
          <w:color w:val="auto"/>
        </w:rPr>
      </w:pPr>
    </w:p>
    <w:p>
      <w:pPr>
        <w:ind w:left="1020" w:hanging="410"/>
        <w:spacing w:after="0"/>
        <w:tabs>
          <w:tab w:leader="none" w:pos="102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Parties will each bear their own costs, attorneys’ fees and other fees incurred in connection with the preparation of this</w:t>
      </w:r>
    </w:p>
    <w:p>
      <w:pPr>
        <w:spacing w:after="0" w:line="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Agreement.</w:t>
      </w:r>
    </w:p>
    <w:p>
      <w:pPr>
        <w:spacing w:after="0" w:line="183" w:lineRule="exact"/>
        <w:rPr>
          <w:rFonts w:ascii="Arial" w:cs="Arial" w:eastAsia="Arial" w:hAnsi="Arial"/>
          <w:sz w:val="17"/>
          <w:szCs w:val="17"/>
          <w:color w:val="auto"/>
        </w:rPr>
      </w:pPr>
    </w:p>
    <w:p>
      <w:pPr>
        <w:jc w:val="both"/>
        <w:ind w:right="140" w:firstLine="610"/>
        <w:spacing w:after="0" w:line="269" w:lineRule="auto"/>
        <w:tabs>
          <w:tab w:leader="none" w:pos="1027"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MAY GRANT INJUNCTIONS AND OTHER RELIEF IN SUCH DISPUTES.</w:t>
      </w:r>
    </w:p>
    <w:p>
      <w:pPr>
        <w:spacing w:after="0" w:line="1" w:lineRule="exact"/>
        <w:rPr>
          <w:rFonts w:ascii="Arial" w:cs="Arial" w:eastAsia="Arial" w:hAnsi="Arial"/>
          <w:sz w:val="17"/>
          <w:szCs w:val="17"/>
          <w:color w:val="auto"/>
        </w:rPr>
      </w:pPr>
    </w:p>
    <w:p>
      <w:pPr>
        <w:spacing w:after="0" w:line="237" w:lineRule="auto"/>
        <w:rPr>
          <w:rFonts w:ascii="Arial" w:cs="Arial" w:eastAsia="Arial" w:hAnsi="Arial"/>
          <w:sz w:val="17"/>
          <w:szCs w:val="17"/>
          <w:color w:val="auto"/>
        </w:rPr>
      </w:pPr>
      <w:r>
        <w:rPr>
          <w:rFonts w:ascii="Arial" w:cs="Arial" w:eastAsia="Arial" w:hAnsi="Arial"/>
          <w:sz w:val="19"/>
          <w:szCs w:val="19"/>
          <w:color w:val="auto"/>
        </w:rPr>
        <w:t>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9"/>
          <w:szCs w:val="19"/>
          <w:color w:val="auto"/>
        </w:rPr>
        <w:t>A-5</w:t>
      </w:r>
      <w:r>
        <w:rPr>
          <w:sz w:val="20"/>
          <w:szCs w:val="20"/>
          <w:color w:val="auto"/>
        </w:rPr>
        <w:tab/>
      </w:r>
      <w:r>
        <w:rPr>
          <w:rFonts w:ascii="Arial" w:cs="Arial" w:eastAsia="Arial" w:hAnsi="Arial"/>
          <w:sz w:val="12"/>
          <w:szCs w:val="12"/>
          <w:color w:val="auto"/>
        </w:rPr>
        <w:t>33857/00600/FW/10411001.4</w:t>
      </w:r>
    </w:p>
    <w:p>
      <w:pPr>
        <w:sectPr>
          <w:pgSz w:w="11900" w:h="16838" w:orient="portrait"/>
          <w:cols w:equalWidth="0" w:num="1">
            <w:col w:w="11240"/>
          </w:cols>
          <w:pgMar w:left="320" w:top="1340" w:right="339" w:bottom="1440" w:gutter="0" w:footer="0" w:header="0"/>
        </w:sectPr>
      </w:pPr>
    </w:p>
    <w:bookmarkStart w:id="107" w:name="page108"/>
    <w:bookmarkEnd w:id="107"/>
    <w:p>
      <w:pPr>
        <w:ind w:right="160"/>
        <w:spacing w:after="0" w:line="257" w:lineRule="auto"/>
        <w:rPr>
          <w:sz w:val="20"/>
          <w:szCs w:val="20"/>
          <w:color w:val="auto"/>
        </w:rPr>
      </w:pPr>
      <w:r>
        <w:rPr>
          <w:rFonts w:ascii="Arial" w:cs="Arial" w:eastAsia="Arial" w:hAnsi="Arial"/>
          <w:sz w:val="18"/>
          <w:szCs w:val="18"/>
          <w:color w:val="auto"/>
        </w:rPr>
        <w:t xml:space="preserve">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 </w:t>
      </w:r>
      <w:r>
        <w:rPr>
          <w:rFonts w:ascii="Arial" w:cs="Arial" w:eastAsia="Arial" w:hAnsi="Arial"/>
          <w:sz w:val="23"/>
          <w:szCs w:val="23"/>
          <w:color w:val="auto"/>
          <w:vertAlign w:val="superscript"/>
        </w:rPr>
        <w:t>4</w:t>
      </w:r>
    </w:p>
    <w:p>
      <w:pPr>
        <w:spacing w:after="0" w:line="92" w:lineRule="exact"/>
        <w:rPr>
          <w:sz w:val="20"/>
          <w:szCs w:val="20"/>
          <w:color w:val="auto"/>
        </w:rPr>
      </w:pPr>
    </w:p>
    <w:p>
      <w:pPr>
        <w:ind w:right="100" w:firstLine="610"/>
        <w:spacing w:after="0" w:line="258" w:lineRule="auto"/>
        <w:tabs>
          <w:tab w:leader="none" w:pos="102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67" w:lineRule="exact"/>
        <w:rPr>
          <w:rFonts w:ascii="Arial" w:cs="Arial" w:eastAsia="Arial" w:hAnsi="Arial"/>
          <w:sz w:val="18"/>
          <w:szCs w:val="18"/>
          <w:color w:val="auto"/>
        </w:rPr>
      </w:pPr>
    </w:p>
    <w:p>
      <w:pPr>
        <w:ind w:right="140" w:firstLine="610"/>
        <w:spacing w:after="0" w:line="247" w:lineRule="auto"/>
        <w:tabs>
          <w:tab w:leader="none" w:pos="102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No Representations</w:t>
      </w:r>
      <w:r>
        <w:rPr>
          <w:rFonts w:ascii="Arial" w:cs="Arial" w:eastAsia="Arial" w:hAnsi="Arial"/>
          <w:sz w:val="19"/>
          <w:szCs w:val="19"/>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74" w:lineRule="exact"/>
        <w:rPr>
          <w:rFonts w:ascii="Arial" w:cs="Arial" w:eastAsia="Arial" w:hAnsi="Arial"/>
          <w:sz w:val="19"/>
          <w:szCs w:val="19"/>
          <w:color w:val="auto"/>
        </w:rPr>
      </w:pPr>
    </w:p>
    <w:p>
      <w:pPr>
        <w:ind w:right="20" w:firstLine="610"/>
        <w:spacing w:after="0" w:line="247" w:lineRule="auto"/>
        <w:tabs>
          <w:tab w:leader="none" w:pos="102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4" w:lineRule="exact"/>
        <w:rPr>
          <w:rFonts w:ascii="Arial" w:cs="Arial" w:eastAsia="Arial" w:hAnsi="Arial"/>
          <w:sz w:val="19"/>
          <w:szCs w:val="19"/>
          <w:color w:val="auto"/>
        </w:rPr>
      </w:pPr>
    </w:p>
    <w:p>
      <w:pPr>
        <w:ind w:right="140" w:firstLine="610"/>
        <w:spacing w:after="0" w:line="258" w:lineRule="auto"/>
        <w:tabs>
          <w:tab w:leader="none" w:pos="102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67" w:lineRule="exact"/>
        <w:rPr>
          <w:rFonts w:ascii="Arial" w:cs="Arial" w:eastAsia="Arial" w:hAnsi="Arial"/>
          <w:sz w:val="18"/>
          <w:szCs w:val="18"/>
          <w:color w:val="auto"/>
        </w:rPr>
      </w:pPr>
    </w:p>
    <w:p>
      <w:pPr>
        <w:ind w:firstLine="610"/>
        <w:spacing w:after="0" w:line="257" w:lineRule="auto"/>
        <w:tabs>
          <w:tab w:leader="none" w:pos="102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No Oral Modification</w:t>
      </w:r>
      <w:r>
        <w:rPr>
          <w:rFonts w:ascii="Arial" w:cs="Arial" w:eastAsia="Arial" w:hAnsi="Arial"/>
          <w:sz w:val="19"/>
          <w:szCs w:val="19"/>
          <w:color w:val="auto"/>
        </w:rPr>
        <w:t>. This Agreement may only be amended in writing signed by Executive and the Chairman of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16103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236" w:lineRule="exact"/>
        <w:rPr>
          <w:sz w:val="20"/>
          <w:szCs w:val="20"/>
          <w:color w:val="auto"/>
        </w:rPr>
      </w:pPr>
    </w:p>
    <w:p>
      <w:pPr>
        <w:ind w:left="100" w:hanging="99"/>
        <w:spacing w:after="0"/>
        <w:tabs>
          <w:tab w:leader="none" w:pos="100" w:val="left"/>
        </w:tabs>
        <w:numPr>
          <w:ilvl w:val="0"/>
          <w:numId w:val="78"/>
        </w:numPr>
        <w:rPr>
          <w:rFonts w:ascii="Arial" w:cs="Arial" w:eastAsia="Arial" w:hAnsi="Arial"/>
          <w:sz w:val="20"/>
          <w:szCs w:val="20"/>
          <w:color w:val="auto"/>
          <w:vertAlign w:val="superscript"/>
        </w:rPr>
      </w:pPr>
      <w:r>
        <w:rPr>
          <w:rFonts w:ascii="Arial" w:cs="Arial" w:eastAsia="Arial" w:hAnsi="Arial"/>
          <w:sz w:val="15"/>
          <w:szCs w:val="15"/>
          <w:color w:val="auto"/>
        </w:rPr>
        <w:t>References to California will only be included in this Agreement if Executive resides in California at the time Executive’s employment relationship is terminated.</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385" w:lineRule="exact"/>
        <w:rPr>
          <w:rFonts w:ascii="Arial" w:cs="Arial" w:eastAsia="Arial" w:hAnsi="Arial"/>
          <w:sz w:val="20"/>
          <w:szCs w:val="20"/>
          <w:color w:val="auto"/>
          <w:vertAlign w:val="superscript"/>
        </w:rPr>
      </w:pPr>
    </w:p>
    <w:p>
      <w:pPr>
        <w:ind w:left="180"/>
        <w:spacing w:after="0"/>
        <w:rPr>
          <w:rFonts w:ascii="Arial" w:cs="Arial" w:eastAsia="Arial" w:hAnsi="Arial"/>
          <w:sz w:val="20"/>
          <w:szCs w:val="20"/>
          <w:color w:val="auto"/>
          <w:vertAlign w:val="superscript"/>
        </w:rPr>
      </w:pPr>
      <w:r>
        <w:rPr>
          <w:rFonts w:ascii="Arial" w:cs="Arial" w:eastAsia="Arial" w:hAnsi="Arial"/>
          <w:sz w:val="19"/>
          <w:szCs w:val="19"/>
          <w:color w:val="auto"/>
        </w:rPr>
        <w:t xml:space="preserve">A-6  </w:t>
      </w:r>
      <w:r>
        <w:rPr>
          <w:rFonts w:ascii="Arial" w:cs="Arial" w:eastAsia="Arial" w:hAnsi="Arial"/>
          <w:sz w:val="13"/>
          <w:szCs w:val="13"/>
          <w:color w:val="auto"/>
        </w:rPr>
        <w:t>33857/00600/FW/10411001.4</w:t>
      </w:r>
    </w:p>
    <w:p>
      <w:pPr>
        <w:sectPr>
          <w:pgSz w:w="11900" w:h="16838" w:orient="portrait"/>
          <w:cols w:equalWidth="0" w:num="1">
            <w:col w:w="11240"/>
          </w:cols>
          <w:pgMar w:left="320" w:top="1340" w:right="339" w:bottom="1440" w:gutter="0" w:footer="0" w:header="0"/>
        </w:sectPr>
      </w:pPr>
    </w:p>
    <w:bookmarkStart w:id="108" w:name="page109"/>
    <w:bookmarkEnd w:id="108"/>
    <w:p>
      <w:pPr>
        <w:ind w:right="280" w:firstLine="610"/>
        <w:spacing w:after="0" w:line="271" w:lineRule="auto"/>
        <w:tabs>
          <w:tab w:leader="none" w:pos="1027"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will be governed by the laws of the State of California, without regard for choice-of-law provisions. Executive consents to personal and exclusive jurisdiction and venue in the State of California. </w:t>
      </w:r>
      <w:r>
        <w:rPr>
          <w:rFonts w:ascii="Arial" w:cs="Arial" w:eastAsia="Arial" w:hAnsi="Arial"/>
          <w:sz w:val="24"/>
          <w:szCs w:val="24"/>
          <w:color w:val="auto"/>
          <w:vertAlign w:val="superscript"/>
        </w:rPr>
        <w:t>5</w:t>
      </w:r>
    </w:p>
    <w:p>
      <w:pPr>
        <w:spacing w:after="0" w:line="75" w:lineRule="exact"/>
        <w:rPr>
          <w:rFonts w:ascii="Arial" w:cs="Arial" w:eastAsia="Arial" w:hAnsi="Arial"/>
          <w:sz w:val="19"/>
          <w:szCs w:val="19"/>
          <w:color w:val="auto"/>
        </w:rPr>
      </w:pPr>
    </w:p>
    <w:p>
      <w:pPr>
        <w:ind w:firstLine="610"/>
        <w:spacing w:after="0" w:line="242" w:lineRule="auto"/>
        <w:tabs>
          <w:tab w:leader="none" w:pos="1027"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2"/>
          <w:szCs w:val="22"/>
          <w:color w:val="auto"/>
          <w:vertAlign w:val="superscript"/>
        </w:rPr>
        <w:t>th</w:t>
      </w:r>
      <w:r>
        <w:rPr>
          <w:rFonts w:ascii="Arial" w:cs="Arial" w:eastAsia="Arial" w:hAnsi="Arial"/>
          <w:sz w:val="17"/>
          <w:szCs w:val="17"/>
          <w:color w:val="auto"/>
        </w:rPr>
        <w:t>)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22"/>
          <w:szCs w:val="22"/>
          <w:color w:val="auto"/>
          <w:vertAlign w:val="superscript"/>
        </w:rPr>
        <w:t>7</w:t>
      </w:r>
    </w:p>
    <w:p>
      <w:pPr>
        <w:spacing w:after="0" w:line="102" w:lineRule="exact"/>
        <w:rPr>
          <w:rFonts w:ascii="Arial" w:cs="Arial" w:eastAsia="Arial" w:hAnsi="Arial"/>
          <w:sz w:val="17"/>
          <w:szCs w:val="17"/>
          <w:color w:val="auto"/>
        </w:rPr>
      </w:pPr>
    </w:p>
    <w:p>
      <w:pPr>
        <w:ind w:right="120" w:firstLine="610"/>
        <w:spacing w:after="0" w:line="285" w:lineRule="auto"/>
        <w:tabs>
          <w:tab w:leader="none" w:pos="102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42" w:lineRule="exact"/>
        <w:rPr>
          <w:rFonts w:ascii="Arial" w:cs="Arial" w:eastAsia="Arial" w:hAnsi="Arial"/>
          <w:sz w:val="18"/>
          <w:szCs w:val="18"/>
          <w:color w:val="auto"/>
        </w:rPr>
      </w:pPr>
    </w:p>
    <w:p>
      <w:pPr>
        <w:ind w:right="80" w:firstLine="610"/>
        <w:spacing w:after="0" w:line="247" w:lineRule="auto"/>
        <w:tabs>
          <w:tab w:leader="none" w:pos="1027"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4" w:lineRule="exact"/>
        <w:rPr>
          <w:rFonts w:ascii="Arial" w:cs="Arial" w:eastAsia="Arial" w:hAnsi="Arial"/>
          <w:sz w:val="19"/>
          <w:szCs w:val="19"/>
          <w:color w:val="auto"/>
        </w:rPr>
      </w:pPr>
    </w:p>
    <w:p>
      <w:pPr>
        <w:ind w:left="1620" w:hanging="402"/>
        <w:spacing w:after="0"/>
        <w:tabs>
          <w:tab w:leader="none" w:pos="1620" w:val="left"/>
        </w:tabs>
        <w:numPr>
          <w:ilvl w:val="1"/>
          <w:numId w:val="79"/>
        </w:numPr>
        <w:rPr>
          <w:rFonts w:ascii="Arial" w:cs="Arial" w:eastAsia="Arial" w:hAnsi="Arial"/>
          <w:sz w:val="19"/>
          <w:szCs w:val="19"/>
          <w:color w:val="auto"/>
        </w:rPr>
      </w:pPr>
      <w:r>
        <w:rPr>
          <w:rFonts w:ascii="Arial" w:cs="Arial" w:eastAsia="Arial" w:hAnsi="Arial"/>
          <w:sz w:val="19"/>
          <w:szCs w:val="19"/>
          <w:color w:val="auto"/>
        </w:rPr>
        <w:t>Executive has read this Agreement;</w:t>
      </w:r>
    </w:p>
    <w:p>
      <w:pPr>
        <w:spacing w:after="0" w:line="199" w:lineRule="exact"/>
        <w:rPr>
          <w:rFonts w:ascii="Arial" w:cs="Arial" w:eastAsia="Arial" w:hAnsi="Arial"/>
          <w:sz w:val="19"/>
          <w:szCs w:val="19"/>
          <w:color w:val="auto"/>
        </w:rPr>
      </w:pPr>
    </w:p>
    <w:p>
      <w:pPr>
        <w:ind w:left="1820" w:right="120" w:hanging="602"/>
        <w:spacing w:after="0" w:line="257" w:lineRule="auto"/>
        <w:tabs>
          <w:tab w:leader="none" w:pos="1614" w:val="left"/>
        </w:tabs>
        <w:numPr>
          <w:ilvl w:val="1"/>
          <w:numId w:val="79"/>
        </w:numPr>
        <w:rPr>
          <w:rFonts w:ascii="Arial" w:cs="Arial" w:eastAsia="Arial" w:hAnsi="Arial"/>
          <w:sz w:val="19"/>
          <w:szCs w:val="19"/>
          <w:color w:val="auto"/>
        </w:rPr>
      </w:pPr>
      <w:r>
        <w:rPr>
          <w:rFonts w:ascii="Arial" w:cs="Arial" w:eastAsia="Arial" w:hAnsi="Arial"/>
          <w:sz w:val="19"/>
          <w:szCs w:val="19"/>
          <w:color w:val="auto"/>
        </w:rPr>
        <w:t>Executive has been represented in the preparation, negotiation, and execution of this Agreement by legal counsel of Executive’s own choice or has elected not to retain legal counsel;</w:t>
      </w:r>
    </w:p>
    <w:p>
      <w:pPr>
        <w:spacing w:after="0" w:line="165" w:lineRule="exact"/>
        <w:rPr>
          <w:rFonts w:ascii="Arial" w:cs="Arial" w:eastAsia="Arial" w:hAnsi="Arial"/>
          <w:sz w:val="19"/>
          <w:szCs w:val="19"/>
          <w:color w:val="auto"/>
        </w:rPr>
      </w:pPr>
    </w:p>
    <w:p>
      <w:pPr>
        <w:ind w:left="1620" w:hanging="402"/>
        <w:spacing w:after="0"/>
        <w:tabs>
          <w:tab w:leader="none" w:pos="1620" w:val="left"/>
        </w:tabs>
        <w:numPr>
          <w:ilvl w:val="1"/>
          <w:numId w:val="79"/>
        </w:numPr>
        <w:rPr>
          <w:rFonts w:ascii="Arial" w:cs="Arial" w:eastAsia="Arial" w:hAnsi="Arial"/>
          <w:sz w:val="19"/>
          <w:szCs w:val="19"/>
          <w:color w:val="auto"/>
        </w:rPr>
      </w:pPr>
      <w:r>
        <w:rPr>
          <w:rFonts w:ascii="Arial" w:cs="Arial" w:eastAsia="Arial" w:hAnsi="Arial"/>
          <w:sz w:val="19"/>
          <w:szCs w:val="19"/>
          <w:color w:val="auto"/>
        </w:rPr>
        <w:t>Executive understands the terms and consequences of this Agreement and of the releases it contains; and</w:t>
      </w:r>
    </w:p>
    <w:p>
      <w:pPr>
        <w:spacing w:after="0" w:line="199" w:lineRule="exact"/>
        <w:rPr>
          <w:rFonts w:ascii="Arial" w:cs="Arial" w:eastAsia="Arial" w:hAnsi="Arial"/>
          <w:sz w:val="19"/>
          <w:szCs w:val="19"/>
          <w:color w:val="auto"/>
        </w:rPr>
      </w:pPr>
    </w:p>
    <w:p>
      <w:pPr>
        <w:ind w:left="1620" w:hanging="402"/>
        <w:spacing w:after="0"/>
        <w:tabs>
          <w:tab w:leader="none" w:pos="1620" w:val="left"/>
        </w:tabs>
        <w:numPr>
          <w:ilvl w:val="1"/>
          <w:numId w:val="79"/>
        </w:numPr>
        <w:rPr>
          <w:rFonts w:ascii="Arial" w:cs="Arial" w:eastAsia="Arial" w:hAnsi="Arial"/>
          <w:sz w:val="19"/>
          <w:szCs w:val="19"/>
          <w:color w:val="auto"/>
        </w:rPr>
      </w:pPr>
      <w:r>
        <w:rPr>
          <w:rFonts w:ascii="Arial" w:cs="Arial" w:eastAsia="Arial" w:hAnsi="Arial"/>
          <w:sz w:val="19"/>
          <w:szCs w:val="19"/>
          <w:color w:val="auto"/>
        </w:rPr>
        <w:t>Executive is fully aware of the legal and binding effect of this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 * * *</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408940</wp:posOffset>
            </wp:positionV>
            <wp:extent cx="16103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hanging="99"/>
        <w:spacing w:after="0"/>
        <w:tabs>
          <w:tab w:leader="none" w:pos="100" w:val="left"/>
        </w:tabs>
        <w:numPr>
          <w:ilvl w:val="0"/>
          <w:numId w:val="80"/>
        </w:numPr>
        <w:rPr>
          <w:rFonts w:ascii="Arial" w:cs="Arial" w:eastAsia="Arial" w:hAnsi="Arial"/>
          <w:sz w:val="20"/>
          <w:szCs w:val="20"/>
          <w:color w:val="auto"/>
          <w:vertAlign w:val="superscript"/>
        </w:rPr>
      </w:pPr>
      <w:r>
        <w:rPr>
          <w:rFonts w:ascii="Arial" w:cs="Arial" w:eastAsia="Arial" w:hAnsi="Arial"/>
          <w:sz w:val="15"/>
          <w:szCs w:val="15"/>
          <w:color w:val="auto"/>
        </w:rPr>
        <w:t>References to California will only be included in this Agreement if Executive resides in California at the time Executive’s employment relationship is terminated.</w:t>
      </w:r>
    </w:p>
    <w:p>
      <w:pPr>
        <w:spacing w:after="0" w:line="2" w:lineRule="exact"/>
        <w:rPr>
          <w:rFonts w:ascii="Arial" w:cs="Arial" w:eastAsia="Arial" w:hAnsi="Arial"/>
          <w:sz w:val="20"/>
          <w:szCs w:val="20"/>
          <w:color w:val="auto"/>
          <w:vertAlign w:val="superscript"/>
        </w:rPr>
      </w:pPr>
    </w:p>
    <w:p>
      <w:pPr>
        <w:spacing w:after="0" w:line="201" w:lineRule="auto"/>
        <w:rPr>
          <w:rFonts w:ascii="Arial" w:cs="Arial" w:eastAsia="Arial" w:hAnsi="Arial"/>
          <w:sz w:val="20"/>
          <w:szCs w:val="20"/>
          <w:color w:val="auto"/>
          <w:vertAlign w:val="superscript"/>
        </w:rPr>
      </w:pPr>
      <w:r>
        <w:rPr>
          <w:rFonts w:ascii="Arial" w:cs="Arial" w:eastAsia="Arial" w:hAnsi="Arial"/>
          <w:sz w:val="21"/>
          <w:szCs w:val="21"/>
          <w:color w:val="auto"/>
          <w:vertAlign w:val="superscript"/>
        </w:rPr>
        <w:t>6</w:t>
      </w:r>
      <w:r>
        <w:rPr>
          <w:rFonts w:ascii="Arial" w:cs="Arial" w:eastAsia="Arial" w:hAnsi="Arial"/>
          <w:sz w:val="17"/>
          <w:szCs w:val="17"/>
          <w:color w:val="auto"/>
        </w:rPr>
        <w:t xml:space="preserve"> This provision will only be included in this Agreement if Executive is age 40 or older at the time Executive’s employment relationship is terminated.</w:t>
      </w:r>
    </w:p>
    <w:p>
      <w:pPr>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7</w:t>
      </w:r>
      <w:r>
        <w:rPr>
          <w:rFonts w:ascii="Arial" w:cs="Arial" w:eastAsia="Arial" w:hAnsi="Arial"/>
          <w:sz w:val="16"/>
          <w:szCs w:val="16"/>
          <w:color w:val="auto"/>
        </w:rPr>
        <w:t xml:space="preserve"> This provision will only be included in this Agreement if Executive is under the age of 40 at the time Executive’s employment relationship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9"/>
          <w:szCs w:val="19"/>
          <w:color w:val="auto"/>
        </w:rPr>
        <w:t>A-7</w:t>
      </w:r>
      <w:r>
        <w:rPr>
          <w:sz w:val="20"/>
          <w:szCs w:val="20"/>
          <w:color w:val="auto"/>
        </w:rPr>
        <w:tab/>
      </w:r>
      <w:r>
        <w:rPr>
          <w:rFonts w:ascii="Arial" w:cs="Arial" w:eastAsia="Arial" w:hAnsi="Arial"/>
          <w:sz w:val="12"/>
          <w:szCs w:val="12"/>
          <w:color w:val="auto"/>
        </w:rPr>
        <w:t>33857/00600/FW/10411001.4</w:t>
      </w:r>
    </w:p>
    <w:p>
      <w:pPr>
        <w:sectPr>
          <w:pgSz w:w="11900" w:h="16838" w:orient="portrait"/>
          <w:cols w:equalWidth="0" w:num="1">
            <w:col w:w="11240"/>
          </w:cols>
          <w:pgMar w:left="320" w:top="1340" w:right="339" w:bottom="1440" w:gutter="0" w:footer="0" w:header="0"/>
        </w:sectPr>
      </w:pPr>
    </w:p>
    <w:bookmarkStart w:id="109" w:name="page110"/>
    <w:bookmarkEnd w:id="109"/>
    <w:p>
      <w:pPr>
        <w:spacing w:after="0"/>
        <w:rPr>
          <w:sz w:val="20"/>
          <w:szCs w:val="20"/>
          <w:color w:val="auto"/>
        </w:rPr>
      </w:pPr>
      <w:r>
        <w:rPr>
          <w:rFonts w:ascii="Arial" w:cs="Arial" w:eastAsia="Arial" w:hAnsi="Arial"/>
          <w:sz w:val="15"/>
          <w:szCs w:val="15"/>
          <w:color w:val="auto"/>
        </w:rPr>
        <w:t>IN WITNESS WHEREOF, the Parties have executed this Agreement on the respective dates set forth below.</w:t>
      </w:r>
    </w:p>
    <w:p>
      <w:pPr>
        <w:sectPr>
          <w:pgSz w:w="11900" w:h="16838" w:orient="portrait"/>
          <w:cols w:equalWidth="0" w:num="1">
            <w:col w:w="10139"/>
          </w:cols>
          <w:pgMar w:left="320" w:top="134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3100" w:type="dxa"/>
            <w:vAlign w:val="bottom"/>
          </w:tcPr>
          <w:p>
            <w:pPr>
              <w:spacing w:after="0"/>
              <w:rPr>
                <w:sz w:val="20"/>
                <w:szCs w:val="20"/>
                <w:color w:val="auto"/>
              </w:rPr>
            </w:pPr>
            <w:r>
              <w:rPr>
                <w:rFonts w:ascii="Arial" w:cs="Arial" w:eastAsia="Arial" w:hAnsi="Arial"/>
                <w:sz w:val="19"/>
                <w:szCs w:val="19"/>
                <w:b w:val="1"/>
                <w:bCs w:val="1"/>
                <w:color w:val="auto"/>
              </w:rPr>
              <w:t>COMPANY</w:t>
            </w:r>
          </w:p>
        </w:tc>
        <w:tc>
          <w:tcPr>
            <w:tcW w:w="3520" w:type="dxa"/>
            <w:vAlign w:val="bottom"/>
            <w:gridSpan w:val="8"/>
          </w:tcPr>
          <w:p>
            <w:pPr>
              <w:ind w:left="1980"/>
              <w:spacing w:after="0"/>
              <w:rPr>
                <w:sz w:val="20"/>
                <w:szCs w:val="20"/>
                <w:color w:val="auto"/>
              </w:rPr>
            </w:pPr>
            <w:r>
              <w:rPr>
                <w:rFonts w:ascii="Arial" w:cs="Arial" w:eastAsia="Arial" w:hAnsi="Arial"/>
                <w:sz w:val="19"/>
                <w:szCs w:val="19"/>
                <w:b w:val="1"/>
                <w:bCs w:val="1"/>
                <w:color w:val="auto"/>
                <w:w w:val="99"/>
              </w:rPr>
              <w:t>VERACYTE, INC.</w:t>
            </w:r>
          </w:p>
        </w:tc>
      </w:tr>
      <w:tr>
        <w:trPr>
          <w:trHeight w:val="375"/>
        </w:trPr>
        <w:tc>
          <w:tcPr>
            <w:tcW w:w="3100" w:type="dxa"/>
            <w:vAlign w:val="bottom"/>
          </w:tcPr>
          <w:p>
            <w:pPr>
              <w:spacing w:after="0"/>
              <w:rPr>
                <w:sz w:val="24"/>
                <w:szCs w:val="24"/>
                <w:color w:val="auto"/>
              </w:rPr>
            </w:pPr>
          </w:p>
        </w:tc>
        <w:tc>
          <w:tcPr>
            <w:tcW w:w="2300" w:type="dxa"/>
            <w:vAlign w:val="bottom"/>
          </w:tcPr>
          <w:p>
            <w:pPr>
              <w:ind w:left="1980"/>
              <w:spacing w:after="0"/>
              <w:rPr>
                <w:sz w:val="20"/>
                <w:szCs w:val="20"/>
                <w:color w:val="auto"/>
              </w:rPr>
            </w:pPr>
            <w:r>
              <w:rPr>
                <w:rFonts w:ascii="Arial" w:cs="Arial" w:eastAsia="Arial" w:hAnsi="Arial"/>
                <w:sz w:val="19"/>
                <w:szCs w:val="19"/>
                <w:color w:val="auto"/>
              </w:rPr>
              <w:t>By:</w:t>
            </w:r>
          </w:p>
        </w:tc>
        <w:tc>
          <w:tcPr>
            <w:tcW w:w="180" w:type="dxa"/>
            <w:vAlign w:val="bottom"/>
            <w:tcBorders>
              <w:bottom w:val="single" w:sz="8" w:color="auto"/>
            </w:tcBorders>
            <w:gridSpan w:val="2"/>
          </w:tcPr>
          <w:p>
            <w:pPr>
              <w:spacing w:after="0"/>
              <w:rPr>
                <w:sz w:val="24"/>
                <w:szCs w:val="24"/>
                <w:color w:val="auto"/>
              </w:rPr>
            </w:pPr>
          </w:p>
        </w:tc>
        <w:tc>
          <w:tcPr>
            <w:tcW w:w="1040" w:type="dxa"/>
            <w:vAlign w:val="bottom"/>
            <w:gridSpan w:val="5"/>
          </w:tcPr>
          <w:p>
            <w:pPr>
              <w:spacing w:after="0"/>
              <w:rPr>
                <w:sz w:val="24"/>
                <w:szCs w:val="24"/>
                <w:color w:val="auto"/>
              </w:rPr>
            </w:pPr>
          </w:p>
        </w:tc>
      </w:tr>
      <w:tr>
        <w:trPr>
          <w:trHeight w:val="398"/>
        </w:trPr>
        <w:tc>
          <w:tcPr>
            <w:tcW w:w="3100" w:type="dxa"/>
            <w:vAlign w:val="bottom"/>
          </w:tcPr>
          <w:p>
            <w:pPr>
              <w:spacing w:after="0"/>
              <w:rPr>
                <w:sz w:val="24"/>
                <w:szCs w:val="24"/>
                <w:color w:val="auto"/>
              </w:rPr>
            </w:pPr>
          </w:p>
        </w:tc>
        <w:tc>
          <w:tcPr>
            <w:tcW w:w="2520" w:type="dxa"/>
            <w:vAlign w:val="bottom"/>
            <w:gridSpan w:val="4"/>
          </w:tcPr>
          <w:p>
            <w:pPr>
              <w:ind w:left="1980"/>
              <w:spacing w:after="0"/>
              <w:rPr>
                <w:sz w:val="20"/>
                <w:szCs w:val="20"/>
                <w:color w:val="auto"/>
              </w:rPr>
            </w:pPr>
            <w:r>
              <w:rPr>
                <w:rFonts w:ascii="Arial" w:cs="Arial" w:eastAsia="Arial" w:hAnsi="Arial"/>
                <w:sz w:val="19"/>
                <w:szCs w:val="19"/>
                <w:color w:val="auto"/>
                <w:w w:val="92"/>
              </w:rPr>
              <w:t>Name:</w:t>
            </w:r>
          </w:p>
        </w:tc>
        <w:tc>
          <w:tcPr>
            <w:tcW w:w="200" w:type="dxa"/>
            <w:vAlign w:val="bottom"/>
            <w:tcBorders>
              <w:bottom w:val="single" w:sz="8" w:color="auto"/>
            </w:tcBorders>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442"/>
        </w:trPr>
        <w:tc>
          <w:tcPr>
            <w:tcW w:w="3100" w:type="dxa"/>
            <w:vAlign w:val="bottom"/>
          </w:tcPr>
          <w:p>
            <w:pPr>
              <w:spacing w:after="0"/>
              <w:rPr>
                <w:sz w:val="24"/>
                <w:szCs w:val="24"/>
                <w:color w:val="auto"/>
              </w:rPr>
            </w:pPr>
          </w:p>
        </w:tc>
        <w:tc>
          <w:tcPr>
            <w:tcW w:w="3520" w:type="dxa"/>
            <w:vAlign w:val="bottom"/>
            <w:gridSpan w:val="8"/>
          </w:tcPr>
          <w:p>
            <w:pPr>
              <w:ind w:left="1980"/>
              <w:spacing w:after="0"/>
              <w:rPr>
                <w:sz w:val="20"/>
                <w:szCs w:val="20"/>
                <w:color w:val="auto"/>
              </w:rPr>
            </w:pPr>
            <w:r>
              <w:rPr>
                <w:rFonts w:ascii="Arial" w:cs="Arial" w:eastAsia="Arial" w:hAnsi="Arial"/>
                <w:sz w:val="19"/>
                <w:szCs w:val="19"/>
                <w:color w:val="auto"/>
              </w:rPr>
              <w:t>Title:</w:t>
            </w:r>
          </w:p>
        </w:tc>
      </w:tr>
      <w:tr>
        <w:trPr>
          <w:trHeight w:val="375"/>
        </w:trPr>
        <w:tc>
          <w:tcPr>
            <w:tcW w:w="3100" w:type="dxa"/>
            <w:vAlign w:val="bottom"/>
          </w:tcPr>
          <w:p>
            <w:pPr>
              <w:spacing w:after="0"/>
              <w:rPr>
                <w:sz w:val="24"/>
                <w:szCs w:val="24"/>
                <w:color w:val="auto"/>
              </w:rPr>
            </w:pPr>
          </w:p>
        </w:tc>
        <w:tc>
          <w:tcPr>
            <w:tcW w:w="2440" w:type="dxa"/>
            <w:vAlign w:val="bottom"/>
            <w:gridSpan w:val="2"/>
          </w:tcPr>
          <w:p>
            <w:pPr>
              <w:ind w:left="1980"/>
              <w:spacing w:after="0"/>
              <w:rPr>
                <w:sz w:val="20"/>
                <w:szCs w:val="20"/>
                <w:color w:val="auto"/>
              </w:rPr>
            </w:pPr>
            <w:r>
              <w:rPr>
                <w:rFonts w:ascii="Arial" w:cs="Arial" w:eastAsia="Arial" w:hAnsi="Arial"/>
                <w:sz w:val="19"/>
                <w:szCs w:val="19"/>
                <w:color w:val="auto"/>
                <w:w w:val="96"/>
              </w:rPr>
              <w:t>Date:</w:t>
            </w:r>
          </w:p>
        </w:tc>
        <w:tc>
          <w:tcPr>
            <w:tcW w:w="180" w:type="dxa"/>
            <w:vAlign w:val="bottom"/>
            <w:tcBorders>
              <w:bottom w:val="single" w:sz="8" w:color="auto"/>
            </w:tcBorders>
            <w:gridSpan w:val="3"/>
          </w:tcPr>
          <w:p>
            <w:pPr>
              <w:spacing w:after="0"/>
              <w:rPr>
                <w:sz w:val="24"/>
                <w:szCs w:val="24"/>
                <w:color w:val="auto"/>
              </w:rPr>
            </w:pPr>
          </w:p>
        </w:tc>
        <w:tc>
          <w:tcPr>
            <w:tcW w:w="900" w:type="dxa"/>
            <w:vAlign w:val="bottom"/>
            <w:gridSpan w:val="3"/>
          </w:tcPr>
          <w:p>
            <w:pPr>
              <w:spacing w:after="0"/>
              <w:rPr>
                <w:sz w:val="24"/>
                <w:szCs w:val="24"/>
                <w:color w:val="auto"/>
              </w:rPr>
            </w:pPr>
          </w:p>
        </w:tc>
      </w:tr>
      <w:tr>
        <w:trPr>
          <w:trHeight w:val="449"/>
        </w:trPr>
        <w:tc>
          <w:tcPr>
            <w:tcW w:w="3100" w:type="dxa"/>
            <w:vAlign w:val="bottom"/>
          </w:tcPr>
          <w:p>
            <w:pPr>
              <w:spacing w:after="0"/>
              <w:rPr>
                <w:sz w:val="20"/>
                <w:szCs w:val="20"/>
                <w:color w:val="auto"/>
              </w:rPr>
            </w:pPr>
            <w:r>
              <w:rPr>
                <w:rFonts w:ascii="Arial" w:cs="Arial" w:eastAsia="Arial" w:hAnsi="Arial"/>
                <w:sz w:val="19"/>
                <w:szCs w:val="19"/>
                <w:b w:val="1"/>
                <w:bCs w:val="1"/>
                <w:color w:val="auto"/>
              </w:rPr>
              <w:t>EXECUTIVE</w:t>
            </w:r>
          </w:p>
        </w:tc>
        <w:tc>
          <w:tcPr>
            <w:tcW w:w="2300" w:type="dxa"/>
            <w:vAlign w:val="bottom"/>
          </w:tcPr>
          <w:p>
            <w:pPr>
              <w:ind w:left="1980"/>
              <w:spacing w:after="0"/>
              <w:rPr>
                <w:sz w:val="20"/>
                <w:szCs w:val="20"/>
                <w:color w:val="auto"/>
              </w:rPr>
            </w:pPr>
            <w:r>
              <w:rPr>
                <w:rFonts w:ascii="Arial" w:cs="Arial" w:eastAsia="Arial" w:hAnsi="Arial"/>
                <w:sz w:val="19"/>
                <w:szCs w:val="19"/>
                <w:color w:val="auto"/>
              </w:rPr>
              <w:t>By:</w:t>
            </w:r>
          </w:p>
        </w:tc>
        <w:tc>
          <w:tcPr>
            <w:tcW w:w="380" w:type="dxa"/>
            <w:vAlign w:val="bottom"/>
            <w:tcBorders>
              <w:bottom w:val="single" w:sz="8" w:color="auto"/>
            </w:tcBorders>
            <w:gridSpan w:val="5"/>
          </w:tcPr>
          <w:p>
            <w:pPr>
              <w:spacing w:after="0"/>
              <w:rPr>
                <w:sz w:val="24"/>
                <w:szCs w:val="24"/>
                <w:color w:val="auto"/>
              </w:rPr>
            </w:pPr>
          </w:p>
        </w:tc>
        <w:tc>
          <w:tcPr>
            <w:tcW w:w="840" w:type="dxa"/>
            <w:vAlign w:val="bottom"/>
            <w:gridSpan w:val="2"/>
          </w:tcPr>
          <w:p>
            <w:pPr>
              <w:spacing w:after="0"/>
              <w:rPr>
                <w:sz w:val="24"/>
                <w:szCs w:val="24"/>
                <w:color w:val="auto"/>
              </w:rPr>
            </w:pPr>
          </w:p>
        </w:tc>
      </w:tr>
      <w:tr>
        <w:trPr>
          <w:trHeight w:val="239"/>
        </w:trPr>
        <w:tc>
          <w:tcPr>
            <w:tcW w:w="3100" w:type="dxa"/>
            <w:vAlign w:val="bottom"/>
          </w:tcPr>
          <w:p>
            <w:pPr>
              <w:spacing w:after="0"/>
              <w:rPr>
                <w:sz w:val="20"/>
                <w:szCs w:val="20"/>
                <w:color w:val="auto"/>
              </w:rPr>
            </w:pPr>
          </w:p>
        </w:tc>
        <w:tc>
          <w:tcPr>
            <w:tcW w:w="3520" w:type="dxa"/>
            <w:vAlign w:val="bottom"/>
            <w:gridSpan w:val="8"/>
          </w:tcPr>
          <w:p>
            <w:pPr>
              <w:ind w:left="2180"/>
              <w:spacing w:after="0"/>
              <w:rPr>
                <w:sz w:val="20"/>
                <w:szCs w:val="20"/>
                <w:color w:val="auto"/>
              </w:rPr>
            </w:pPr>
            <w:r>
              <w:rPr>
                <w:rFonts w:ascii="Arial" w:cs="Arial" w:eastAsia="Arial" w:hAnsi="Arial"/>
                <w:sz w:val="19"/>
                <w:szCs w:val="19"/>
                <w:color w:val="auto"/>
              </w:rPr>
              <w:t>(Signature)</w:t>
            </w:r>
          </w:p>
        </w:tc>
      </w:tr>
      <w:tr>
        <w:trPr>
          <w:trHeight w:val="375"/>
        </w:trPr>
        <w:tc>
          <w:tcPr>
            <w:tcW w:w="3100" w:type="dxa"/>
            <w:vAlign w:val="bottom"/>
          </w:tcPr>
          <w:p>
            <w:pPr>
              <w:spacing w:after="0"/>
              <w:rPr>
                <w:sz w:val="24"/>
                <w:szCs w:val="24"/>
                <w:color w:val="auto"/>
              </w:rPr>
            </w:pPr>
          </w:p>
        </w:tc>
        <w:tc>
          <w:tcPr>
            <w:tcW w:w="2520" w:type="dxa"/>
            <w:vAlign w:val="bottom"/>
            <w:gridSpan w:val="4"/>
          </w:tcPr>
          <w:p>
            <w:pPr>
              <w:ind w:left="1980"/>
              <w:spacing w:after="0"/>
              <w:rPr>
                <w:sz w:val="20"/>
                <w:szCs w:val="20"/>
                <w:color w:val="auto"/>
              </w:rPr>
            </w:pPr>
            <w:r>
              <w:rPr>
                <w:rFonts w:ascii="Arial" w:cs="Arial" w:eastAsia="Arial" w:hAnsi="Arial"/>
                <w:sz w:val="19"/>
                <w:szCs w:val="19"/>
                <w:color w:val="auto"/>
                <w:w w:val="92"/>
              </w:rPr>
              <w:t>Name:</w:t>
            </w:r>
          </w:p>
        </w:tc>
        <w:tc>
          <w:tcPr>
            <w:tcW w:w="200" w:type="dxa"/>
            <w:vAlign w:val="bottom"/>
            <w:tcBorders>
              <w:bottom w:val="single" w:sz="8" w:color="auto"/>
            </w:tcBorders>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398"/>
        </w:trPr>
        <w:tc>
          <w:tcPr>
            <w:tcW w:w="3100" w:type="dxa"/>
            <w:vAlign w:val="bottom"/>
          </w:tcPr>
          <w:p>
            <w:pPr>
              <w:spacing w:after="0"/>
              <w:rPr>
                <w:sz w:val="24"/>
                <w:szCs w:val="24"/>
                <w:color w:val="auto"/>
              </w:rPr>
            </w:pPr>
          </w:p>
        </w:tc>
        <w:tc>
          <w:tcPr>
            <w:tcW w:w="2440" w:type="dxa"/>
            <w:vAlign w:val="bottom"/>
            <w:gridSpan w:val="2"/>
          </w:tcPr>
          <w:p>
            <w:pPr>
              <w:ind w:left="1980"/>
              <w:spacing w:after="0"/>
              <w:rPr>
                <w:sz w:val="20"/>
                <w:szCs w:val="20"/>
                <w:color w:val="auto"/>
              </w:rPr>
            </w:pPr>
            <w:r>
              <w:rPr>
                <w:rFonts w:ascii="Arial" w:cs="Arial" w:eastAsia="Arial" w:hAnsi="Arial"/>
                <w:sz w:val="19"/>
                <w:szCs w:val="19"/>
                <w:color w:val="auto"/>
                <w:w w:val="96"/>
              </w:rPr>
              <w:t>Date:</w:t>
            </w:r>
          </w:p>
        </w:tc>
        <w:tc>
          <w:tcPr>
            <w:tcW w:w="180" w:type="dxa"/>
            <w:vAlign w:val="bottom"/>
            <w:tcBorders>
              <w:bottom w:val="single" w:sz="8" w:color="auto"/>
            </w:tcBorders>
            <w:gridSpan w:val="3"/>
          </w:tcPr>
          <w:p>
            <w:pPr>
              <w:spacing w:after="0"/>
              <w:rPr>
                <w:sz w:val="24"/>
                <w:szCs w:val="24"/>
                <w:color w:val="auto"/>
              </w:rPr>
            </w:pPr>
          </w:p>
        </w:tc>
        <w:tc>
          <w:tcPr>
            <w:tcW w:w="900" w:type="dxa"/>
            <w:vAlign w:val="bottom"/>
            <w:gridSpan w:val="3"/>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9"/>
          <w:szCs w:val="19"/>
          <w:color w:val="auto"/>
        </w:rPr>
        <w:t>A-8</w:t>
      </w:r>
      <w:r>
        <w:rPr>
          <w:sz w:val="20"/>
          <w:szCs w:val="20"/>
          <w:color w:val="auto"/>
        </w:rPr>
        <w:tab/>
      </w:r>
      <w:r>
        <w:rPr>
          <w:rFonts w:ascii="Arial" w:cs="Arial" w:eastAsia="Arial" w:hAnsi="Arial"/>
          <w:sz w:val="12"/>
          <w:szCs w:val="12"/>
          <w:color w:val="auto"/>
        </w:rPr>
        <w:t>33857/00600/FW/10411001.4</w:t>
      </w:r>
    </w:p>
    <w:p>
      <w:pPr>
        <w:sectPr>
          <w:pgSz w:w="11900" w:h="16838" w:orient="portrait"/>
          <w:cols w:equalWidth="0" w:num="1">
            <w:col w:w="10139"/>
          </w:cols>
          <w:pgMar w:left="320" w:top="1340" w:right="1440"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31.1</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PRINCIPAL EXECUTIVE OFFICER’S 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Marc Stapley, certify that:</w:t>
      </w:r>
    </w:p>
    <w:p>
      <w:pPr>
        <w:spacing w:after="0" w:line="210" w:lineRule="exact"/>
        <w:rPr>
          <w:sz w:val="20"/>
          <w:szCs w:val="20"/>
          <w:color w:val="auto"/>
        </w:rPr>
      </w:pPr>
    </w:p>
    <w:p>
      <w:pPr>
        <w:ind w:left="1360" w:hanging="636"/>
        <w:spacing w:after="0"/>
        <w:tabs>
          <w:tab w:leader="none" w:pos="13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Veracyte, Inc. for the quarter ended September 30, 2021;</w:t>
      </w:r>
    </w:p>
    <w:p>
      <w:pPr>
        <w:spacing w:after="0" w:line="210" w:lineRule="exact"/>
        <w:rPr>
          <w:rFonts w:ascii="Arial" w:cs="Arial" w:eastAsia="Arial" w:hAnsi="Arial"/>
          <w:sz w:val="17"/>
          <w:szCs w:val="17"/>
          <w:color w:val="auto"/>
        </w:rPr>
      </w:pPr>
    </w:p>
    <w:p>
      <w:pPr>
        <w:ind w:right="60" w:firstLine="724"/>
        <w:spacing w:after="0" w:line="340" w:lineRule="auto"/>
        <w:tabs>
          <w:tab w:leader="none" w:pos="1356" w:val="left"/>
        </w:tabs>
        <w:numPr>
          <w:ilvl w:val="0"/>
          <w:numId w:val="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right="20" w:firstLine="724"/>
        <w:spacing w:after="0" w:line="272" w:lineRule="auto"/>
        <w:tabs>
          <w:tab w:leader="none" w:pos="1356"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60" w:firstLine="724"/>
        <w:spacing w:after="0" w:line="260" w:lineRule="auto"/>
        <w:tabs>
          <w:tab w:leader="none" w:pos="1353"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right="120" w:firstLine="1371"/>
        <w:spacing w:after="0" w:line="260" w:lineRule="auto"/>
        <w:tabs>
          <w:tab w:leader="none" w:pos="1965"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right="40" w:firstLine="1371"/>
        <w:spacing w:after="0" w:line="260" w:lineRule="auto"/>
        <w:tabs>
          <w:tab w:leader="none" w:pos="1975"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160" w:firstLine="1371"/>
        <w:spacing w:after="0" w:line="304" w:lineRule="auto"/>
        <w:tabs>
          <w:tab w:leader="none" w:pos="1965"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right="120" w:firstLine="1371"/>
        <w:spacing w:after="0" w:line="260" w:lineRule="auto"/>
        <w:tabs>
          <w:tab w:leader="none" w:pos="1975" w:val="left"/>
        </w:tabs>
        <w:numPr>
          <w:ilvl w:val="1"/>
          <w:numId w:val="8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right="20" w:firstLine="724"/>
        <w:spacing w:after="0" w:line="304" w:lineRule="auto"/>
        <w:tabs>
          <w:tab w:leader="none" w:pos="1353"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right="380" w:firstLine="1371"/>
        <w:spacing w:after="0" w:line="304" w:lineRule="auto"/>
        <w:tabs>
          <w:tab w:leader="none" w:pos="1956"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6"/>
          <w:szCs w:val="16"/>
          <w:color w:val="auto"/>
        </w:rPr>
      </w:pPr>
    </w:p>
    <w:p>
      <w:pPr>
        <w:ind w:right="80" w:firstLine="1371"/>
        <w:spacing w:after="0" w:line="272" w:lineRule="auto"/>
        <w:tabs>
          <w:tab w:leader="none" w:pos="1965"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9, 2021</w:t>
      </w:r>
    </w:p>
    <w:p>
      <w:pPr>
        <w:spacing w:after="0" w:line="45"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28575</wp:posOffset>
            </wp:positionV>
            <wp:extent cx="18599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Marc Stapley</w:t>
      </w:r>
    </w:p>
    <w:p>
      <w:pPr>
        <w:spacing w:after="0" w:line="33"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Chief Executive Officer</w:t>
      </w:r>
    </w:p>
    <w:p>
      <w:pPr>
        <w:spacing w:after="0" w:line="45"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46" w:right="339" w:bottom="1440" w:gutter="0" w:footer="0" w:header="0"/>
        </w:sectPr>
      </w:pPr>
    </w:p>
    <w:bookmarkStart w:id="111" w:name="page112"/>
    <w:bookmarkEnd w:id="1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31.2</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PRINCIPAL FINANCIAL OFFICER’S 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Rebecca Chambers, certify that:</w:t>
      </w:r>
    </w:p>
    <w:p>
      <w:pPr>
        <w:spacing w:after="0" w:line="210" w:lineRule="exact"/>
        <w:rPr>
          <w:sz w:val="20"/>
          <w:szCs w:val="20"/>
          <w:color w:val="auto"/>
        </w:rPr>
      </w:pPr>
    </w:p>
    <w:p>
      <w:pPr>
        <w:ind w:left="1400" w:hanging="676"/>
        <w:spacing w:after="0"/>
        <w:tabs>
          <w:tab w:leader="none" w:pos="14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Veracyte, Inc. for the quarter ended September 30, 2021;</w:t>
      </w:r>
    </w:p>
    <w:p>
      <w:pPr>
        <w:spacing w:after="0" w:line="210" w:lineRule="exact"/>
        <w:rPr>
          <w:rFonts w:ascii="Arial" w:cs="Arial" w:eastAsia="Arial" w:hAnsi="Arial"/>
          <w:sz w:val="17"/>
          <w:szCs w:val="17"/>
          <w:color w:val="auto"/>
        </w:rPr>
      </w:pPr>
    </w:p>
    <w:p>
      <w:pPr>
        <w:ind w:right="20" w:firstLine="724"/>
        <w:spacing w:after="0" w:line="340" w:lineRule="auto"/>
        <w:tabs>
          <w:tab w:leader="none" w:pos="1399" w:val="left"/>
        </w:tabs>
        <w:numPr>
          <w:ilvl w:val="0"/>
          <w:numId w:val="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right="220" w:firstLine="724"/>
        <w:spacing w:after="0" w:line="272" w:lineRule="auto"/>
        <w:tabs>
          <w:tab w:leader="none" w:pos="1399"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20" w:firstLine="724"/>
        <w:spacing w:after="0" w:line="260" w:lineRule="auto"/>
        <w:tabs>
          <w:tab w:leader="none" w:pos="139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right="120" w:firstLine="1371"/>
        <w:spacing w:after="0" w:line="260" w:lineRule="auto"/>
        <w:tabs>
          <w:tab w:leader="none" w:pos="205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right="240" w:firstLine="1371"/>
        <w:spacing w:after="0" w:line="260" w:lineRule="auto"/>
        <w:tabs>
          <w:tab w:leader="none" w:pos="2059"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80" w:firstLine="1371"/>
        <w:spacing w:after="0" w:line="304" w:lineRule="auto"/>
        <w:tabs>
          <w:tab w:leader="none" w:pos="205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right="40" w:firstLine="1371"/>
        <w:spacing w:after="0" w:line="260" w:lineRule="auto"/>
        <w:tabs>
          <w:tab w:leader="none" w:pos="2059" w:val="left"/>
        </w:tabs>
        <w:numPr>
          <w:ilvl w:val="1"/>
          <w:numId w:val="8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right="160" w:firstLine="724"/>
        <w:spacing w:after="0" w:line="304" w:lineRule="auto"/>
        <w:tabs>
          <w:tab w:leader="none" w:pos="13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6"/>
          <w:szCs w:val="16"/>
          <w:color w:val="auto"/>
        </w:rPr>
      </w:pPr>
    </w:p>
    <w:p>
      <w:pPr>
        <w:ind w:right="300" w:firstLine="1371"/>
        <w:spacing w:after="0" w:line="272" w:lineRule="auto"/>
        <w:tabs>
          <w:tab w:leader="none" w:pos="20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right="560" w:firstLine="1371"/>
        <w:spacing w:after="0" w:line="272" w:lineRule="auto"/>
        <w:tabs>
          <w:tab w:leader="none" w:pos="205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28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9, 2021</w:t>
      </w:r>
    </w:p>
    <w:p>
      <w:pPr>
        <w:spacing w:after="0" w:line="4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28575</wp:posOffset>
            </wp:positionV>
            <wp:extent cx="2366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66645" cy="8255"/>
                    </a:xfrm>
                    <a:prstGeom prst="rect">
                      <a:avLst/>
                    </a:prstGeom>
                    <a:noFill/>
                  </pic:spPr>
                </pic:pic>
              </a:graphicData>
            </a:graphic>
          </wp:anchor>
        </w:drawing>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Rebecca Chambers</w:t>
      </w:r>
    </w:p>
    <w:p>
      <w:pPr>
        <w:spacing w:after="0" w:line="33"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Chief Financial Officer</w:t>
      </w:r>
    </w:p>
    <w:p>
      <w:pPr>
        <w:spacing w:after="0" w:line="45"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846"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8" w:lineRule="exact"/>
        <w:rPr>
          <w:sz w:val="20"/>
          <w:szCs w:val="20"/>
          <w:color w:val="auto"/>
        </w:rPr>
      </w:pPr>
    </w:p>
    <w:p>
      <w:pPr>
        <w:ind w:right="340" w:firstLine="723"/>
        <w:spacing w:after="0" w:line="260"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September 30,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360" w:hanging="294"/>
        <w:spacing w:after="0"/>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1360" w:hanging="294"/>
        <w:spacing w:after="0"/>
        <w:tabs>
          <w:tab w:leader="none" w:pos="13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9, 2021</w:t>
      </w:r>
    </w:p>
    <w:p>
      <w:pPr>
        <w:spacing w:after="0" w:line="28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28575</wp:posOffset>
            </wp:positionV>
            <wp:extent cx="18599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Marc Stapley</w:t>
      </w:r>
    </w:p>
    <w:p>
      <w:pPr>
        <w:spacing w:after="0" w:line="33"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Chief Executive Officer</w:t>
      </w:r>
    </w:p>
    <w:p>
      <w:pPr>
        <w:spacing w:after="0" w:line="45"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46"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8" w:lineRule="exact"/>
        <w:rPr>
          <w:sz w:val="20"/>
          <w:szCs w:val="20"/>
          <w:color w:val="auto"/>
        </w:rPr>
      </w:pPr>
    </w:p>
    <w:p>
      <w:pPr>
        <w:ind w:right="340" w:firstLine="723"/>
        <w:spacing w:after="0" w:line="260"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September 30,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360" w:hanging="294"/>
        <w:spacing w:after="0"/>
        <w:tabs>
          <w:tab w:leader="none" w:pos="13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1360" w:hanging="294"/>
        <w:spacing w:after="0"/>
        <w:tabs>
          <w:tab w:leader="none" w:pos="13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9, 2021</w:t>
      </w:r>
    </w:p>
    <w:p>
      <w:pPr>
        <w:spacing w:after="0" w:line="28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28575</wp:posOffset>
            </wp:positionV>
            <wp:extent cx="24149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38"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Rebecca Chambers</w:t>
      </w:r>
    </w:p>
    <w:p>
      <w:pPr>
        <w:spacing w:after="0" w:line="33" w:lineRule="exact"/>
        <w:rPr>
          <w:sz w:val="20"/>
          <w:szCs w:val="20"/>
          <w:color w:val="auto"/>
        </w:rPr>
      </w:pPr>
    </w:p>
    <w:p>
      <w:pPr>
        <w:ind w:left="4880"/>
        <w:spacing w:after="0"/>
        <w:rPr>
          <w:sz w:val="20"/>
          <w:szCs w:val="20"/>
          <w:color w:val="auto"/>
        </w:rPr>
      </w:pPr>
      <w:r>
        <w:rPr>
          <w:rFonts w:ascii="Arial" w:cs="Arial" w:eastAsia="Arial" w:hAnsi="Arial"/>
          <w:sz w:val="17"/>
          <w:szCs w:val="17"/>
          <w:i w:val="1"/>
          <w:iCs w:val="1"/>
          <w:color w:val="auto"/>
        </w:rPr>
        <w:t>Chief Financial Officer</w:t>
      </w:r>
    </w:p>
    <w:p>
      <w:pPr>
        <w:spacing w:after="0" w:line="45" w:lineRule="exact"/>
        <w:rPr>
          <w:sz w:val="20"/>
          <w:szCs w:val="20"/>
          <w:color w:val="auto"/>
        </w:rPr>
      </w:pPr>
    </w:p>
    <w:p>
      <w:pPr>
        <w:ind w:left="4880"/>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decimal"/>
      <w:start w:val="5"/>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1"/>
    </w:lvl>
    <w:lvl w:ilvl="1">
      <w:lvlJc w:val="left"/>
      <w:lvlText w:val="(%2)"/>
      <w:numFmt w:val="lowerLetter"/>
      <w:start w:val="1"/>
    </w:lvl>
  </w:abstractNum>
  <w:abstractNum w:abstractNumId="35">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D34B6A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7">
    <w:nsid w:val="10233C99"/>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38">
    <w:nsid w:val="3F6AB60F"/>
    <w:multiLevelType w:val="hybridMultilevel"/>
    <w:lvl w:ilvl="0">
      <w:lvlJc w:val="left"/>
      <w:lvlText w:val="2"/>
      <w:numFmt w:val="bullet"/>
      <w:start w:val="1"/>
    </w:lvl>
  </w:abstractNum>
  <w:abstractNum w:abstractNumId="39">
    <w:nsid w:val="6157409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40">
    <w:nsid w:val="7E0C57B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4"/>
    </w:lvl>
  </w:abstractNum>
  <w:abstractNum w:abstractNumId="41">
    <w:nsid w:val="77AE35EB"/>
    <w:multiLevelType w:val="hybridMultilevel"/>
    <w:lvl w:ilvl="0">
      <w:lvlJc w:val="left"/>
      <w:lvlText w:val="3"/>
      <w:numFmt w:val="bullet"/>
      <w:start w:val="1"/>
    </w:lvl>
  </w:abstractNum>
  <w:abstractNum w:abstractNumId="42">
    <w:nsid w:val="579BE4F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3">
    <w:nsid w:val="310C50B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4">
    <w:nsid w:val="5FF87E05"/>
    <w:multiLevelType w:val="hybridMultilevel"/>
    <w:lvl w:ilvl="0">
      <w:lvlJc w:val="left"/>
      <w:lvlText w:val="4"/>
      <w:numFmt w:val="bullet"/>
      <w:start w:val="1"/>
    </w:lvl>
  </w:abstractNum>
  <w:abstractNum w:abstractNumId="45">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6">
    <w:nsid w:val="25A70BF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7">
    <w:nsid w:val="1DBABF00"/>
    <w:multiLevelType w:val="hybridMultilevel"/>
    <w:lvl w:ilvl="0">
      <w:lvlJc w:val="left"/>
      <w:lvlText w:val="5"/>
      <w:numFmt w:val="bullet"/>
      <w:start w:val="1"/>
    </w:lvl>
  </w:abstractNum>
  <w:abstractNum w:abstractNumId="48">
    <w:nsid w:val="4AD084E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9">
    <w:nsid w:val="1F48EAA1"/>
    <w:multiLevelType w:val="hybridMultilevel"/>
    <w:lvl w:ilvl="0">
      <w:lvlJc w:val="left"/>
      <w:lvlText w:val="6"/>
      <w:numFmt w:val="bullet"/>
      <w:start w:val="1"/>
    </w:lvl>
  </w:abstractNum>
  <w:abstractNum w:abstractNumId="50">
    <w:nsid w:val="1381823A"/>
    <w:multiLevelType w:val="hybridMultilevel"/>
    <w:lvl w:ilvl="0">
      <w:lvlJc w:val="left"/>
      <w:lvlText w:val="(%1)"/>
      <w:numFmt w:val="lowerLetter"/>
      <w:start w:val="2"/>
    </w:lvl>
    <w:lvl w:ilvl="1">
      <w:lvlJc w:val="left"/>
      <w:lvlText w:val="(%2)"/>
      <w:numFmt w:val="lowerRoman"/>
      <w:start w:val="1"/>
    </w:lvl>
  </w:abstractNum>
  <w:abstractNum w:abstractNumId="51">
    <w:nsid w:val="5DB70AE5"/>
    <w:multiLevelType w:val="hybridMultilevel"/>
    <w:lvl w:ilvl="0">
      <w:lvlJc w:val="left"/>
      <w:lvlText w:val="7"/>
      <w:numFmt w:val="bullet"/>
      <w:start w:val="1"/>
    </w:lvl>
  </w:abstractNum>
  <w:abstractNum w:abstractNumId="52">
    <w:nsid w:val="100F8FCA"/>
    <w:multiLevelType w:val="hybridMultilevel"/>
    <w:lvl w:ilvl="0">
      <w:lvlJc w:val="left"/>
      <w:lvlText w:val="(%1)"/>
      <w:numFmt w:val="lowerLetter"/>
      <w:start w:val="3"/>
    </w:lvl>
    <w:lvl w:ilvl="1">
      <w:lvlJc w:val="left"/>
      <w:lvlText w:val="(%2)"/>
      <w:numFmt w:val="lowerRoman"/>
      <w:start w:val="1"/>
    </w:lvl>
  </w:abstractNum>
  <w:abstractNum w:abstractNumId="53">
    <w:nsid w:val="6590700B"/>
    <w:multiLevelType w:val="hybridMultilevel"/>
    <w:lvl w:ilvl="0">
      <w:lvlJc w:val="left"/>
      <w:lvlText w:val="8"/>
      <w:numFmt w:val="bullet"/>
      <w:start w:val="1"/>
    </w:lvl>
  </w:abstractNum>
  <w:abstractNum w:abstractNumId="54">
    <w:nsid w:val="15014ACB"/>
    <w:multiLevelType w:val="hybridMultilevel"/>
    <w:lvl w:ilvl="0">
      <w:lvlJc w:val="left"/>
      <w:lvlText w:val="%1"/>
      <w:numFmt w:val="decimal"/>
      <w:start w:val="1"/>
    </w:lvl>
    <w:lvl w:ilvl="1">
      <w:lvlJc w:val="left"/>
      <w:lvlText w:val="(%2)"/>
      <w:numFmt w:val="lowerLetter"/>
      <w:start w:val="8"/>
    </w:lvl>
  </w:abstractNum>
  <w:abstractNum w:abstractNumId="55">
    <w:nsid w:val="5F5E7FD0"/>
    <w:multiLevelType w:val="hybridMultilevel"/>
    <w:lvl w:ilvl="0">
      <w:lvlJc w:val="left"/>
      <w:lvlText w:val="%1."/>
      <w:numFmt w:val="decimal"/>
      <w:start w:val="7"/>
    </w:lvl>
    <w:lvl w:ilvl="1">
      <w:lvlJc w:val="left"/>
      <w:lvlText w:val="(%2)"/>
      <w:numFmt w:val="lowerLetter"/>
      <w:start w:val="1"/>
    </w:lvl>
  </w:abstractNum>
  <w:abstractNum w:abstractNumId="56">
    <w:nsid w:val="98A3148"/>
    <w:multiLevelType w:val="hybridMultilevel"/>
    <w:lvl w:ilvl="0">
      <w:lvlJc w:val="left"/>
      <w:lvlText w:val="9"/>
      <w:numFmt w:val="bullet"/>
      <w:start w:val="1"/>
    </w:lvl>
  </w:abstractNum>
  <w:abstractNum w:abstractNumId="57">
    <w:nsid w:val="799D0247"/>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abstractNum w:abstractNumId="58">
    <w:nsid w:val="6B94764"/>
    <w:multiLevelType w:val="hybridMultilevel"/>
    <w:lvl w:ilvl="0">
      <w:lvlJc w:val="left"/>
      <w:lvlText w:val="(%1)"/>
      <w:numFmt w:val="lowerLetter"/>
      <w:start w:val="3"/>
    </w:lvl>
  </w:abstractNum>
  <w:abstractNum w:abstractNumId="59">
    <w:nsid w:val="42C296BD"/>
    <w:multiLevelType w:val="hybridMultilevel"/>
    <w:lvl w:ilvl="0">
      <w:lvlJc w:val="left"/>
      <w:lvlText w:val="(%1)"/>
      <w:numFmt w:val="lowerLetter"/>
      <w:start w:val="4"/>
    </w:lvl>
  </w:abstractNum>
  <w:abstractNum w:abstractNumId="60">
    <w:nsid w:val="168E121F"/>
    <w:multiLevelType w:val="hybridMultilevel"/>
    <w:lvl w:ilvl="0">
      <w:lvlJc w:val="left"/>
      <w:lvlText w:val="%1"/>
      <w:numFmt w:val="decimal"/>
      <w:start w:val="10"/>
    </w:lvl>
  </w:abstractNum>
  <w:abstractNum w:abstractNumId="61">
    <w:nsid w:val="1EBA5D23"/>
    <w:multiLevelType w:val="hybridMultilevel"/>
    <w:lvl w:ilvl="0">
      <w:lvlJc w:val="left"/>
      <w:lvlText w:val="%1"/>
      <w:numFmt w:val="decimal"/>
      <w:start w:val="1"/>
    </w:lvl>
    <w:lvl w:ilvl="1">
      <w:lvlJc w:val="left"/>
      <w:lvlText w:val="(%2)"/>
      <w:numFmt w:val="lowerLetter"/>
      <w:start w:val="5"/>
    </w:lvl>
  </w:abstractNum>
  <w:abstractNum w:abstractNumId="62">
    <w:nsid w:val="661E3F1E"/>
    <w:multiLevelType w:val="hybridMultilevel"/>
    <w:lvl w:ilvl="0">
      <w:lvlJc w:val="left"/>
      <w:lvlText w:val="%1."/>
      <w:numFmt w:val="decimal"/>
      <w:start w:val="11"/>
    </w:lvl>
    <w:lvl w:ilvl="1">
      <w:lvlJc w:val="left"/>
      <w:lvlText w:val="(%2)"/>
      <w:numFmt w:val="lowerLetter"/>
      <w:start w:val="1"/>
    </w:lvl>
  </w:abstractNum>
  <w:abstractNum w:abstractNumId="63">
    <w:nsid w:val="5DC79EA8"/>
    <w:multiLevelType w:val="hybridMultilevel"/>
    <w:lvl w:ilvl="0">
      <w:lvlJc w:val="left"/>
      <w:lvlText w:val="%1"/>
      <w:numFmt w:val="decimal"/>
      <w:start w:val="11"/>
    </w:lvl>
  </w:abstractNum>
  <w:abstractNum w:abstractNumId="64">
    <w:nsid w:val="540A471C"/>
    <w:multiLevelType w:val="hybridMultilevel"/>
    <w:lvl w:ilvl="0">
      <w:lvlJc w:val="left"/>
      <w:lvlText w:val="(%1)"/>
      <w:numFmt w:val="lowerLetter"/>
      <w:start w:val="6"/>
    </w:lvl>
  </w:abstractNum>
  <w:abstractNum w:abstractNumId="65">
    <w:nsid w:val="7BD3EE7B"/>
    <w:multiLevelType w:val="hybridMultilevel"/>
    <w:lvl w:ilvl="0">
      <w:lvlJc w:val="left"/>
      <w:lvlText w:val="%1"/>
      <w:numFmt w:val="decimal"/>
      <w:start w:val="12"/>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lowerLetter"/>
      <w:start w:val="2"/>
    </w:lvl>
  </w:abstractNum>
  <w:abstractNum w:abstractNumId="69">
    <w:nsid w:val="11447B73"/>
    <w:multiLevelType w:val="hybridMultilevel"/>
    <w:lvl w:ilvl="0">
      <w:lvlJc w:val="left"/>
      <w:lvlText w:val="1"/>
      <w:numFmt w:val="bullet"/>
      <w:start w:val="1"/>
    </w:lvl>
  </w:abstractNum>
  <w:abstractNum w:abstractNumId="70">
    <w:nsid w:val="42963E5A"/>
    <w:multiLevelType w:val="hybridMultilevel"/>
    <w:lvl w:ilvl="0">
      <w:lvlJc w:val="left"/>
      <w:lvlText w:val="%1."/>
      <w:numFmt w:val="decimal"/>
      <w:start w:val="4"/>
    </w:lvl>
  </w:abstractNum>
  <w:abstractNum w:abstractNumId="71">
    <w:nsid w:val="A0382C5"/>
    <w:multiLevelType w:val="hybridMultilevel"/>
    <w:lvl w:ilvl="0">
      <w:lvlJc w:val="left"/>
      <w:lvlText w:val="2"/>
      <w:numFmt w:val="bullet"/>
      <w:start w:val="1"/>
    </w:lvl>
  </w:abstractNum>
  <w:abstractNum w:abstractNumId="72">
    <w:nsid w:val="8F2B15E"/>
    <w:multiLevelType w:val="hybridMultilevel"/>
    <w:lvl w:ilvl="0">
      <w:lvlJc w:val="left"/>
      <w:lvlText w:val="%1"/>
      <w:numFmt w:val="lowerLetter"/>
      <w:start w:val="1"/>
    </w:lvl>
    <w:lvl w:ilvl="1">
      <w:lvlJc w:val="left"/>
      <w:lvlText w:val="%2."/>
      <w:numFmt w:val="decimal"/>
      <w:start w:val="7"/>
    </w:lvl>
  </w:abstractNum>
  <w:abstractNum w:abstractNumId="73">
    <w:nsid w:val="1A32234B"/>
    <w:multiLevelType w:val="hybridMultilevel"/>
    <w:lvl w:ilvl="0">
      <w:lvlJc w:val="left"/>
      <w:lvlText w:val="(%1)"/>
      <w:numFmt w:val="lowerLetter"/>
      <w:start w:val="2"/>
    </w:lvl>
    <w:lvl w:ilvl="1">
      <w:lvlJc w:val="left"/>
      <w:lvlText w:val="%2."/>
      <w:numFmt w:val="decimal"/>
      <w:start w:val="10"/>
    </w:lvl>
  </w:abstractNum>
  <w:abstractNum w:abstractNumId="74">
    <w:nsid w:val="3B0FD379"/>
    <w:multiLevelType w:val="hybridMultilevel"/>
    <w:lvl w:ilvl="0">
      <w:lvlJc w:val="left"/>
      <w:lvlText w:val="3"/>
      <w:numFmt w:val="bullet"/>
      <w:start w:val="1"/>
    </w:lvl>
  </w:abstractNum>
  <w:abstractNum w:abstractNumId="75">
    <w:nsid w:val="68EB2F63"/>
    <w:multiLevelType w:val="hybridMultilevel"/>
    <w:lvl w:ilvl="0">
      <w:lvlJc w:val="left"/>
      <w:lvlText w:val="%1."/>
      <w:numFmt w:val="decimal"/>
      <w:start w:val="11"/>
    </w:lvl>
  </w:abstractNum>
  <w:abstractNum w:abstractNumId="76">
    <w:nsid w:val="4962813B"/>
    <w:multiLevelType w:val="hybridMultilevel"/>
    <w:lvl w:ilvl="0">
      <w:lvlJc w:val="left"/>
      <w:lvlText w:val="%1."/>
      <w:numFmt w:val="decimal"/>
      <w:start w:val="17"/>
    </w:lvl>
  </w:abstractNum>
  <w:abstractNum w:abstractNumId="77">
    <w:nsid w:val="60B6DF70"/>
    <w:multiLevelType w:val="hybridMultilevel"/>
    <w:lvl w:ilvl="0">
      <w:lvlJc w:val="left"/>
      <w:lvlText w:val="4"/>
      <w:numFmt w:val="bullet"/>
      <w:start w:val="1"/>
    </w:lvl>
  </w:abstractNum>
  <w:abstractNum w:abstractNumId="78">
    <w:nsid w:val="6A5EE64"/>
    <w:multiLevelType w:val="hybridMultilevel"/>
    <w:lvl w:ilvl="0">
      <w:lvlJc w:val="left"/>
      <w:lvlText w:val="%1."/>
      <w:numFmt w:val="decimal"/>
      <w:start w:val="22"/>
    </w:lvl>
    <w:lvl w:ilvl="1">
      <w:lvlJc w:val="left"/>
      <w:lvlText w:val="(%2)"/>
      <w:numFmt w:val="lowerLetter"/>
      <w:start w:val="1"/>
    </w:lvl>
  </w:abstractNum>
  <w:abstractNum w:abstractNumId="79">
    <w:nsid w:val="14330624"/>
    <w:multiLevelType w:val="hybridMultilevel"/>
    <w:lvl w:ilvl="0">
      <w:lvlJc w:val="left"/>
      <w:lvlText w:val="5"/>
      <w:numFmt w:val="bullet"/>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2021-11-09T15:56:23Z</dcterms:created>
  <dcterms:modified xsi:type="dcterms:W3CDTF">2021-11-09T15:56:23Z</dcterms:modified>
</cp:coreProperties>
</file>