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654685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7" w:lineRule="exact"/>
        <w:rPr>
          <w:sz w:val="20"/>
          <w:szCs w:val="20"/>
          <w:color w:val="auto"/>
        </w:rPr>
      </w:pPr>
    </w:p>
    <w:p>
      <w:pPr>
        <w:ind w:right="280" w:firstLine="3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May 2, 2025, there were 78,314,611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gridSpan w:val="9"/>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8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4300" w:type="dxa"/>
            <w:vAlign w:val="bottom"/>
            <w:gridSpan w:val="10"/>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rPr>
              <w:t>2024</w:t>
            </w: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60" w:type="dxa"/>
            <w:vAlign w:val="bottom"/>
            <w:tcBorders>
              <w:top w:val="single" w:sz="8" w:color="0000FF"/>
            </w:tcBorders>
            <w:gridSpan w:val="17"/>
          </w:tcPr>
          <w:p>
            <w:pPr>
              <w:spacing w:after="0" w:line="140" w:lineRule="exact"/>
              <w:rPr>
                <w:sz w:val="20"/>
                <w:szCs w:val="20"/>
                <w:color w:val="auto"/>
              </w:rPr>
            </w:pPr>
            <w:r>
              <w:rPr>
                <w:rFonts w:ascii="Times New Roman" w:cs="Times New Roman" w:eastAsia="Times New Roman" w:hAnsi="Times New Roman"/>
                <w:sz w:val="16"/>
                <w:szCs w:val="16"/>
                <w:color w:val="0000FF"/>
              </w:rPr>
              <w:t>Ended March 31, 2025 and 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3"/>
          </w:tcPr>
          <w:p>
            <w:pPr>
              <w:spacing w:after="0" w:line="140" w:lineRule="exact"/>
              <w:rPr>
                <w:sz w:val="20"/>
                <w:szCs w:val="20"/>
                <w:color w:val="auto"/>
              </w:rPr>
            </w:pPr>
            <w:r>
              <w:rPr>
                <w:rFonts w:ascii="Times New Roman" w:cs="Times New Roman" w:eastAsia="Times New Roman" w:hAnsi="Times New Roman"/>
                <w:sz w:val="16"/>
                <w:szCs w:val="16"/>
                <w:color w:val="0000FF"/>
              </w:rPr>
              <w:t>Month Periods Ended March 31, 2025 and 2024</w:t>
            </w:r>
          </w:p>
        </w:tc>
        <w:tc>
          <w:tcPr>
            <w:tcW w:w="2560" w:type="dxa"/>
            <w:vAlign w:val="bottom"/>
            <w:tcBorders>
              <w:top w:val="single" w:sz="8" w:color="0000FF"/>
            </w:tcBorders>
            <w:gridSpan w:val="8"/>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Periods Ended March 31, 2025 and 2024</w:t>
            </w:r>
          </w:p>
        </w:tc>
        <w:tc>
          <w:tcPr>
            <w:tcW w:w="288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Borders>
              <w:top w:val="single" w:sz="8" w:color="0000FF"/>
            </w:tcBorders>
            <w:gridSpan w:val="9"/>
          </w:tcPr>
          <w:p>
            <w:pPr>
              <w:spacing w:after="0" w:line="140" w:lineRule="exact"/>
              <w:rPr>
                <w:sz w:val="20"/>
                <w:szCs w:val="20"/>
                <w:color w:val="auto"/>
              </w:rPr>
            </w:pPr>
            <w:r>
              <w:rPr>
                <w:rFonts w:ascii="Times New Roman" w:cs="Times New Roman" w:eastAsia="Times New Roman" w:hAnsi="Times New Roman"/>
                <w:sz w:val="16"/>
                <w:szCs w:val="16"/>
                <w:color w:val="0000FF"/>
              </w:rPr>
              <w:t>Ended March 31, 2025 and 2024</w:t>
            </w:r>
          </w:p>
        </w:tc>
        <w:tc>
          <w:tcPr>
            <w:tcW w:w="3100" w:type="dxa"/>
            <w:vAlign w:val="bottom"/>
            <w:tcBorders>
              <w:top w:val="single" w:sz="8" w:color="0000FF"/>
            </w:tcBorders>
            <w:gridSpan w:val="9"/>
          </w:tcPr>
          <w:p>
            <w:pPr>
              <w:spacing w:after="0"/>
              <w:rPr>
                <w:sz w:val="13"/>
                <w:szCs w:val="13"/>
                <w:color w:val="auto"/>
              </w:rPr>
            </w:pPr>
          </w:p>
        </w:tc>
        <w:tc>
          <w:tcPr>
            <w:tcW w:w="160" w:type="dxa"/>
            <w:vAlign w:val="bottom"/>
            <w:gridSpan w:val="2"/>
          </w:tcPr>
          <w:p>
            <w:pPr>
              <w:spacing w:after="0"/>
              <w:rPr>
                <w:sz w:val="13"/>
                <w:szCs w:val="13"/>
                <w:color w:val="auto"/>
              </w:rPr>
            </w:pPr>
          </w:p>
        </w:tc>
        <w:tc>
          <w:tcPr>
            <w:tcW w:w="134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540" w:type="dxa"/>
            <w:vAlign w:val="bottom"/>
            <w:tcBorders>
              <w:left w:val="single" w:sz="8" w:color="0000FF"/>
            </w:tcBorders>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680" w:type="dxa"/>
            <w:vAlign w:val="bottom"/>
            <w:gridSpan w:val="2"/>
          </w:tcPr>
          <w:p>
            <w:pPr>
              <w:spacing w:after="0"/>
              <w:rPr>
                <w:sz w:val="2"/>
                <w:szCs w:val="2"/>
                <w:color w:val="auto"/>
              </w:rPr>
            </w:pPr>
          </w:p>
        </w:tc>
        <w:tc>
          <w:tcPr>
            <w:tcW w:w="1260" w:type="dxa"/>
            <w:vAlign w:val="bottom"/>
            <w:gridSpan w:val="4"/>
          </w:tcPr>
          <w:p>
            <w:pPr>
              <w:spacing w:after="0"/>
              <w:rPr>
                <w:sz w:val="2"/>
                <w:szCs w:val="2"/>
                <w:color w:val="auto"/>
              </w:rPr>
            </w:pPr>
          </w:p>
        </w:tc>
        <w:tc>
          <w:tcPr>
            <w:tcW w:w="13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280" w:type="dxa"/>
            <w:vAlign w:val="bottom"/>
            <w:gridSpan w:val="8"/>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w:t>
            </w:r>
          </w:p>
        </w:tc>
        <w:tc>
          <w:tcPr>
            <w:tcW w:w="1320" w:type="dxa"/>
            <w:vAlign w:val="bottom"/>
            <w:vMerge w:val="restart"/>
          </w:tcPr>
          <w:p>
            <w:pPr>
              <w:spacing w:after="0"/>
              <w:rPr>
                <w:sz w:val="19"/>
                <w:szCs w:val="19"/>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19</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0000FF"/>
            </w:tcBorders>
            <w:gridSpan w:val="4"/>
          </w:tcPr>
          <w:p>
            <w:pPr>
              <w:spacing w:after="0" w:line="140" w:lineRule="exact"/>
              <w:rPr>
                <w:sz w:val="20"/>
                <w:szCs w:val="20"/>
                <w:color w:val="auto"/>
              </w:rPr>
            </w:pPr>
            <w:r>
              <w:rPr>
                <w:rFonts w:ascii="Times New Roman" w:cs="Times New Roman" w:eastAsia="Times New Roman" w:hAnsi="Times New Roman"/>
                <w:sz w:val="16"/>
                <w:szCs w:val="16"/>
                <w:color w:val="0000FF"/>
              </w:rPr>
              <w:t>Operations</w:t>
            </w:r>
          </w:p>
        </w:tc>
        <w:tc>
          <w:tcPr>
            <w:tcW w:w="5120" w:type="dxa"/>
            <w:vAlign w:val="bottom"/>
            <w:tcBorders>
              <w:top w:val="single" w:sz="8" w:color="0000FF"/>
            </w:tcBorders>
            <w:gridSpan w:val="17"/>
          </w:tcPr>
          <w:p>
            <w:pPr>
              <w:spacing w:after="0"/>
              <w:rPr>
                <w:sz w:val="13"/>
                <w:szCs w:val="13"/>
                <w:color w:val="auto"/>
              </w:rPr>
            </w:pPr>
          </w:p>
        </w:tc>
        <w:tc>
          <w:tcPr>
            <w:tcW w:w="1340" w:type="dxa"/>
            <w:vAlign w:val="bottom"/>
            <w:gridSpan w:val="2"/>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4"/>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6"/>
          </w:tcPr>
          <w:p>
            <w:pPr>
              <w:spacing w:after="0"/>
              <w:rPr>
                <w:sz w:val="2"/>
                <w:szCs w:val="2"/>
                <w:color w:val="auto"/>
              </w:rPr>
            </w:pPr>
          </w:p>
        </w:tc>
        <w:tc>
          <w:tcPr>
            <w:tcW w:w="2600" w:type="dxa"/>
            <w:vAlign w:val="bottom"/>
            <w:gridSpan w:val="6"/>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6"/>
              </w:rPr>
              <w:t>Item 3. Quantitative and Qualitative Disclosures About Market Risk</w:t>
            </w:r>
          </w:p>
        </w:tc>
        <w:tc>
          <w:tcPr>
            <w:tcW w:w="2600" w:type="dxa"/>
            <w:vAlign w:val="bottom"/>
            <w:gridSpan w:val="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2600" w:type="dxa"/>
            <w:vAlign w:val="bottom"/>
            <w:tcBorders>
              <w:left w:val="single" w:sz="8" w:color="0000FF"/>
            </w:tcBorders>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4"/>
              </w:rPr>
              <w:t>Item 4. Controls and Procedures</w:t>
            </w:r>
          </w:p>
        </w:tc>
        <w:tc>
          <w:tcPr>
            <w:tcW w:w="2540" w:type="dxa"/>
            <w:vAlign w:val="bottom"/>
            <w:gridSpan w:val="9"/>
          </w:tcPr>
          <w:p>
            <w:pPr>
              <w:spacing w:after="0"/>
              <w:rPr>
                <w:sz w:val="21"/>
                <w:szCs w:val="21"/>
                <w:color w:val="auto"/>
              </w:rPr>
            </w:pPr>
          </w:p>
        </w:tc>
        <w:tc>
          <w:tcPr>
            <w:tcW w:w="2600" w:type="dxa"/>
            <w:vAlign w:val="bottom"/>
            <w:gridSpan w:val="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4600" w:type="dxa"/>
            <w:vAlign w:val="bottom"/>
            <w:gridSpan w:val="13"/>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5580" w:type="dxa"/>
            <w:vAlign w:val="bottom"/>
            <w:gridSpan w:val="1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6"/>
              </w:rPr>
              <w:t>Item 3. Defaults Upon Senior Securities</w:t>
            </w:r>
          </w:p>
        </w:tc>
        <w:tc>
          <w:tcPr>
            <w:tcW w:w="1980" w:type="dxa"/>
            <w:vAlign w:val="bottom"/>
            <w:gridSpan w:val="6"/>
          </w:tcPr>
          <w:p>
            <w:pPr>
              <w:spacing w:after="0"/>
              <w:rPr>
                <w:sz w:val="21"/>
                <w:szCs w:val="21"/>
                <w:color w:val="auto"/>
              </w:rPr>
            </w:pPr>
          </w:p>
        </w:tc>
        <w:tc>
          <w:tcPr>
            <w:tcW w:w="2600" w:type="dxa"/>
            <w:vAlign w:val="bottom"/>
            <w:gridSpan w:val="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580" w:type="dxa"/>
            <w:vAlign w:val="bottom"/>
            <w:gridSpan w:val="1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580" w:type="dxa"/>
            <w:vAlign w:val="bottom"/>
            <w:gridSpan w:val="12"/>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140" w:type="dxa"/>
            <w:vAlign w:val="bottom"/>
            <w:gridSpan w:val="1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40" w:type="dxa"/>
            <w:vAlign w:val="bottom"/>
            <w:gridSpan w:val="15"/>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6. Exhibits</w:t>
            </w:r>
          </w:p>
        </w:tc>
        <w:tc>
          <w:tcPr>
            <w:tcW w:w="700" w:type="dxa"/>
            <w:vAlign w:val="bottom"/>
            <w:gridSpan w:val="2"/>
          </w:tcPr>
          <w:p>
            <w:pPr>
              <w:spacing w:after="0"/>
              <w:rPr>
                <w:sz w:val="21"/>
                <w:szCs w:val="21"/>
                <w:color w:val="auto"/>
              </w:rPr>
            </w:pPr>
          </w:p>
        </w:tc>
        <w:tc>
          <w:tcPr>
            <w:tcW w:w="5580" w:type="dxa"/>
            <w:vAlign w:val="bottom"/>
            <w:gridSpan w:val="1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8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05"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This Quarterly Report on Form 10-Q, or this report, contains forward-looking statements within the meaning of the Private Securities Litigation Reform Act of 1995. All statements contained in this report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“expect,” “estimate,” “continue,” “ongoing,” “anticipate,” “intend,” “could,” “would,” “project,” “plan,” “expect” and similar expressions that convey uncertainty of future events or outcomes, although not all forward-looking statements contain these words. These are statements that relate to future events and include, but are not limited to, statements about:</w:t>
      </w:r>
    </w:p>
    <w:p>
      <w:pPr>
        <w:spacing w:after="0" w:line="194"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our anticipated uses of our funds;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volatile interest rates and foreign exchange fluctuations, as well as regional conflicts globally, including the war in Ukraine, the ongoing conflict in the Middle East, any impacts of the new administration, energy, trade and supply chain disruptions, and market volatility resulting from the above on our business;</w:t>
      </w:r>
    </w:p>
    <w:p>
      <w:pPr>
        <w:spacing w:after="0" w:line="2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evolving international trade policies and government actions relating to tariffs;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with respect to importance of maintaining libraries of clinical evidence;</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Percepta Nasal Swab classifier for early lung cancer classification and the Prosigna breast cancer assay;</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addition of minimal residual detection capabilities to our diagnostics platform;</w:t>
      </w:r>
    </w:p>
    <w:p>
      <w:pPr>
        <w:spacing w:after="0" w:line="45"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our transition to offering more of our tests as in vitro diagnostic tests on multiple platforms worldwide;</w:t>
      </w: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and other raw materials from certain single source suppliers, and to manufacture our in vitro diagnostics, or IVD, products;</w:t>
      </w:r>
    </w:p>
    <w:p>
      <w:pPr>
        <w:spacing w:after="0" w:line="3" w:lineRule="exact"/>
        <w:rPr>
          <w:rFonts w:ascii="Times New Roman" w:cs="Times New Roman" w:eastAsia="Times New Roman" w:hAnsi="Times New Roman"/>
          <w:sz w:val="18"/>
          <w:szCs w:val="18"/>
          <w:color w:val="auto"/>
        </w:rPr>
      </w:pPr>
    </w:p>
    <w:p>
      <w:pPr>
        <w:ind w:left="640" w:right="2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C2i Genomics, Inc., or C2i, HalioDx and Decipher Biosciences into our business and our ability to develop and launch tests, and enter into supply agreements, with manufacturers of alternative systems;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partnerships and agreements;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expenditures, our anticipated cash needs and our estimates regarding our capital requirements and profitability;</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ability to execute on our strategy;</w:t>
      </w:r>
    </w:p>
    <w:p>
      <w:pPr>
        <w:spacing w:after="0" w:line="45"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Medicare, other government payer, and other commercial third party payer reimbursement at acceptable levels and our expectations regarding the timing of reimbursement;</w:t>
      </w: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estimated number of patients eligible for our tests and the attributes and potential benefits of our tests and any future tests we may develop to patients, physicians, and payers;</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on our ability to drive demand for and reimbursement of our tests; our sales, marketing and distribution capabilities and strategy;</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policies, guidance agency interpretations and judicial decisions; and</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in our competitive position.</w:t>
      </w:r>
    </w:p>
    <w:p>
      <w:pPr>
        <w:spacing w:after="0" w:line="285"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report and are subject to a number of risks, uncertainties and assumptions described in the section titled “Risk Factors” in Part II, Item 1A and elsewhere in this report and in the section titled “Risk Factors” in Part I, Item 1A of our Annual Report on Form 10-K for the year ended December 31, 2024.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7"/>
        </w:trPr>
        <w:tc>
          <w:tcPr>
            <w:tcW w:w="7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(See Note 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239,087</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46,525</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14,551</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372,267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22,953</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48,189</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754,272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745,800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1,315,411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1,300,035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43,826</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78,633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124,069</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w:t>
            </w:r>
          </w:p>
        </w:tc>
        <w:tc>
          <w:tcPr>
            <w:tcW w:w="240" w:type="dxa"/>
            <w:vAlign w:val="bottom"/>
          </w:tcPr>
          <w:p>
            <w:pPr>
              <w:spacing w:after="0"/>
              <w:rPr>
                <w:sz w:val="13"/>
                <w:szCs w:val="13"/>
                <w:color w:val="auto"/>
              </w:rPr>
            </w:pPr>
          </w:p>
        </w:tc>
        <w:tc>
          <w:tcPr>
            <w:tcW w:w="1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31, 2025 and December 31, 2024</w:t>
            </w:r>
          </w:p>
        </w:tc>
        <w:tc>
          <w:tcPr>
            <w:tcW w:w="24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$0.001 par value; 125,000,000 shares authorized, 78,306,356 and 77,772,678 shares issued and</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March 31, 2025 and December 31, 2024, 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1,655,961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(443,983)</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(36,090)</w:t>
            </w:r>
          </w:p>
        </w:tc>
        <w:tc>
          <w:tcPr>
            <w:tcW w:w="0" w:type="dxa"/>
            <w:vAlign w:val="bottom"/>
          </w:tcPr>
          <w:p>
            <w:pPr>
              <w:spacing w:after="0"/>
              <w:rPr>
                <w:sz w:val="1"/>
                <w:szCs w:val="1"/>
                <w:color w:val="auto"/>
              </w:rPr>
            </w:pPr>
          </w:p>
        </w:tc>
      </w:tr>
      <w:tr>
        <w:trPr>
          <w:trHeight w:val="20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1,194,936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1,175,966</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1,315,411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1,300,035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78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6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Testing revenue</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107,309</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90,303</w:t>
            </w:r>
          </w:p>
        </w:tc>
      </w:tr>
      <w:tr>
        <w:trPr>
          <w:trHeight w:val="215"/>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r>
      <w:tr>
        <w:trPr>
          <w:trHeight w:val="210"/>
        </w:trPr>
        <w:tc>
          <w:tcPr>
            <w:tcW w:w="6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w:t>
            </w:r>
          </w:p>
        </w:tc>
      </w:tr>
      <w:tr>
        <w:trPr>
          <w:trHeight w:val="208"/>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96,844</w:t>
            </w:r>
          </w:p>
        </w:tc>
      </w:tr>
      <w:tr>
        <w:trPr>
          <w:trHeight w:val="19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5"/>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testing 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w:t>
            </w: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product revenue</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r>
      <w:tr>
        <w:trPr>
          <w:trHeight w:val="215"/>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r>
      <w:tr>
        <w:trPr>
          <w:trHeight w:val="210"/>
        </w:trPr>
        <w:tc>
          <w:tcPr>
            <w:tcW w:w="6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2,915</w:t>
            </w:r>
          </w:p>
        </w:tc>
      </w:tr>
      <w:tr>
        <w:trPr>
          <w:trHeight w:val="20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34,376</w:t>
            </w:r>
          </w:p>
        </w:tc>
      </w:tr>
      <w:tr>
        <w:trPr>
          <w:trHeight w:val="204"/>
        </w:trPr>
        <w:tc>
          <w:tcPr>
            <w:tcW w:w="6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62,468</w:t>
            </w:r>
          </w:p>
        </w:tc>
      </w:tr>
      <w:tr>
        <w:trPr>
          <w:trHeight w:val="195"/>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15,965</w:t>
            </w:r>
          </w:p>
        </w:tc>
      </w:tr>
      <w:tr>
        <w:trPr>
          <w:trHeight w:val="215"/>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w:t>
            </w: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26,210</w:t>
            </w:r>
          </w:p>
        </w:tc>
      </w:tr>
      <w:tr>
        <w:trPr>
          <w:trHeight w:val="215"/>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0"/>
        </w:trPr>
        <w:tc>
          <w:tcPr>
            <w:tcW w:w="6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08"/>
        </w:trPr>
        <w:tc>
          <w:tcPr>
            <w:tcW w:w="6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67,124</w:t>
            </w:r>
          </w:p>
        </w:tc>
      </w:tr>
      <w:tr>
        <w:trPr>
          <w:trHeight w:val="204"/>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r>
      <w:tr>
        <w:trPr>
          <w:trHeight w:val="215"/>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r>
      <w:tr>
        <w:trPr>
          <w:trHeight w:val="204"/>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21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8"/>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9"/>
        </w:trPr>
        <w:tc>
          <w:tcPr>
            <w:tcW w:w="628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Earnings (loss) per share:</w:t>
            </w: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5"/>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Shares used to compute earnings (loss) per common share:</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78,028,254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74,759,789</w:t>
            </w:r>
          </w:p>
        </w:tc>
      </w:tr>
      <w:tr>
        <w:trPr>
          <w:trHeight w:val="208"/>
        </w:trPr>
        <w:tc>
          <w:tcPr>
            <w:tcW w:w="6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80,056,024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74,759,789</w:t>
            </w:r>
          </w:p>
        </w:tc>
      </w:tr>
    </w:tbl>
    <w:p>
      <w:pPr>
        <w:spacing w:after="0" w:line="27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480"/>
          </w:cols>
          <w:pgMar w:left="320" w:top="121"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07"/>
        </w:trPr>
        <w:tc>
          <w:tcPr>
            <w:tcW w:w="60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20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210"/>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w:t>
            </w:r>
          </w:p>
        </w:tc>
      </w:tr>
      <w:tr>
        <w:trPr>
          <w:trHeight w:val="20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comprehensive income (loss)</w:t>
            </w:r>
          </w:p>
        </w:tc>
        <w:tc>
          <w:tcPr>
            <w:tcW w:w="10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14,496</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(6,753)</w:t>
            </w: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80"/>
          </w:cols>
          <w:pgMar w:left="320" w:top="121" w:right="11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77,773</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1,655,961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1,175,966</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(9,451)</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0" w:type="dxa"/>
            <w:vAlign w:val="bottom"/>
          </w:tcPr>
          <w:p>
            <w:pPr>
              <w:spacing w:after="0"/>
              <w:rPr>
                <w:sz w:val="1"/>
                <w:szCs w:val="1"/>
                <w:color w:val="auto"/>
              </w:rPr>
            </w:pPr>
          </w:p>
        </w:tc>
      </w:tr>
      <w:tr>
        <w:trPr>
          <w:trHeight w:val="233"/>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1,194,936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73,265</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and options for</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74,142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74,145</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76,425</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1,617,465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(469,985)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1,118,649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gridSpan w:val="4"/>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5,590</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8,019</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92"/>
        </w:trPr>
        <w:tc>
          <w:tcPr>
            <w:tcW w:w="1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(6,459)</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Supplies and inventory</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(8,966)</w:t>
            </w: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C2i, net of cash acquired</w:t>
            </w:r>
          </w:p>
        </w:tc>
        <w:tc>
          <w:tcPr>
            <w:tcW w:w="2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r>
      <w:tr>
        <w:trPr>
          <w:trHeight w:val="173"/>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2,968</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 cash, cash equivalents and restricted cash</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217,330</w:t>
            </w:r>
          </w:p>
        </w:tc>
      </w:tr>
      <w:tr>
        <w:trPr>
          <w:trHeight w:val="199"/>
        </w:trPr>
        <w:tc>
          <w:tcPr>
            <w:tcW w:w="120" w:type="dxa"/>
            <w:vAlign w:val="bottom"/>
          </w:tcPr>
          <w:p>
            <w:pPr>
              <w:spacing w:after="0"/>
              <w:rPr>
                <w:sz w:val="17"/>
                <w:szCs w:val="17"/>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187,765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210,270</w:t>
            </w:r>
          </w:p>
        </w:tc>
      </w:tr>
      <w:tr>
        <w:trPr>
          <w:trHeight w:val="20"/>
        </w:trPr>
        <w:tc>
          <w:tcPr>
            <w:tcW w:w="1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5"/>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239,087</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1,544</w:t>
            </w: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240,631</w:t>
            </w: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for patients with, or potentially facing, a cancer diagnosis. Veracyte's tests are used by clinicians for diagnostic, prognostic and treatment decisions.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Inc. operated as an incubator until early 2008. On March 4, 2008, the Company changed its name to Veracyte, Inc. The Company’s headquarters are in South San Francisco, California, and it also has operations in San Diego, California, Austin, Texas, Marseille, France, and Haifa, Israel.</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currently offers tests in prostate cancer (Decipher Prostate); thyroid cancer (Afirma); breast cancer (Prosigna); and bladder cancer (Decipher Bladder). In addition, the Company’s Percepta Nasal Swab test is being run in its Clinical Laboratory Improvement Amendments of 1988, or CLIA, certified lab in support of clinical studies.</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diagnostics, or IVD, test.</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February 2024, the Company acquired C2i Genomics, Inc., or C2i, a minimal residual disease, or MRD, detection company. Refer to Note 4, Business Combination,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March 31, 2025, the condensed consolidated statements of operations for the three months ended March 31, 2025 and 2024, the condensed consolidated statements of comprehensive income (loss) for the three months ended March 31, 2025 and 2024, the condensed consolidated statements of stockholders' equity for the three months ended March 31, 2025 and 2024, and the condensed consolidated statements of cash flows for the three months ended March 31, 2025 and 2024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2024 has been derived from audited financial statements. The results for the three months ended March 31, 2025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9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three months ended March 31, 2024, the Company reclassified $2.9 million of amortization of intangible assets from the intangible asset amortization - operating expense caption in the condensed consolidated statements of operations to a separate caption, intangible asset amortization - cost of revenue, within a new cost of revenue section.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U.S.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three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March 31, 2025, the Company has derived most of its revenue from the sale of Decipher Prostate and Afirma testing. To date, Decipher Prostate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as of March 31, 2025.</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360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75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1"/>
        </w:trPr>
        <w:tc>
          <w:tcPr>
            <w:tcW w:w="7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8"/>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maturities at the time of purchase of three months or less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Company's short-term investments consist of United States treasury securities and time deposits with a bank with maturities at the time of purchase that were between three months and one year. The Company classifies these investments as held-to-maturity debt securities, which are reported at amortized cost. Discounts or premiums from the purchase of the securities are recognized as a component of interest income in other income (loss),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March 31, 2025 and December 31, 2024, no allowances for expected credit losses had been recorded and there have been no impairment or credit losses on the Company's short-term investments.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had deposits of $1.6 million and $1.5 million included in long-term assets as of March 31, 2025 and December 31, 2024, respectively, restricted from withdrawal and held by banks in the form of collateral for irrevocable standby letters of credit held as security for the Company's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3"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4"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The Company recognizes testing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months ended March 31, 2025 and 2024, the Company recorded $0.4 million and $3.0 million as revenue, respectively, resulting from cash collections exceeding the estimated variable consideration related to tests reported in previous years, including revenue received from successful appeals of reimbursement denials, net of recoupments.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Company's product revenue primarily consists of the Prosigna IVD breast cancer assay, related diagnostic kits and services. Product revenue from diagnostic kits is generally recognized upon shipment. Shipping and handling costs incurred for product shipments are included in product revenue. Revenue is presented net of the taxes that are collected from customers and remitted to governmental authorities.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From time to time, the Company enters into arrangements to license or provide access to its assets or services, including clinical and testing services, research and development, contract manufacturing and development, as well as other services, which are classified under biopharmaceutical and other revenue. Such arrangements may require the Company to deliver various rights, data, test results, manufactured diagnostic test kits, services and/or samples, including intellectual property rights/licenses and biopharmaceutical research and development services. The Company receives consideration in the form of upfront license fees; payments on delivery of data, test results or manufactured products; costs of service plus margin; and development and commercial performance milestone payments.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$5.1 million at March 31, 2025 and $3.8 million at December 31, 2024. There was $1.7 million of deferred revenue related to these agreements at both March 31, 2025 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December 31, 2024. Revenue included in biopharmaceutical and other revenue for the three months ended March 31, 2025 and 2024 was as follows (in thousands of dollars):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07"/>
        </w:trPr>
        <w:tc>
          <w:tcPr>
            <w:tcW w:w="60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r>
      <w:tr>
        <w:trPr>
          <w:trHeight w:val="20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1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w:t>
            </w:r>
          </w:p>
        </w:tc>
      </w:tr>
      <w:tr>
        <w:trPr>
          <w:trHeight w:val="233"/>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product revenue consists primarily of costs of purchasing diagnostic kit components, labor, installation, service and packaging and delivery costs. In addition, cost of product includes royalty costs for licensed technologies included in the Company’s products. The cost of the finished product is recognized in the period the related revenue is recognized. Shipping and handling costs incurred for product shipments are included in cost of product in the consolidated statements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services, including clinical services, research and development, contract manufacturing and development, as well as other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Liability</w:t>
      </w:r>
    </w:p>
    <w:p>
      <w:pPr>
        <w:spacing w:after="0" w:line="249"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The Company offers a defined benefit pension plan to certain non-U.S. employees of its Veracyte SAS subsidiary. As of both March 31, 2025 and December 31, 2024, the total pension obligation was $0.4 million and is included in other liabilities on the condensed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Update, or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annual disclosures.</w:t>
      </w:r>
    </w:p>
    <w:p>
      <w:pPr>
        <w:spacing w:after="0" w:line="208"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will require public business entities to disclose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(Loss) Per Common Share</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Basic earnings (loss)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 for equity awards are assumed to be used to repurchase shares. The following table sets forth the computation of basic and diluted EPS (in thousands, except per-share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8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for basic and diluted EPS — net income (loss) (A)</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basic EPS — weighted average shares (B)</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74,760</w:t>
            </w:r>
          </w:p>
        </w:tc>
      </w:tr>
      <w:tr>
        <w:trPr>
          <w:trHeight w:val="21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potentially dilutive common stock from:</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diluted EPS — adjusted weighted average shares and assumed conversions (C)</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74,760</w:t>
            </w:r>
          </w:p>
        </w:tc>
      </w:tr>
      <w:tr>
        <w:trPr>
          <w:trHeight w:val="21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 (A / B)</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 (A / C)</w:t>
            </w:r>
          </w:p>
        </w:tc>
        <w:tc>
          <w:tcPr>
            <w:tcW w:w="92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equivalent shares excluded from the dilutive calculation due to antidilutive effect:</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w:t>
            </w:r>
          </w:p>
        </w:tc>
      </w:tr>
      <w:tr>
        <w:trPr>
          <w:trHeight w:val="215"/>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r>
      <w:tr>
        <w:trPr>
          <w:trHeight w:val="210"/>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3"/>
        </w:trPr>
        <w:tc>
          <w:tcPr>
            <w:tcW w:w="82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Anti-dilutive potential common shares</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Goodwill was $754.3 million and $745.8 million as of March 31, 2025 and December 31, 2024, respectively. The changes in the carrying amounts of goodwill during the three months ended March 31, 2025 were due to foreign currency translation. The Company has not recorded any impairment related to goodwill.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0"/>
                <w:szCs w:val="10"/>
                <w:color w:val="auto"/>
              </w:rPr>
            </w:pPr>
          </w:p>
        </w:tc>
        <w:tc>
          <w:tcPr>
            <w:tcW w:w="9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3"/>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5,600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2,724</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55,766</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957</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C2i developed technology</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23,754</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4"/>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139,420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88,801</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8.3</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152,920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99,094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152,920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(50,619)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102,301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of $3.2 million and $3.7 million was recognized for the three months ended March 31, 2025 and 2024, respectively.</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March 31, 2025 is as follows (in thousands of dollars):</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9,621</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12,185</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12,028</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12,028</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12,028</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27,704</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85,594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9"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Supplies consisted of lab supplies and reagents to be used in the performance of testing services. Inventory related to finished and semi-finished goods used in the assembly of diagnostic kits related to product sales as well as raw materials consumed in the contract manufacturing process. As of March 31, 2025 and December 31, 2024, supplies and inventory consisted of the following (in thousands of dollars):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17,876</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3,874</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supplies and inventory</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30,595</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13,231</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On February 5, 2024, or the Closing Date, the Company acquired 100% of the outstanding equity interests of C2i, or the C2i Acquisition. C2i was a privately-held company that developed a novel method for estimating tumor burden in cancer patients by analyzing a patient’s cell free DNA sequence and offered post-treatment monitoring of cancer recurrence and progression by analyzing subtle changes in the pattern of the tumor’s DNA. The consideration to acquire C2i was $100.2 million, comprised of $73.3 million in the form of approximately 2.7 million shares of the Company’s common stock based on the Company's share price on the Closing Date, $0.8 million of pre-combination portion of replacement stock options issued to C2i’s continuing employees, $17.2 million of contingent consideration that was agreed to be paid on achievement of certain milestones and the remainder in cash.</w:t>
      </w:r>
    </w:p>
    <w:p>
      <w:pPr>
        <w:spacing w:after="0" w:line="212"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Assets acquired and liabilities assumed were recorded based on valuations derived from estimated fair value assessments and assumptions used by the Company. The measurement period concluded in February 2025, and no adjustments were recorded during the measurement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ind w:left="800" w:right="12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9"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 treasury bills, money market funds and deposits for leases of the Company's facilities. Included in cash and cash equivalents as of December 31, 2024 were $50.4 million of treasury bills with maturities at the time of purchase of three months or less, which are Level I assets as described above. Money market funds, included in cash and cash equivalents, were $1.2 million and $1.6 million as of March 31, 2025 and December 31, 2024, respectively, and are Level I assets as described above. The deposits for the leases, included in restricted cash, were $1.6 million and $1.5 million as of March 31, 2025 and December 31, 2024, respectively, and are Level I assets as described above. There were no transfers between Levels 1, 2 or 3 for the three months ended March 31, 2025 and 2024.</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condensed consolidated statements of operations. As of both March 31, 2025 and December 31, 2024, this contingency was remeasured to $3.3 million. For both the three months ended March 31, 2025 and 2024, no expense was recorded. As of March 31, 2025, the achievement of one of the milestones is forecasted to occur within the next 12 months. As a result, $2.7 million of the contingent consideration is included in short term liabilities at March 31, 2025.</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contingent consideration related to the C2i Acquisition as discussed in Note 4, is dependent on the achievement of certain milestones and is payable in cash or shares of the Company’s common stock, at the Company’s election, of up to $25 million and was valued at $17.2 million. The fair value of the contingent consideration related to the C2i Acquisition will be remeasured to fair value at each reporting date until the contingent consideration is settled, with the corresponding changes included in general and administrative expense. As of March 31, 2025 and December 31, 2024, this contingency was remeasured to $11.6 million and $14.3 million, respectively. For the three months ended March 31, 2025, a reversal of expense of $2.0 million was recorded. As of March 31, 2025, the achievement of all of the remaining milestones is forecasted to occur within the next 12 months. As a result, the contingent consideration is included in short term liabilities at March 31, 2025. During the year ended December 31, 2024, one of the milestones was achieved resulting in the payment of $5.0 million in cash and, during the three months ended March 31, 2025, one of the milestones was achieved resulting in the payment of $0.7 million in cash.</w:t>
      </w:r>
    </w:p>
    <w:p>
      <w:pPr>
        <w:spacing w:after="0" w:line="21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fair value of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March 31, 2025 and December 31, 2024, the Company calculated the estimated fair value of the milestones using the following significant unobservable inputs: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4.8% - 6.2% (5.1%)</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 - 6.2% (5.3%)</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10% - 90% (76%)</w:t>
            </w:r>
          </w:p>
        </w:tc>
        <w:tc>
          <w:tcPr>
            <w:tcW w:w="100" w:type="dxa"/>
            <w:vAlign w:val="bottom"/>
          </w:tcPr>
          <w:p>
            <w:pPr>
              <w:spacing w:after="0"/>
              <w:rPr>
                <w:sz w:val="18"/>
                <w:szCs w:val="18"/>
                <w:color w:val="auto"/>
              </w:rPr>
            </w:pPr>
          </w:p>
        </w:tc>
        <w:tc>
          <w:tcPr>
            <w:tcW w:w="18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 - 90% (86%)</w:t>
            </w:r>
          </w:p>
        </w:tc>
      </w:tr>
    </w:tbl>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 Held-to-Maturity</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short-term investments consist of United States treasury securities with maturities, at the time of purchase, that were between three months and one year. The Company classifies these investments as held-to-maturity debt securities, which are reported at amortized cost, and are Level I assets as described above. As of March 31, 2025 and December 31, 2024, short-term investments comprised United States treasury bills recorded at amortized cost of $101.2 million and $50.4 million, respectively, with fair values of approximately $101.3 million and $50.4 million, respectively. As of March 31, 2025, gross unrealized gains on short-term investments were insignificant.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leases office and laboratory facilities in the U.S., including in South San Francisco and San Diego, California and Austin, Texas, and in Marseille, France, and leases certain equipment under various non-cancelable lease agreements. The lease terms extend to March 2040 and contain extension of lease terms and expansion options. The leases have a weighted average remaining lease term of 11.5 years as of March 31, 2025. The Company had deposits of $1.6 million and $1.5 million included in long-term assets as of March 31, 2025 and December 31, 2024, respectively, restricted from withdrawal and held by banks in the form of collateral for irrevocable standby letters of credit held as security for the leases.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11.4%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the Company classified its deferred rent for tenant improvements with its operating lease right-of-use assets on the consolidated balance sheets.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March 31, 2025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8,388</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8,561</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56,099</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93,222</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42,721</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50,501</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7,409</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43,092</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7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9"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claims arising in the ordinary course of business. Although the outcomes of such matters cannot be predicted with certainty, the Company believes there is no litigation pending that could have, either individually or in the aggregate, a material adverse impact on the Company's consolidated financial statements.</w:t>
      </w:r>
    </w:p>
    <w:p>
      <w:pPr>
        <w:spacing w:after="0" w:line="202"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On May 1, 2025, the Company filed a complaint in federal court in the Eastern District of Texas alleging that Sonic Healthcare USA, Inc., the healthcare company that offers ThyroSeq v3, is infringing three of the Company’s patents related to molecular testing of thyroid nodules. The complaint seeks treble damages, attorneys’ fees and costs as well as injunctive relief. Sonic Healthcare USA, Inc. has not yet responded to the Company’s complaint.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6,135,010</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5,773,382</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8,076,382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8,971,566</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966,979</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1,051,407</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15,178,371</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15,796,355</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07"/>
        </w:trPr>
        <w:tc>
          <w:tcPr>
            <w:tcW w:w="76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0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French research tax credits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r>
      <w:tr>
        <w:trPr>
          <w:trHeight w:val="21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currency revaluation</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1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33"/>
        </w:trPr>
        <w:tc>
          <w:tcPr>
            <w:tcW w:w="7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w:t>
      </w:r>
    </w:p>
    <w:p>
      <w:pPr>
        <w:spacing w:after="0" w:line="247"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7"/>
          <w:szCs w:val="17"/>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products and biopharmaceutical services. The accounting policies of the Company's single segment are the same as those described in the summary of significant accounting policies in Note 1, Organization, Description of Business and Summary of Significant Accounting Policies. The chief operating decision maker assesses performance of the Company's single segment and decides how to allocate resources based on consolidated net income. Under the current organizational structure, this measure is not discreetly available or required individually for any of the Company’s business activities and is only available at the consolidated level. The monitoring of budgeted versus actual results are used in assessing performance of the Company's single segment, allocating resources and in establishing management’s compensation. The Company's chief operating decision maker intends for all revenue generating activities to rely on cross-functional activities across the consolidated entity in order to operate. No individual besides the chief operating decision maker has been tasked with reviewing discreet operating results of the business activities, nor is there any intent to bifurcate the overall business review process to produce discreet operating results specific to any of the Company's business activities. The measure of segment assets is reported on the consolidated balance sheet as total consolidated assets. Consolidated revenue does not include any inter-segment sales or transfers.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Information about reported segment revenue, measures of segment profit or loss, significant segment expenses and reconciliation to income from operations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4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4"/>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r>
      <w:tr>
        <w:trPr>
          <w:trHeight w:val="21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90,303</w:t>
            </w:r>
          </w:p>
        </w:tc>
      </w:tr>
      <w:tr>
        <w:trPr>
          <w:trHeight w:val="21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r>
      <w:tr>
        <w:trPr>
          <w:trHeight w:val="21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w:t>
            </w:r>
          </w:p>
        </w:tc>
      </w:tr>
      <w:tr>
        <w:trPr>
          <w:trHeight w:val="208"/>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96,844</w:t>
            </w:r>
          </w:p>
        </w:tc>
      </w:t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0"/>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11,918</w:t>
            </w: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r>
      <w:tr>
        <w:trPr>
          <w:trHeight w:val="210"/>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testing revenue (1)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w:t>
            </w:r>
          </w:p>
        </w:tc>
      </w:tr>
      <w:tr>
        <w:trPr>
          <w:trHeight w:val="210"/>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r>
      <w:tr>
        <w:trPr>
          <w:trHeight w:val="208"/>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testing revenue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w:t>
            </w:r>
          </w:p>
        </w:tc>
      </w:tr>
      <w:tr>
        <w:trPr>
          <w:trHeight w:val="19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costs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r>
      <w:tr>
        <w:trPr>
          <w:trHeight w:val="210"/>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product revenue (2)</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10"/>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8"/>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product revenue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r>
      <w:tr>
        <w:trPr>
          <w:trHeight w:val="19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r>
      <w:tr>
        <w:trPr>
          <w:trHeight w:val="210"/>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cost of biopharmaceutical and other revenue (3)</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04"/>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cost of biopharmaceutical and other revenue</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w:t>
            </w:r>
          </w:p>
        </w:tc>
      </w:tr>
      <w:tr>
        <w:trPr>
          <w:trHeight w:val="208"/>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w:t>
            </w:r>
          </w:p>
        </w:tc>
      </w:tr>
      <w:tr>
        <w:trPr>
          <w:trHeight w:val="204"/>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62,468</w:t>
            </w:r>
          </w:p>
        </w:tc>
      </w:tr>
      <w:tr>
        <w:trPr>
          <w:trHeight w:val="19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9,085</w:t>
            </w:r>
          </w:p>
        </w:tc>
      </w:tr>
      <w:tr>
        <w:trPr>
          <w:trHeight w:val="210"/>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research and development expenses (4)</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r>
      <w:tr>
        <w:trPr>
          <w:trHeight w:val="210"/>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r>
      <w:tr>
        <w:trPr>
          <w:trHeight w:val="208"/>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15,965</w:t>
            </w:r>
          </w:p>
        </w:tc>
      </w:tr>
      <w:tr>
        <w:trPr>
          <w:trHeight w:val="19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17,622</w:t>
            </w:r>
          </w:p>
        </w:tc>
      </w:tr>
      <w:tr>
        <w:trPr>
          <w:trHeight w:val="210"/>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selling and marketing expenses (5)</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w:t>
            </w:r>
          </w:p>
        </w:tc>
      </w:tr>
      <w:tr>
        <w:trPr>
          <w:trHeight w:val="210"/>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08"/>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selling and marketing</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w:t>
            </w:r>
          </w:p>
        </w:tc>
      </w:tr>
      <w:tr>
        <w:trPr>
          <w:trHeight w:val="19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17,759</w:t>
            </w:r>
          </w:p>
        </w:tc>
      </w:tr>
      <w:tr>
        <w:trPr>
          <w:trHeight w:val="210"/>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general and administrative expenses (6)</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15,037</w:t>
            </w:r>
          </w:p>
        </w:tc>
      </w:tr>
      <w:tr>
        <w:trPr>
          <w:trHeight w:val="215"/>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(6,586)</w:t>
            </w:r>
          </w:p>
        </w:tc>
      </w:tr>
      <w:tr>
        <w:trPr>
          <w:trHeight w:val="204"/>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general and administrative</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26,210</w:t>
            </w:r>
          </w:p>
        </w:tc>
      </w:tr>
      <w:tr>
        <w:trPr>
          <w:trHeight w:val="208"/>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10"/>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r>
      <w:tr>
        <w:trPr>
          <w:trHeight w:val="21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testing revenue includes cytopathology services, depreciation and amortization and other expenses.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product revenue includes license fees and royalties,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biopharmaceutical and other revenue includes license fees and royalties,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includes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marketing expenses includes travel, entertainment, conference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expenses includes professional fees, information technology expense, occupancy costs, depreciation and amortization, contingent consideration and other expenses.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5"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applied to the Company’s year to date income or loss and is adjusted for discrete items recorded in the period. For the three months ended March 31, 2025 and 2024, the Company’s effective tax rate was 5.1% and 2.3% respectively. For the three months ended March 31, 2025, the primary difference between the effective tax rate and the federal statutory rate is driven by unfavorable permanent differences and foreign and state taxes, offset by the full valuation allowance the Company has established on its federal, state and foreign net operating losses and credits. For the three months ended March 31, 2024, the primary difference between the effective tax rate and the federal statutory rate is driven by the full valuation allowance the Company had established on its federal, state and foreign net operating losses and credits offset by reductions in deferred tax liabilities from acquired entities.</w:t>
      </w:r>
    </w:p>
    <w:p>
      <w:pPr>
        <w:spacing w:after="0" w:line="21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recorded income tax expense of $0.4 million for the three months ended March 31, 2025 and recorded income tax benefit of $44 thousand for the three months ended March 31, 2024. The provision for income taxes recorded in the three months ended March 31, 2025 consists primarily of federal, state and foreign income taxes. The income tax benefit recorded in the three months ended March 31, 2024 consists primarily of state and foreign income taxes.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the related notes and other financial information included elsewhere in this Quarterly Report on Form 10-Q and with our audited consolidated financial statements and the notes thereto included in our Annual Report on Form 10-K for the year ended December 31, 2024, or our Annual Report.</w:t>
      </w:r>
    </w:p>
    <w:p>
      <w:pPr>
        <w:spacing w:after="0" w:line="204"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herein under the heading “Forward Looking Statements” and in the section titled “Risk Factors” under Part II, Item 1A of this report and under Part I, Item 1A of our Annual Report. Historical results are not necessarily indicative of future results.</w:t>
      </w:r>
    </w:p>
    <w:p>
      <w:pPr>
        <w:spacing w:after="0" w:line="21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6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"C2i", "C2i Genomics" and the Veracyte logo are registered trademarks of Veracyte, Inc. and its subsidiaries in the United States and selected countries. nCounter is the registered trademark of NanoString Technologies, Inc., or NanoString, now owned by Bruker Corporation as part of Bruker Corporation’s asset acquisition of NanoString, in the United States and selected countries and used by Veracyte under license. Immunoscore is the registered trademark of Institut National de la Santé et de la Recherche Médicale, or Inserm, in the United States and selected countries and used by Veracyte under license.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Insights from these tests help patients avoid unnecessary procedures and interventions and accelerate time to appropriate treatment, thereby improving outcomes for patients in our global markets.</w:t>
      </w:r>
    </w:p>
    <w:p>
      <w:pPr>
        <w:spacing w:after="0" w:line="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the United States, we currently offer tests in prostate cancer (Decipher Prostate), thyroid cancer (Afirma), breast cancer (Prosigna), and bladder cancer (Decipher Bladder). In addition, our Percepta Nasal Swab test is being run in our Clinical Laboratory Improvement Amendments of 1988, or CLIA, certified labs in support of clinical studies.</w:t>
      </w:r>
    </w:p>
    <w:p>
      <w:pPr>
        <w:spacing w:after="0" w:line="6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laboratory developed tests through our centralized CLIA certified laboratories in South San Francisco and San Diego, California, supported by our cytopathology expertise in Austin, Texas. Additionally, primarily outside of the United States, we provide in vitro diagnostics, or IVD, tests to patients through distribution to laboratories and hospitals that can perform the tests locally. Our international distribution of IVDs is currently limited to our Prosigna test, however, in the future, we intend to offer Decipher Prostate and Percepta Nasal Swab as IVD tests. We believe our broad menu of advanced diagnostic tests, combined with our ability to deliver them globally, differentiates us in the diagnostics industry.</w:t>
      </w:r>
    </w:p>
    <w:p>
      <w:pPr>
        <w:spacing w:after="0" w:line="7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are aiming to expand our role across the cancer continuum with the addition of minimal residual disease, or MRD assays. This will broaden our portfolio of tests to help monitor the success of a therapeutic or surgical intervention, and support the determination of the best course of action for each patient.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Recent macroeconomic factors, such as interest rate fluctuations and inflation in the United States and other markets, evolving international trade policies and government actions relating to tariffs, as well as volatility in the global banking and finance systems, have resulted in volatility in the capital and credit markets globally. Moreover, the continued fluctuation and reduced valuation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regional conflicts like those between Russia and Ukraine and in Israel may adversely impact our business and operating results. Finally, the ongoing conflict in the Middle East and related political, military and security conditions in and around Israel may disrupt our Israel business operations and employees that we acquired through the Company’s acquisition of 100% of the outstanding equity interests of C2i, or the C2i Acquisition.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extent of the impact of macroeconomic factors on our future liquidity and operational performance will depend on future developments and their impact on our customers' operations and our sales and renewal cycles. We may also be adversely affected by further changes in central bank policies and fluctuations in interest rates, rates of inflation, and changes in foreign currency exchange rates. See "Risk Factors" for further discussion.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performance currently depends on the number of tests that we perform and report as completed in our CLIA-certified laboratories and the number of tests purchased by our customers, which we refer to as our reported total test volume. Factors impacting our reported total test volume include, but are not limited to:</w:t>
      </w:r>
    </w:p>
    <w:p>
      <w:pPr>
        <w:spacing w:after="0" w:line="176" w:lineRule="exact"/>
        <w:rPr>
          <w:sz w:val="20"/>
          <w:szCs w:val="20"/>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of single-source reagents);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timing of industry conferences and timing of when patient deductibles are exceeded, which also impacts the reimbursement we receive from insurers;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 test kits, including as a result of higher average selling prices and overall spending constraints across our industry;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Acquisitions</w:t>
      </w:r>
    </w:p>
    <w:p>
      <w:pPr>
        <w:spacing w:after="0" w:line="249"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Revenue growth, operational results and advances to our business strategy depends on our ability to integrate any acquisitions into our existing business and effectively scale their operations. The integration of acquired assets and other strategic transactions that we may pursue may impact our revenue growth, increase the cost of operations or may require management resources that otherwise would be available for ongoing development of our existing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 Development</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 significant aspect of our business is our investment in research and development activities, including activities related to the development of new tests and the ongoing development of our IVD and MRD strategies. In addition to the development of new product candidates, we believe these studies are critical to gaining clinician adoption of new products and driving favorable coverage decisions by payors for such products.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7"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the FASB Accounting Standards Codification, or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 price, allocating the contract price to the distinct performance obligations in the contract, and recognizing revenue when the performance obligations have been satisfied.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generally bill for testing services at the time of test completion, upon delivery of a patient report to the prescribing physician.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 Upon ultimate collection, the amount received is compared to previous estimates and the amount accrued is adjusted accordingly.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 Our ability to increase our testing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5"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not positively impact accrued revenue. In addition, payer contracts generally include the right of offset and payers may offset payments prior to resolving disputes over tests performed.</w:t>
      </w:r>
    </w:p>
    <w:p>
      <w:pPr>
        <w:spacing w:after="0" w:line="16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Our product revenue consists primarily of sales of the Prosigna breast cancer assay and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2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enter into arrangements to license or provide access to our assets or services to third parties, including clinical and testing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1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incur a significant amount of expenses related to activities to secure clinical trial results in support of our testing and product development portfolio and on-market tests, as well as clinical validation and utilization studies. We also deploy state-of-the-art and costly genomic technologies in our discovery experiments, and our spending on these technologies may vary substantially from quarter to quarter.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Through March 31, 2025, we derived the majority of our revenue as testing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third-party payer and individual patients. Third-party payers and other customers in excess of 10% of total revenue and their related revenue as a percentage of total revenue were as follows for the periods presented:</w:t>
      </w:r>
    </w:p>
    <w:p>
      <w:pPr>
        <w:spacing w:after="0" w:line="326"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5920" w:type="dxa"/>
            <w:vAlign w:val="bottom"/>
          </w:tcPr>
          <w:p>
            <w:pPr>
              <w:spacing w:after="0"/>
              <w:rPr>
                <w:sz w:val="18"/>
                <w:szCs w:val="18"/>
                <w:color w:val="auto"/>
              </w:rPr>
            </w:pPr>
          </w:p>
        </w:tc>
        <w:tc>
          <w:tcPr>
            <w:tcW w:w="358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59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1"/>
        </w:trPr>
        <w:tc>
          <w:tcPr>
            <w:tcW w:w="59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processing efficiencies.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purchasing diagnostic kit components, labor, installation, service and packaging and delivery costs. In addition, cost of product revenue includes royalty costs for licensed technologies included in our products. As our Prosigna test kits we produce are sold in various configurations with different number of tests, our product cost per test will continue to vary based on the specific kit configuration purchased by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cost of biopharmaceutical and other revenue are the costs of performing activities under arrangements that require us to perform research and development, contract testing services, commercialization, and contract manufacturing and development. This expense is mainly composed of compensation, manufacturing and laboratory supplies, and pass-through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Cost of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10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the three months ended March 31, 2025 and the year ended December 31, 2024 in support of our early-stage products, including Percepta Nasal Swab, support for the development and validation of our MRD tests, and the development of new IVD products and discovery. Going forward, we expect to incur significant expense as we invest in the continued development of our innovation engine, early-stage products including our MRD tests, required clinical studies and the development of current IVD tests.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110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 with dedicated marketing support.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Operating Expenses</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realized and unrealized gains and losses on foreign currency transactions, and French research tax credits. The French research tax credits (crédit d’impôt recherche, or CIR) are generated by our wholly owned subsidiary, Veracyte SAS, in connection with its research efforts performed in Marseille, France.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2025 and 2024 (in thousands of dollars, except percentages and test volume):</w:t>
      </w:r>
    </w:p>
    <w:p>
      <w:pPr>
        <w:spacing w:after="0" w:line="354" w:lineRule="exact"/>
        <w:rPr>
          <w:sz w:val="20"/>
          <w:szCs w:val="20"/>
          <w:color w:val="auto"/>
        </w:rPr>
      </w:pPr>
    </w:p>
    <w:tbl>
      <w:tblPr>
        <w:tblLayout w:type="fixed"/>
        <w:tblInd w:w="52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900" w:type="dxa"/>
            <w:vAlign w:val="bottom"/>
            <w:tcBorders>
              <w:bottom w:val="single" w:sz="8" w:color="auto"/>
            </w:tcBorders>
          </w:tcPr>
          <w:p>
            <w:pPr>
              <w:spacing w:after="0"/>
              <w:rPr>
                <w:sz w:val="18"/>
                <w:szCs w:val="18"/>
                <w:color w:val="auto"/>
              </w:rPr>
            </w:pPr>
          </w:p>
        </w:tc>
      </w:tr>
      <w:tr>
        <w:trPr>
          <w:trHeight w:val="207"/>
        </w:trPr>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07"/>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Testing revenue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107,309</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17,006</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w:t>
            </w: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19%</w:t>
            </w:r>
          </w:p>
        </w:tc>
      </w:tr>
      <w:tr>
        <w:trPr>
          <w:trHeight w:val="208"/>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10"/>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208"/>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r>
      <w:tr>
        <w:trPr>
          <w:trHeight w:val="204"/>
        </w:trPr>
        <w:tc>
          <w:tcPr>
            <w:tcW w:w="6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79,508</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62,468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17,040</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27%</w:t>
            </w:r>
          </w:p>
        </w:tc>
      </w:tr>
      <w:tr>
        <w:trPr>
          <w:trHeight w:val="195"/>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7,598</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w:t>
            </w: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r>
      <w:tr>
        <w:trPr>
          <w:trHeight w:val="210"/>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208"/>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(162)%</w:t>
            </w:r>
          </w:p>
        </w:tc>
      </w:tr>
      <w:tr>
        <w:trPr>
          <w:trHeight w:val="215"/>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w:t>
            </w: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9,336</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(489)%</w:t>
            </w:r>
          </w:p>
        </w:tc>
      </w:tr>
      <w:tr>
        <w:trPr>
          <w:trHeight w:val="215"/>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(966)%</w:t>
            </w:r>
          </w:p>
        </w:tc>
      </w:tr>
      <w:tr>
        <w:trPr>
          <w:trHeight w:val="206"/>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8,911</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(478)%</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0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Diagnostic tests reported</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tests sold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r>
      <w:tr>
        <w:trPr>
          <w:trHeight w:val="208"/>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Total test volume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33"/>
        </w:trPr>
        <w:tc>
          <w:tcPr>
            <w:tcW w:w="6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215"/>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10,958</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increased $17.6 million for the three months ended March 31, 2025 compared to the same period in 2024. This was primarily due to a $17.0 million increase in testing revenue driven by a 23% volume increase and a 3% average selling price decrease, and by a $0.6 million increase in our biopharmaceutical and other revenue. The increase in testing revenue and tests reported for the three months ended March 31, 2025 was due to Decipher Prostate and Afirma revenue growing 22% partially offset by a $1.4 million decrease in Envisia revenue.</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Product revenue increased 1% for the three months ended March 31, 2025 compared to the same period in 2024. The result was primarily driven by an increase in demand in test kits and partially offset by lower service revenue.</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Biopharmaceutical and other revenue increased by $0.6 million for the three months ended March 31, 2025 compared to the same period in 2024, driven primarily by an increase of customer projects related to our US product offering.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2025 and 2024 is as follows (in thousands of dollars, except percentages):</w:t>
      </w:r>
    </w:p>
    <w:p>
      <w:pPr>
        <w:spacing w:after="0" w:line="354" w:lineRule="exact"/>
        <w:rPr>
          <w:sz w:val="20"/>
          <w:szCs w:val="20"/>
          <w:color w:val="auto"/>
        </w:rPr>
      </w:pPr>
    </w:p>
    <w:tbl>
      <w:tblPr>
        <w:tblLayout w:type="fixed"/>
        <w:tblInd w:w="50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Cytopathology services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33"/>
        </w:trPr>
        <w:tc>
          <w:tcPr>
            <w:tcW w:w="6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costs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206"/>
        </w:trPr>
        <w:tc>
          <w:tcPr>
            <w:tcW w:w="6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6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6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$2.3 million, or 9%, for the three months ended March 31, 2025 compared to the same period in 2024. The increase in cost of testing revenue was due to increased volume in testing, higher staffing to support testing performance and the build out of infrastructure related to current and future growth expectations, primarily related to Decipher Prostate and Afirma tests.</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product revenue decreased $1.2 million, or 46%, for the three months ended March 31, 2025 compared to the same period in 2024, driven by lower costs associated with the transition of manufacturing our IVD kits to our Marseille, France facilities and lower consumption of inventory.</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laboratory supplies and pass-through expenses incurred. Cost of biopharmaceutical and other revenue for the three months ended March 31, 2025 decreased by $0.1 million compared to the same period in 2024, driven by reductions of staffing and variable expenses related to projects.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2025 and 2024 is as follows (in thousands of dollars, except percentages):</w:t>
      </w:r>
    </w:p>
    <w:p>
      <w:pPr>
        <w:spacing w:after="0" w:line="354"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07"/>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5"/>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0"/>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5"/>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0"/>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33"/>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$1.8 million, or 11%, for the three months ended March 31, 2025 compared to the same period in 2024. The increase was primarily driven by annual compensation expense increases as well as direct research and product development expense related to our on-going development costs for our U.S. CLIA, IVD and MRD strategies. In addition to these costs, there was an increase in our allocated costs from general and administrative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2025 and 2024 is as follows (in thousands of dollars, except percentages):</w:t>
      </w:r>
    </w:p>
    <w:p>
      <w:pPr>
        <w:spacing w:after="0" w:line="354" w:lineRule="exact"/>
        <w:rPr>
          <w:sz w:val="20"/>
          <w:szCs w:val="20"/>
          <w:color w:val="auto"/>
        </w:rPr>
      </w:pPr>
    </w:p>
    <w:tbl>
      <w:tblPr>
        <w:tblLayout w:type="fixed"/>
        <w:tblInd w:w="52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07"/>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0"/>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17,635</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Direct marketing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5"/>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06"/>
        </w:trPr>
        <w:tc>
          <w:tcPr>
            <w:tcW w:w="6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24,454</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 increased $0.7 million, or 3%, for the three months ended March 31, 2025 compared to the same period in 2024. The increase is primarily due to annual compensation increases, headcount additions and the impact of stock-based compensation related to employee exits in the prior year period, these increases were partially offset by the reduction of sales support for our Envisia product. Direct marketing expense decreased primarily due to decreased participation in trade show events. In addition to these costs, there was an increase in allocated costs from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2025 and 2024 is as follows (in thousands of dollars, except percentages):</w:t>
      </w:r>
    </w:p>
    <w:p>
      <w:pPr>
        <w:spacing w:after="0" w:line="354"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07"/>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0"/>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20,173</w:t>
            </w:r>
          </w:p>
        </w:tc>
        <w:tc>
          <w:tcPr>
            <w:tcW w:w="12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5"/>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10"/>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Information technology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5"/>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costs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0"/>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5"/>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Revaluation of acquisition-related contingent consideration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0"/>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08"/>
        </w:trPr>
        <w:tc>
          <w:tcPr>
            <w:tcW w:w="6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General and administrative expense increased by $7.6 million for the three months ended March 31, 2025, compared to the same period in 2024. Compensation expense for the three months ended March 31, 2025 compared to the same period in 2024 increased primarily due to annual merit increases, additional headcount and higher stock-based compensation. Partially offsetting these impacts was a reduction in restructuring costs recognized in the prior year. Professional fees increased $7.3 million primarily due to $3.8 million of one-time expense related to the on-going proceedings regarding the bankruptcy petition filing made by our French subsidiary, Veracyte SAS, and a one-time $3.3 million payment related to the C2i Acquisition. Information technology expenses increased primarily related to continued investment in our cloud infrastructure, and additional investment in our software development capabilities. Occupancy costs increased primarily due to our expansion of our South San Francisco facilities commitment to support our future growth plans, and contingent consideration decreased $2.0 million primarily in relation to a reversal of expense when the contingency related to our C2i Acquisition was remeasured.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Other income, net, increased $1.8 million for the three months ended March 31, 2025 compared to the same period in 2024, primarily due to an increased gain of $2.1 million due to unrealized foreign currency gain(loss) offset by a decrease of $0.4 million related to the French research tax credit.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7"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We recorded income tax expense of $0.4 million for the three months ended March 31, 2025, and recorded income tax benefit of $44.0 thousand for the three months ended March 31, 2024.</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of March 31, 2025, we had cash and cash equivalents and short-term investments of $287.4 million. During the three months ended March 31, 2025, our cash and cash equivalents and short-term investments decreased by $2.1 million. Historically, we have obtained financing primarily through sales of our equity securities. Beginning in 2023, our operations have been financed primarily by cash flows generated by our revenue. For the three months ended March 31, 2025, we had net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of $7.0 million, but we may not sustain profitability in the future. As of March 31, 2025, we had an accumulated deficit of $436.9 million.</w:t>
      </w:r>
    </w:p>
    <w:p>
      <w:pPr>
        <w:spacing w:after="0" w:line="245"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believe our existing cash and cash equivalents and short-term investments as of March 31, 2025, and cash flows generated by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C2i acquisition, costs to fund our overseas operations,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are not able to secure additional financing when needed, or on terms that are favorable to us,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credit markets or the banking system may impact our liquidity both in the short term and long term.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obligations: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lease office and laboratory facilities in the U.S., including in South San Francisco and San Diego, California and Austin, Texas, and in Marseille, France, and lease certain equipment under various non-cancelable lease agreements. The lease terms extend to March 2040 and contain extension of lease term and expansion options. As of March 31, 2025, the leases have a weighted average remaining lease term of 11.5 years and total future minimum lease payments of $93.2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C2i Acquisition Contingent Consideration</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5, 2024, by and among the Company, C2i, Canary Merger Sub I, Inc., a Delaware corporation and wholly owned subsidiary of the Company, Veracyte Diagnostics, LLC, a Delaware limited liability company and a wholly owned subsidiary of the Company, and Fortis Advisors LLC, as the C2i securityholders’ agent, or the Merger Agreement, we may be required to pay to certain noteholders of C2i up to an additional $16.0 million in cash or shares of our common stock, at our election, upon the achievement of certain milestones. During the three months ended March 31, 2025, another one of the milestones was achieved resulting in the payment of $0.7 million. As of March 31, 2025, we expect to achieve a portion or all of the remaining milestones contained in the Merger Agreement within the next 12 months, requiring payments totaling up to $16.0 million.</w:t>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nCounter Analysis System Acquisition Contingent Consideration</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part of our agreement to acquire the exclusive global diagnostic license to the nCounter Analysis System, we may be required to pay up to an additional $10.0 million in cash, contingent upon first achievement or occurrence, by us or on our behalf, of the commercial launch of the first, second and third diagnostic tests for use on the nCounter multiplex analysis system. As of March 31, 2025, the achievement of one of the milestones is forecasted to occur within the next 12 months, requiring payments totaling $3.5 million.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2025 and 2024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18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2025 was $5.4 million. Our net income of $7.0 million includes non-cash charges of $11.0 million of stock-based compensation expense, $5.4 million of depreciation and amortization, of which $3.2 million was related to intangible asset amortization, non-cash lease expense of $0.9 million, non-cash gains of $2.0 million from the revaluation of contingent consideration and $1.6 million from the effect of foreign currency changes on operations. Cash used as a result of changes in operating assets and liabilities was $15.4 million, primarily composed of a decrease in accrued liabilities and deferred revenue of $8.9 million, an increase in accounts receivable of $7.1 million, an increase in prepaid expenses and other current assets of $2.9 million, and an increase in supplies and inventory of $2.3 million partially offset by an increase in accounts payable of $7.1 million.</w:t>
      </w:r>
    </w:p>
    <w:p>
      <w:pPr>
        <w:spacing w:after="0" w:line="18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2024 was $9.0 million. Our net loss of $1.9 million includes non-cash charges of $8.0 million of stock-based compensation expense, $5.6 million of depreciation and amortization, of which $3.7 million was related to intangible asset amortization, and the remainder was due to a non-cash lease expense of $1.1 million. Cash used as a result of changes in operating assets and liabilities was $22.8 million, primarily composed of a decrease in accrued liabilities and deferred revenue of $9.0 million, an increase in accounts receivable of $6.5 million, an increase in prepaid expenses and other current assets of $2.7 million, an increase in supplies and inventory of $2.3 million, a decrease in accounts payable of $1.5 million, and a decrease in operating lease liability of $1.1 million, partially offset by a decrease in other assets of $0.3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2025 was $51.8 million, consisting of $50.0 million from the purchase of short-term investments and $1.8 million used in the purchase of property, plant and equipment.</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2024 was $2.9 million, consisting of $5.0 million net cash acquired from C2i excluding post-close transactions costs, partially offset by $2.1 million used in the purchase of property, plant and equipment.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2025 was $6.5 million, consisting of $9.5 million in tax payments during the period related to the vesting of restricted stock units granted to employees, partially offset by $3.0 million in proceeds from the exercise of options to purchase our common stock and the purchase of stock under our Employee Stock Purchase Plan, or ESPP.</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2024 was $0.9 million, consisting of $3.8 million in tax payments during the period related to the vesting of restricted stock units granted to employees, partially offset by $3.0 million in proceeds from the exercise of options to purchase our common stock and the purchase of stock under our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Organization, Description of Business and Summary of Significant Accounting Policies, in the notes to our condensed consolidated financial statements included elsewhere in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in our Annual Report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and short-term investments of $287.4 million as of March 31, 2025 which consisted of bank deposits, money market funds and United States treasury securities. Such interest-bearing instruments carry a degree of risk; however, a hypothetical 10% change in interest rates during any of the periods presented would not have had a material impact on our condensed consolidated financial statements. This analysis is based on a sensitivity model that measures market value changes when changes in interest rates occur. Any realized gains or losses resulting from such interest rate changes and from the current unrealized gains or losses would only occur if we sold the investments prior to maturity. We do not enter into investments for trading purposes and have not used any derivative financial instruments to manage our interest rate risk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March 31, 2025 we held $3.4 million of bank deposits denominated in Euros. Such Euro denominated deposits carry a degree of risk from changes in currency exchange rates as the gains or losses from changes in exchange rates are included in our net income (loss) and comprehensive income (loss). As of March 31, 2025 a hypothetical 10% appreciation or depreciation of the U.S. dollar relative to the Euro would not have had a material impact on our condensed consolidated financial statements. At this time, we have not entered into, but in the future we may enter into, derivatives or other financial instruments in an attempt to hedge our foreign currency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Exchange Act, which are designed to provide reasonable assurance that information required to be disclosed by us in reports that we file or submit under the Exchange Act is recorded, processed, summarized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recognized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w:t>
      </w:r>
    </w:p>
    <w:p>
      <w:pPr>
        <w:spacing w:after="0" w:line="212"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our disclosure controls and procedures were effective as of March 31, 2025 at the reasonable assurance level.</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0000FF"/>
        </w:rPr>
        <w:t>Note 6, Commitments and Contingencies</w:t>
      </w:r>
      <w:r>
        <w:rPr>
          <w:rFonts w:ascii="Times New Roman" w:cs="Times New Roman" w:eastAsia="Times New Roman" w:hAnsi="Times New Roman"/>
          <w:sz w:val="18"/>
          <w:szCs w:val="18"/>
          <w:color w:val="auto"/>
        </w:rPr>
        <w:t>, under the heading “Contingencies,” in the notes to our condensed consolidated financial statements included elsewhere in this report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consider carefully the factors and other cautionary statements discussed in the section titled “Risk Factors” in Part I, Item 1A of our Annual Report on Form 10-K. There have been no material changes in our risk factors from those described in our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 Insider Trading Arrangements</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following director adopted, modified or terminated “Rule 10b5-1 trading arrangements” (as defined in Item 408 of Regulation S-K of the Exchange Act). None of our Section 16 officers adopted, modified or terminated such “Rule 10b5-1 trading arrangements” during the three months ended March 31, 2025.</w:t>
      </w:r>
    </w:p>
    <w:p>
      <w:pPr>
        <w:spacing w:after="0" w:line="69" w:lineRule="exact"/>
        <w:rPr>
          <w:sz w:val="20"/>
          <w:szCs w:val="20"/>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Epstein, director, adopted a new trading plan on March 6, 2025 (with the first trade under the new plan scheduled for approximately June 5, 2025). The trading plan will be effective until May 29, 2026 to sell an aggregate of 21,473 shares of our common stock.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Incorporated by Reference</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53"/>
        </w:trPr>
        <w:tc>
          <w:tcPr>
            <w:tcW w:w="122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8"/>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vMerge w:val="restart"/>
          </w:tcPr>
          <w:p>
            <w:pPr>
              <w:spacing w:after="0"/>
              <w:rPr>
                <w:sz w:val="13"/>
                <w:szCs w:val="13"/>
                <w:color w:val="auto"/>
              </w:rPr>
            </w:pP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vMerge w:val="restart"/>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8"/>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32"/>
        </w:trPr>
        <w:tc>
          <w:tcPr>
            <w:tcW w:w="7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660" w:type="dxa"/>
            <w:vAlign w:val="bottom"/>
            <w:gridSpan w:val="9"/>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 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60" w:type="dxa"/>
            <w:vAlign w:val="bottom"/>
            <w:tcBorders>
              <w:top w:val="single" w:sz="8" w:color="0000FF"/>
            </w:tcBorders>
            <w:gridSpan w:val="4"/>
          </w:tcPr>
          <w:p>
            <w:pPr>
              <w:spacing w:after="0" w:line="133" w:lineRule="exact"/>
              <w:rPr>
                <w:sz w:val="20"/>
                <w:szCs w:val="20"/>
                <w:color w:val="auto"/>
              </w:rPr>
            </w:pPr>
            <w:r>
              <w:rPr>
                <w:rFonts w:ascii="Times New Roman" w:cs="Times New Roman" w:eastAsia="Times New Roman" w:hAnsi="Times New Roman"/>
                <w:sz w:val="14"/>
                <w:szCs w:val="14"/>
                <w:color w:val="0000FF"/>
              </w:rPr>
              <w:t>13a-14(a)/15d-14(a), as adopted pursuant to Section 302 of</w:t>
            </w:r>
          </w:p>
        </w:tc>
        <w:tc>
          <w:tcPr>
            <w:tcW w:w="400" w:type="dxa"/>
            <w:vAlign w:val="bottom"/>
            <w:gridSpan w:val="5"/>
          </w:tcPr>
          <w:p>
            <w:pPr>
              <w:spacing w:after="0" w:line="133" w:lineRule="exact"/>
              <w:rPr>
                <w:sz w:val="20"/>
                <w:szCs w:val="20"/>
                <w:color w:val="auto"/>
              </w:rPr>
            </w:pPr>
            <w:r>
              <w:rPr>
                <w:rFonts w:ascii="Times New Roman" w:cs="Times New Roman" w:eastAsia="Times New Roman" w:hAnsi="Times New Roman"/>
                <w:sz w:val="14"/>
                <w:szCs w:val="14"/>
                <w:color w:val="0000FF"/>
              </w:rPr>
              <w:t>the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520" w:type="dxa"/>
            <w:vAlign w:val="bottom"/>
            <w:gridSpan w:val="6"/>
          </w:tcPr>
          <w:p>
            <w:pPr>
              <w:jc w:val="right"/>
              <w:ind w:right="120"/>
              <w:spacing w:after="0" w:line="153" w:lineRule="exact"/>
              <w:rPr>
                <w:sz w:val="20"/>
                <w:szCs w:val="20"/>
                <w:color w:val="auto"/>
              </w:rPr>
            </w:pPr>
            <w:r>
              <w:rPr>
                <w:rFonts w:ascii="Times New Roman" w:cs="Times New Roman" w:eastAsia="Times New Roman" w:hAnsi="Times New Roman"/>
                <w:sz w:val="17"/>
                <w:szCs w:val="17"/>
                <w:color w:val="0000FF"/>
                <w:w w:val="95"/>
              </w:rPr>
              <w:t>2002)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8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12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00" w:type="dxa"/>
            <w:vAlign w:val="bottom"/>
            <w:tcBorders>
              <w:top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4"/>
                <w:szCs w:val="14"/>
                <w:color w:val="0000FF"/>
              </w:rPr>
              <w:t>U.S.C. § 1350 (Section 906 of the Sarbanes-Oxley Act of</w:t>
            </w:r>
          </w:p>
        </w:tc>
        <w:tc>
          <w:tcPr>
            <w:tcW w:w="560" w:type="dxa"/>
            <w:vAlign w:val="bottom"/>
            <w:gridSpan w:val="7"/>
          </w:tcPr>
          <w:p>
            <w:pPr>
              <w:jc w:val="right"/>
              <w:ind w:right="120"/>
              <w:spacing w:after="0" w:line="133" w:lineRule="exact"/>
              <w:rPr>
                <w:sz w:val="20"/>
                <w:szCs w:val="20"/>
                <w:color w:val="auto"/>
              </w:rPr>
            </w:pPr>
            <w:r>
              <w:rPr>
                <w:rFonts w:ascii="Times New Roman" w:cs="Times New Roman" w:eastAsia="Times New Roman" w:hAnsi="Times New Roman"/>
                <w:sz w:val="14"/>
                <w:szCs w:val="14"/>
                <w:color w:val="0000FF"/>
              </w:rPr>
              <w:t>2002)</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top w:val="single" w:sz="8" w:color="0000FF"/>
            </w:tcBorders>
            <w:gridSpan w:val="7"/>
          </w:tcPr>
          <w:p>
            <w:pPr>
              <w:ind w:left="430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20" w:type="dxa"/>
            <w:vAlign w:val="bottom"/>
          </w:tcPr>
          <w:p>
            <w:pPr>
              <w:spacing w:after="0"/>
              <w:rPr>
                <w:sz w:val="17"/>
                <w:szCs w:val="17"/>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85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173"/>
        </w:trPr>
        <w:tc>
          <w:tcPr>
            <w:tcW w:w="1040" w:type="dxa"/>
            <w:vAlign w:val="bottom"/>
          </w:tcPr>
          <w:p>
            <w:pPr>
              <w:spacing w:after="0"/>
              <w:rPr>
                <w:sz w:val="15"/>
                <w:szCs w:val="15"/>
                <w:color w:val="auto"/>
              </w:rPr>
            </w:pPr>
          </w:p>
        </w:tc>
        <w:tc>
          <w:tcPr>
            <w:tcW w:w="7140" w:type="dxa"/>
            <w:vAlign w:val="bottom"/>
            <w:gridSpan w:val="2"/>
          </w:tcPr>
          <w:p>
            <w:pPr>
              <w:ind w:left="200"/>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2620" w:type="dxa"/>
            <w:vAlign w:val="bottom"/>
          </w:tcPr>
          <w:p>
            <w:pPr>
              <w:spacing w:after="0"/>
              <w:rPr>
                <w:sz w:val="15"/>
                <w:szCs w:val="15"/>
                <w:color w:val="auto"/>
              </w:rPr>
            </w:pPr>
          </w:p>
        </w:tc>
      </w:tr>
      <w:tr>
        <w:trPr>
          <w:trHeight w:val="232"/>
        </w:trPr>
        <w:tc>
          <w:tcPr>
            <w:tcW w:w="1040" w:type="dxa"/>
            <w:vAlign w:val="bottom"/>
          </w:tcPr>
          <w:p>
            <w:pPr>
              <w:spacing w:after="0"/>
              <w:rPr>
                <w:sz w:val="20"/>
                <w:szCs w:val="20"/>
                <w:color w:val="auto"/>
              </w:rPr>
            </w:pP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2620" w:type="dxa"/>
            <w:vAlign w:val="bottom"/>
          </w:tcPr>
          <w:p>
            <w:pPr>
              <w:spacing w:after="0"/>
              <w:rPr>
                <w:sz w:val="20"/>
                <w:szCs w:val="20"/>
                <w:color w:val="auto"/>
              </w:rPr>
            </w:pPr>
          </w:p>
        </w:tc>
      </w:tr>
      <w:tr>
        <w:trPr>
          <w:trHeight w:val="228"/>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178"/>
        </w:trPr>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7140" w:type="dxa"/>
            <w:vAlign w:val="bottom"/>
            <w:gridSpan w:val="2"/>
          </w:tcPr>
          <w:p>
            <w:pPr>
              <w:ind w:left="200"/>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620" w:type="dxa"/>
            <w:vAlign w:val="bottom"/>
          </w:tcPr>
          <w:p>
            <w:pPr>
              <w:ind w:left="2500"/>
              <w:spacing w:after="0" w:line="178" w:lineRule="exact"/>
              <w:rPr>
                <w:sz w:val="20"/>
                <w:szCs w:val="20"/>
                <w:color w:val="auto"/>
              </w:rPr>
            </w:pPr>
            <w:r>
              <w:rPr>
                <w:rFonts w:ascii="Times New Roman" w:cs="Times New Roman" w:eastAsia="Times New Roman" w:hAnsi="Times New Roman"/>
                <w:sz w:val="18"/>
                <w:szCs w:val="18"/>
                <w:color w:val="auto"/>
                <w:w w:val="76"/>
              </w:rPr>
              <w:t>X</w:t>
            </w:r>
          </w:p>
        </w:tc>
      </w:tr>
      <w:tr>
        <w:trPr>
          <w:trHeight w:val="232"/>
        </w:trPr>
        <w:tc>
          <w:tcPr>
            <w:tcW w:w="1040" w:type="dxa"/>
            <w:vAlign w:val="bottom"/>
          </w:tcPr>
          <w:p>
            <w:pPr>
              <w:spacing w:after="0"/>
              <w:rPr>
                <w:sz w:val="20"/>
                <w:szCs w:val="20"/>
                <w:color w:val="auto"/>
              </w:rPr>
            </w:pPr>
          </w:p>
        </w:tc>
        <w:tc>
          <w:tcPr>
            <w:tcW w:w="7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620" w:type="dxa"/>
            <w:vAlign w:val="bottom"/>
          </w:tcPr>
          <w:p>
            <w:pPr>
              <w:spacing w:after="0"/>
              <w:rPr>
                <w:sz w:val="20"/>
                <w:szCs w:val="20"/>
                <w:color w:val="auto"/>
              </w:rPr>
            </w:pPr>
          </w:p>
        </w:tc>
      </w:tr>
      <w:tr>
        <w:trPr>
          <w:trHeight w:val="233"/>
        </w:trPr>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left="1240" w:hanging="1216"/>
        <w:spacing w:after="0" w:line="221"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2025;</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8, 2025</w:t>
            </w:r>
          </w:p>
        </w:tc>
      </w:tr>
    </w:tbl>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2025;</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8, 2025</w:t>
            </w:r>
          </w:p>
        </w:tc>
      </w:tr>
    </w:tbl>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6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May 8, 2025</w:t>
            </w:r>
          </w:p>
        </w:tc>
      </w:tr>
    </w:tbl>
    <w:p>
      <w:pPr>
        <w:spacing w:after="0" w:line="27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6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May 8, 2025</w:t>
            </w:r>
          </w:p>
        </w:tc>
      </w:tr>
    </w:tbl>
    <w:p>
      <w:pPr>
        <w:spacing w:after="0" w:line="27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lvl w:ilvl="1">
      <w:lvlJc w:val="left"/>
      <w:lvlText w:val="(%2)"/>
      <w:numFmt w:val="decimal"/>
      <w:start w:val="1"/>
    </w:lvl>
  </w:abstractNum>
  <w:abstractNum w:abstractNumId="5">
    <w:nsid w:val="12200854"/>
    <w:multiLevelType w:val="hybridMultilevel"/>
    <w:lvl w:ilvl="0">
      <w:lvlJc w:val="left"/>
      <w:lvlText w:val="%1."/>
      <w:numFmt w:val="decimal"/>
      <w:start w:val="10"/>
    </w:lvl>
    <w:lvl w:ilvl="1">
      <w:lvlJc w:val="left"/>
      <w:lvlText w:val="%2"/>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2025-05-08T07:20:00Z</dcterms:created>
  <dcterms:modified xsi:type="dcterms:W3CDTF">2025-05-08T07:20:00Z</dcterms:modified>
</cp:coreProperties>
</file>