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UNITED STATES</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161925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0"/>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Arial" w:cs="Arial" w:eastAsia="Arial" w:hAnsi="Arial"/>
                <w:sz w:val="18"/>
                <w:szCs w:val="18"/>
                <w:b w:val="1"/>
                <w:bCs w:val="1"/>
                <w:color w:val="auto"/>
              </w:rPr>
              <w:t>to</w:t>
            </w:r>
          </w:p>
        </w:tc>
      </w:tr>
      <w:tr>
        <w:trPr>
          <w:trHeight w:val="425"/>
        </w:trPr>
        <w:tc>
          <w:tcPr>
            <w:tcW w:w="3500" w:type="dxa"/>
            <w:vAlign w:val="bottom"/>
            <w:gridSpan w:val="2"/>
          </w:tcPr>
          <w:p>
            <w:pPr>
              <w:ind w:left="460"/>
              <w:spacing w:after="0"/>
              <w:rPr>
                <w:sz w:val="20"/>
                <w:szCs w:val="20"/>
                <w:color w:val="auto"/>
              </w:rPr>
            </w:pPr>
            <w:r>
              <w:rPr>
                <w:rFonts w:ascii="Arial" w:cs="Arial" w:eastAsia="Arial" w:hAnsi="Arial"/>
                <w:sz w:val="18"/>
                <w:szCs w:val="18"/>
                <w:b w:val="1"/>
                <w:bCs w:val="1"/>
                <w:color w:val="auto"/>
              </w:rPr>
              <w:t>Commission file number 001-36156</w:t>
            </w:r>
          </w:p>
        </w:tc>
      </w:tr>
      <w:tr>
        <w:trPr>
          <w:trHeight w:val="108"/>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Arial" w:cs="Arial" w:eastAsia="Arial" w:hAnsi="Arial"/>
                <w:sz w:val="28"/>
                <w:szCs w:val="28"/>
                <w:b w:val="1"/>
                <w:bCs w:val="1"/>
                <w:color w:val="auto"/>
              </w:rPr>
              <w:t>VERACYTE, INC.</w:t>
            </w:r>
          </w:p>
        </w:tc>
      </w:tr>
      <w:tr>
        <w:trPr>
          <w:trHeight w:val="224"/>
        </w:trPr>
        <w:tc>
          <w:tcPr>
            <w:tcW w:w="2560" w:type="dxa"/>
            <w:vAlign w:val="bottom"/>
          </w:tcPr>
          <w:p>
            <w:pPr>
              <w:spacing w:after="0"/>
              <w:rPr>
                <w:sz w:val="19"/>
                <w:szCs w:val="19"/>
                <w:color w:val="auto"/>
              </w:rPr>
            </w:pPr>
          </w:p>
        </w:tc>
        <w:tc>
          <w:tcPr>
            <w:tcW w:w="6640" w:type="dxa"/>
            <w:vAlign w:val="bottom"/>
            <w:gridSpan w:val="3"/>
          </w:tcPr>
          <w:p>
            <w:pPr>
              <w:jc w:val="center"/>
              <w:ind w:right="1891"/>
              <w:spacing w:after="0"/>
              <w:rPr>
                <w:sz w:val="20"/>
                <w:szCs w:val="20"/>
                <w:color w:val="auto"/>
              </w:rPr>
            </w:pPr>
            <w:r>
              <w:rPr>
                <w:rFonts w:ascii="Arial" w:cs="Arial" w:eastAsia="Arial" w:hAnsi="Arial"/>
                <w:sz w:val="18"/>
                <w:szCs w:val="18"/>
                <w:color w:val="auto"/>
                <w:w w:val="89"/>
              </w:rPr>
              <w:t>(Exact name of registrant as specified in its charter)</w:t>
            </w:r>
          </w:p>
        </w:tc>
      </w:tr>
      <w:tr>
        <w:trPr>
          <w:trHeight w:val="267"/>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8"/>
        </w:trPr>
        <w:tc>
          <w:tcPr>
            <w:tcW w:w="2560" w:type="dxa"/>
            <w:vAlign w:val="bottom"/>
          </w:tcPr>
          <w:p>
            <w:pPr>
              <w:jc w:val="center"/>
              <w:ind w:right="351"/>
              <w:spacing w:after="0"/>
              <w:rPr>
                <w:sz w:val="20"/>
                <w:szCs w:val="20"/>
                <w:color w:val="auto"/>
              </w:rPr>
            </w:pPr>
            <w:r>
              <w:rPr>
                <w:rFonts w:ascii="Arial" w:cs="Arial" w:eastAsia="Arial" w:hAnsi="Arial"/>
                <w:sz w:val="18"/>
                <w:szCs w:val="18"/>
                <w:b w:val="1"/>
                <w:bCs w:val="1"/>
                <w:color w:val="auto"/>
                <w:w w:val="91"/>
              </w:rPr>
              <w:t>Delaware</w:t>
            </w:r>
          </w:p>
        </w:tc>
        <w:tc>
          <w:tcPr>
            <w:tcW w:w="6640" w:type="dxa"/>
            <w:vAlign w:val="bottom"/>
            <w:gridSpan w:val="3"/>
          </w:tcPr>
          <w:p>
            <w:pPr>
              <w:jc w:val="center"/>
              <w:ind w:left="5231"/>
              <w:spacing w:after="0"/>
              <w:rPr>
                <w:sz w:val="20"/>
                <w:szCs w:val="20"/>
                <w:color w:val="auto"/>
              </w:rPr>
            </w:pPr>
            <w:r>
              <w:rPr>
                <w:rFonts w:ascii="Arial" w:cs="Arial" w:eastAsia="Arial" w:hAnsi="Arial"/>
                <w:sz w:val="18"/>
                <w:szCs w:val="18"/>
                <w:b w:val="1"/>
                <w:bCs w:val="1"/>
                <w:color w:val="auto"/>
                <w:w w:val="87"/>
              </w:rPr>
              <w:t>20-5455398</w:t>
            </w:r>
          </w:p>
        </w:tc>
      </w:tr>
      <w:tr>
        <w:trPr>
          <w:trHeight w:val="226"/>
        </w:trPr>
        <w:tc>
          <w:tcPr>
            <w:tcW w:w="2560" w:type="dxa"/>
            <w:vAlign w:val="bottom"/>
          </w:tcPr>
          <w:p>
            <w:pPr>
              <w:jc w:val="center"/>
              <w:ind w:right="351"/>
              <w:spacing w:after="0"/>
              <w:rPr>
                <w:sz w:val="20"/>
                <w:szCs w:val="20"/>
                <w:color w:val="auto"/>
              </w:rPr>
            </w:pPr>
            <w:r>
              <w:rPr>
                <w:rFonts w:ascii="Arial" w:cs="Arial" w:eastAsia="Arial" w:hAnsi="Arial"/>
                <w:sz w:val="18"/>
                <w:szCs w:val="18"/>
                <w:color w:val="auto"/>
                <w:w w:val="90"/>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Arial" w:cs="Arial" w:eastAsia="Arial" w:hAnsi="Arial"/>
                <w:sz w:val="18"/>
                <w:szCs w:val="18"/>
                <w:color w:val="auto"/>
                <w:w w:val="90"/>
              </w:rPr>
              <w:t>(I.R.S. Employer</w:t>
            </w:r>
          </w:p>
        </w:tc>
      </w:tr>
      <w:tr>
        <w:trPr>
          <w:trHeight w:val="226"/>
        </w:trPr>
        <w:tc>
          <w:tcPr>
            <w:tcW w:w="2560" w:type="dxa"/>
            <w:vAlign w:val="bottom"/>
          </w:tcPr>
          <w:p>
            <w:pPr>
              <w:jc w:val="center"/>
              <w:ind w:right="351"/>
              <w:spacing w:after="0"/>
              <w:rPr>
                <w:sz w:val="20"/>
                <w:szCs w:val="20"/>
                <w:color w:val="auto"/>
              </w:rPr>
            </w:pPr>
            <w:r>
              <w:rPr>
                <w:rFonts w:ascii="Arial" w:cs="Arial" w:eastAsia="Arial" w:hAnsi="Arial"/>
                <w:sz w:val="18"/>
                <w:szCs w:val="18"/>
                <w:color w:val="auto"/>
                <w:w w:val="90"/>
              </w:rPr>
              <w:t>incorporation or organization)</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Arial" w:cs="Arial" w:eastAsia="Arial" w:hAnsi="Arial"/>
                <w:sz w:val="18"/>
                <w:szCs w:val="18"/>
                <w:color w:val="auto"/>
                <w:w w:val="94"/>
              </w:rPr>
              <w:t>Identification No.)</w:t>
            </w:r>
          </w:p>
        </w:tc>
      </w:tr>
      <w:tr>
        <w:trPr>
          <w:trHeight w:val="488"/>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Arial" w:cs="Arial" w:eastAsia="Arial" w:hAnsi="Arial"/>
                <w:sz w:val="18"/>
                <w:szCs w:val="18"/>
                <w:b w:val="1"/>
                <w:bCs w:val="1"/>
                <w:color w:val="auto"/>
                <w:w w:val="89"/>
              </w:rPr>
              <w:t>6000 Shoreline Court, Suite 300</w:t>
            </w:r>
          </w:p>
        </w:tc>
      </w:tr>
      <w:tr>
        <w:trPr>
          <w:trHeight w:val="219"/>
        </w:trPr>
        <w:tc>
          <w:tcPr>
            <w:tcW w:w="2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120" w:type="dxa"/>
            <w:vAlign w:val="bottom"/>
            <w:gridSpan w:val="2"/>
          </w:tcPr>
          <w:p>
            <w:pPr>
              <w:jc w:val="center"/>
              <w:ind w:right="2431"/>
              <w:spacing w:after="0"/>
              <w:rPr>
                <w:sz w:val="20"/>
                <w:szCs w:val="20"/>
                <w:color w:val="auto"/>
              </w:rPr>
            </w:pPr>
            <w:r>
              <w:rPr>
                <w:rFonts w:ascii="Arial" w:cs="Arial" w:eastAsia="Arial" w:hAnsi="Arial"/>
                <w:sz w:val="18"/>
                <w:szCs w:val="18"/>
                <w:b w:val="1"/>
                <w:bCs w:val="1"/>
                <w:color w:val="auto"/>
                <w:w w:val="89"/>
              </w:rPr>
              <w:t>South San Francisco, California 94080</w:t>
            </w:r>
          </w:p>
        </w:tc>
      </w:tr>
      <w:tr>
        <w:trPr>
          <w:trHeight w:val="224"/>
        </w:trPr>
        <w:tc>
          <w:tcPr>
            <w:tcW w:w="2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120" w:type="dxa"/>
            <w:vAlign w:val="bottom"/>
            <w:gridSpan w:val="2"/>
          </w:tcPr>
          <w:p>
            <w:pPr>
              <w:jc w:val="center"/>
              <w:ind w:right="2411"/>
              <w:spacing w:after="0"/>
              <w:rPr>
                <w:sz w:val="20"/>
                <w:szCs w:val="20"/>
                <w:color w:val="auto"/>
              </w:rPr>
            </w:pPr>
            <w:r>
              <w:rPr>
                <w:rFonts w:ascii="Arial" w:cs="Arial" w:eastAsia="Arial" w:hAnsi="Arial"/>
                <w:sz w:val="18"/>
                <w:szCs w:val="18"/>
                <w:color w:val="auto"/>
                <w:w w:val="90"/>
              </w:rPr>
              <w:t>(Address of principal executive offices, zip code)</w:t>
            </w:r>
          </w:p>
        </w:tc>
      </w:tr>
      <w:tr>
        <w:trPr>
          <w:trHeight w:val="414"/>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Arial" w:cs="Arial" w:eastAsia="Arial" w:hAnsi="Arial"/>
                <w:sz w:val="18"/>
                <w:szCs w:val="18"/>
                <w:b w:val="1"/>
                <w:bCs w:val="1"/>
                <w:color w:val="auto"/>
                <w:w w:val="94"/>
              </w:rPr>
              <w:t>(650) 243-6300</w:t>
            </w:r>
          </w:p>
        </w:tc>
        <w:tc>
          <w:tcPr>
            <w:tcW w:w="2620" w:type="dxa"/>
            <w:vAlign w:val="bottom"/>
          </w:tcPr>
          <w:p>
            <w:pPr>
              <w:spacing w:after="0"/>
              <w:rPr>
                <w:sz w:val="24"/>
                <w:szCs w:val="24"/>
                <w:color w:val="auto"/>
              </w:rPr>
            </w:pPr>
          </w:p>
        </w:tc>
      </w:tr>
      <w:tr>
        <w:trPr>
          <w:trHeight w:val="224"/>
        </w:trPr>
        <w:tc>
          <w:tcPr>
            <w:tcW w:w="2560" w:type="dxa"/>
            <w:vAlign w:val="bottom"/>
          </w:tcPr>
          <w:p>
            <w:pPr>
              <w:spacing w:after="0"/>
              <w:rPr>
                <w:sz w:val="19"/>
                <w:szCs w:val="19"/>
                <w:color w:val="auto"/>
              </w:rPr>
            </w:pPr>
          </w:p>
        </w:tc>
        <w:tc>
          <w:tcPr>
            <w:tcW w:w="6640" w:type="dxa"/>
            <w:vAlign w:val="bottom"/>
            <w:gridSpan w:val="3"/>
          </w:tcPr>
          <w:p>
            <w:pPr>
              <w:jc w:val="center"/>
              <w:ind w:right="1911"/>
              <w:spacing w:after="0"/>
              <w:rPr>
                <w:sz w:val="20"/>
                <w:szCs w:val="20"/>
                <w:color w:val="auto"/>
              </w:rPr>
            </w:pPr>
            <w:r>
              <w:rPr>
                <w:rFonts w:ascii="Arial" w:cs="Arial" w:eastAsia="Arial" w:hAnsi="Arial"/>
                <w:sz w:val="18"/>
                <w:szCs w:val="18"/>
                <w:color w:val="auto"/>
                <w:w w:val="8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177800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3520" w:type="dxa"/>
            <w:vAlign w:val="bottom"/>
          </w:tcPr>
          <w:p>
            <w:pPr>
              <w:spacing w:after="0"/>
              <w:rPr>
                <w:sz w:val="19"/>
                <w:szCs w:val="19"/>
                <w:color w:val="auto"/>
              </w:rPr>
            </w:pPr>
          </w:p>
        </w:tc>
        <w:tc>
          <w:tcPr>
            <w:tcW w:w="4220" w:type="dxa"/>
            <w:vAlign w:val="bottom"/>
            <w:gridSpan w:val="5"/>
          </w:tcPr>
          <w:p>
            <w:pPr>
              <w:ind w:left="120"/>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3500" w:type="dxa"/>
            <w:vAlign w:val="bottom"/>
          </w:tcPr>
          <w:p>
            <w:pPr>
              <w:spacing w:after="0"/>
              <w:rPr>
                <w:sz w:val="19"/>
                <w:szCs w:val="19"/>
                <w:color w:val="auto"/>
              </w:rPr>
            </w:pPr>
          </w:p>
        </w:tc>
      </w:tr>
      <w:tr>
        <w:trPr>
          <w:trHeight w:val="546"/>
        </w:trPr>
        <w:tc>
          <w:tcPr>
            <w:tcW w:w="352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b w:val="1"/>
                <w:bCs w:val="1"/>
                <w:color w:val="auto"/>
                <w:w w:val="86"/>
              </w:rPr>
              <w:t>Title of each class</w:t>
            </w: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Trading Symbol(s)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19"/>
        </w:trPr>
        <w:tc>
          <w:tcPr>
            <w:tcW w:w="3520" w:type="dxa"/>
            <w:vAlign w:val="bottom"/>
          </w:tcPr>
          <w:p>
            <w:pPr>
              <w:jc w:val="center"/>
              <w:ind w:left="71"/>
              <w:spacing w:after="0"/>
              <w:rPr>
                <w:sz w:val="20"/>
                <w:szCs w:val="20"/>
                <w:color w:val="auto"/>
              </w:rPr>
            </w:pPr>
            <w:r>
              <w:rPr>
                <w:rFonts w:ascii="Arial" w:cs="Arial" w:eastAsia="Arial" w:hAnsi="Arial"/>
                <w:sz w:val="18"/>
                <w:szCs w:val="18"/>
                <w:color w:val="auto"/>
                <w:w w:val="88"/>
              </w:rPr>
              <w:t>Common Stock, par value, $0.001 per share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VCYT</w:t>
            </w:r>
          </w:p>
        </w:tc>
        <w:tc>
          <w:tcPr>
            <w:tcW w:w="3500" w:type="dxa"/>
            <w:vAlign w:val="bottom"/>
          </w:tcPr>
          <w:p>
            <w:pPr>
              <w:jc w:val="center"/>
              <w:ind w:right="91"/>
              <w:spacing w:after="0"/>
              <w:rPr>
                <w:sz w:val="20"/>
                <w:szCs w:val="20"/>
                <w:color w:val="auto"/>
              </w:rPr>
            </w:pPr>
            <w:r>
              <w:rPr>
                <w:rFonts w:ascii="Arial" w:cs="Arial" w:eastAsia="Arial" w:hAnsi="Arial"/>
                <w:sz w:val="18"/>
                <w:szCs w:val="18"/>
                <w:color w:val="auto"/>
                <w:w w:val="91"/>
              </w:rPr>
              <w:t>The Nasdaq Stock Market LLC</w:t>
            </w:r>
          </w:p>
        </w:tc>
      </w:tr>
    </w:tbl>
    <w:p>
      <w:pPr>
        <w:spacing w:after="0" w:line="295" w:lineRule="exact"/>
        <w:rPr>
          <w:sz w:val="24"/>
          <w:szCs w:val="24"/>
          <w:color w:val="auto"/>
        </w:rPr>
      </w:pPr>
    </w:p>
    <w:p>
      <w:pPr>
        <w:ind w:right="20" w:firstLine="439"/>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76" w:lineRule="exact"/>
        <w:rPr>
          <w:sz w:val="24"/>
          <w:szCs w:val="24"/>
          <w:color w:val="auto"/>
        </w:rPr>
      </w:pPr>
    </w:p>
    <w:p>
      <w:pPr>
        <w:ind w:right="80" w:firstLine="439"/>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655320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Arial" w:cs="Arial" w:eastAsia="Arial" w:hAnsi="Arial"/>
                <w:sz w:val="18"/>
                <w:szCs w:val="18"/>
                <w:color w:val="auto"/>
                <w:w w:val="89"/>
              </w:rPr>
              <w:t>Large accelerated filer</w:t>
            </w:r>
          </w:p>
        </w:tc>
        <w:tc>
          <w:tcPr>
            <w:tcW w:w="2660" w:type="dxa"/>
            <w:vAlign w:val="bottom"/>
          </w:tcPr>
          <w:p>
            <w:pPr>
              <w:jc w:val="center"/>
              <w:ind w:right="1111"/>
              <w:spacing w:after="0"/>
              <w:rPr>
                <w:sz w:val="20"/>
                <w:szCs w:val="20"/>
                <w:color w:val="auto"/>
              </w:rPr>
            </w:pPr>
            <w:r>
              <w:rPr>
                <w:rFonts w:ascii="Arial" w:cs="Arial" w:eastAsia="Arial" w:hAnsi="Arial"/>
                <w:sz w:val="18"/>
                <w:szCs w:val="18"/>
                <w:color w:val="auto"/>
              </w:rPr>
              <w:t>x</w:t>
            </w:r>
          </w:p>
        </w:tc>
        <w:tc>
          <w:tcPr>
            <w:tcW w:w="4340" w:type="dxa"/>
            <w:vAlign w:val="bottom"/>
          </w:tcPr>
          <w:p>
            <w:pPr>
              <w:jc w:val="center"/>
              <w:ind w:left="1231"/>
              <w:spacing w:after="0"/>
              <w:rPr>
                <w:sz w:val="20"/>
                <w:szCs w:val="20"/>
                <w:color w:val="auto"/>
              </w:rPr>
            </w:pPr>
            <w:r>
              <w:rPr>
                <w:rFonts w:ascii="Arial" w:cs="Arial" w:eastAsia="Arial" w:hAnsi="Arial"/>
                <w:sz w:val="18"/>
                <w:szCs w:val="18"/>
                <w:color w:val="auto"/>
                <w:w w:val="91"/>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Arial" w:cs="Arial" w:eastAsia="Arial" w:hAnsi="Arial"/>
                <w:sz w:val="18"/>
                <w:szCs w:val="18"/>
                <w:color w:val="auto"/>
                <w:w w:val="90"/>
              </w:rPr>
              <w:t>Non-accelerated filer</w:t>
            </w:r>
          </w:p>
        </w:tc>
        <w:tc>
          <w:tcPr>
            <w:tcW w:w="2660" w:type="dxa"/>
            <w:vAlign w:val="bottom"/>
          </w:tcPr>
          <w:p>
            <w:pPr>
              <w:jc w:val="center"/>
              <w:ind w:right="1131"/>
              <w:spacing w:after="0" w:line="181" w:lineRule="exact"/>
              <w:rPr>
                <w:sz w:val="20"/>
                <w:szCs w:val="20"/>
                <w:color w:val="auto"/>
              </w:rPr>
            </w:pPr>
            <w:r>
              <w:rPr>
                <w:rFonts w:ascii="MS PGothic" w:cs="MS PGothic" w:eastAsia="MS PGothic" w:hAnsi="MS PGothic"/>
                <w:sz w:val="18"/>
                <w:szCs w:val="18"/>
                <w:color w:val="auto"/>
                <w:w w:val="88"/>
              </w:rPr>
              <w:t>☐</w:t>
            </w:r>
          </w:p>
        </w:tc>
        <w:tc>
          <w:tcPr>
            <w:tcW w:w="4340" w:type="dxa"/>
            <w:vAlign w:val="bottom"/>
          </w:tcPr>
          <w:p>
            <w:pPr>
              <w:jc w:val="center"/>
              <w:ind w:left="1191"/>
              <w:spacing w:after="0"/>
              <w:rPr>
                <w:sz w:val="20"/>
                <w:szCs w:val="20"/>
                <w:color w:val="auto"/>
              </w:rPr>
            </w:pPr>
            <w:r>
              <w:rPr>
                <w:rFonts w:ascii="Arial" w:cs="Arial" w:eastAsia="Arial" w:hAnsi="Arial"/>
                <w:sz w:val="18"/>
                <w:szCs w:val="18"/>
                <w:color w:val="auto"/>
                <w:w w:val="90"/>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Arial" w:cs="Arial" w:eastAsia="Arial" w:hAnsi="Arial"/>
                <w:sz w:val="18"/>
                <w:szCs w:val="18"/>
                <w:color w:val="auto"/>
                <w:w w:val="90"/>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3" w:lineRule="exact"/>
        <w:rPr>
          <w:sz w:val="20"/>
          <w:szCs w:val="20"/>
          <w:color w:val="auto"/>
        </w:rPr>
      </w:pPr>
    </w:p>
    <w:p>
      <w:pPr>
        <w:ind w:right="280" w:firstLine="359"/>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November 3, 2023, there were 73,039,671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851535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27"/>
          </w:tcPr>
          <w:p>
            <w:pPr>
              <w:spacing w:after="0"/>
              <w:rPr>
                <w:sz w:val="20"/>
                <w:szCs w:val="20"/>
                <w:color w:val="auto"/>
              </w:rPr>
            </w:pPr>
            <w:r>
              <w:rPr>
                <w:rFonts w:ascii="Arial" w:cs="Arial" w:eastAsia="Arial" w:hAnsi="Arial"/>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9"/>
        </w:trPr>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12"/>
          </w:tcPr>
          <w:p>
            <w:pPr>
              <w:jc w:val="center"/>
              <w:ind w:right="1880"/>
              <w:spacing w:after="0"/>
              <w:rPr>
                <w:sz w:val="20"/>
                <w:szCs w:val="20"/>
                <w:color w:val="auto"/>
              </w:rPr>
            </w:pPr>
            <w:r>
              <w:rPr>
                <w:rFonts w:ascii="Arial" w:cs="Arial" w:eastAsia="Arial" w:hAnsi="Arial"/>
                <w:sz w:val="18"/>
                <w:szCs w:val="18"/>
                <w:b w:val="1"/>
                <w:bCs w:val="1"/>
                <w:color w:val="auto"/>
              </w:rPr>
              <w:t>VERACYTE,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8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rPr>
              <w:t>INDEX</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0"/>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3"/>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213"/>
        </w:trPr>
        <w:tc>
          <w:tcPr>
            <w:tcW w:w="1100" w:type="dxa"/>
            <w:vAlign w:val="bottom"/>
          </w:tcPr>
          <w:p>
            <w:pPr>
              <w:spacing w:after="0"/>
              <w:rPr>
                <w:sz w:val="18"/>
                <w:szCs w:val="18"/>
                <w:color w:val="auto"/>
              </w:rPr>
            </w:pPr>
          </w:p>
        </w:tc>
        <w:tc>
          <w:tcPr>
            <w:tcW w:w="7540" w:type="dxa"/>
            <w:vAlign w:val="bottom"/>
            <w:gridSpan w:val="26"/>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5"/>
          </w:tcPr>
          <w:p>
            <w:pPr>
              <w:spacing w:after="0"/>
              <w:rPr>
                <w:sz w:val="20"/>
                <w:szCs w:val="20"/>
                <w:color w:val="auto"/>
              </w:rPr>
            </w:pPr>
            <w:r>
              <w:rPr>
                <w:rFonts w:ascii="Arial" w:cs="Arial" w:eastAsia="Arial" w:hAnsi="Arial"/>
                <w:sz w:val="18"/>
                <w:szCs w:val="18"/>
                <w:color w:val="0000FF"/>
              </w:rPr>
              <w:t>Item 1. Condensed Consolidated Financial Statements (Unaudited)</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24"/>
          </w:tcPr>
          <w:p>
            <w:pPr>
              <w:spacing w:after="0"/>
              <w:rPr>
                <w:sz w:val="20"/>
                <w:szCs w:val="20"/>
                <w:color w:val="auto"/>
              </w:rPr>
            </w:pPr>
            <w:r>
              <w:rPr>
                <w:rFonts w:ascii="Arial" w:cs="Arial" w:eastAsia="Arial" w:hAnsi="Arial"/>
                <w:sz w:val="18"/>
                <w:szCs w:val="18"/>
                <w:color w:val="0000FF"/>
              </w:rPr>
              <w:t>Condensed Consolidated Balance Sheets as of September 30, 2023 and</w:t>
            </w: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6"/>
          </w:tcPr>
          <w:p>
            <w:pPr>
              <w:spacing w:after="0" w:line="140" w:lineRule="exact"/>
              <w:rPr>
                <w:sz w:val="20"/>
                <w:szCs w:val="20"/>
                <w:color w:val="auto"/>
              </w:rPr>
            </w:pPr>
            <w:r>
              <w:rPr>
                <w:rFonts w:ascii="Arial" w:cs="Arial" w:eastAsia="Arial" w:hAnsi="Arial"/>
                <w:sz w:val="16"/>
                <w:szCs w:val="16"/>
                <w:color w:val="0000FF"/>
                <w:w w:val="98"/>
              </w:rPr>
              <w:t>December 31, 2022</w:t>
            </w:r>
          </w:p>
        </w:tc>
        <w:tc>
          <w:tcPr>
            <w:tcW w:w="3640" w:type="dxa"/>
            <w:vAlign w:val="bottom"/>
            <w:tcBorders>
              <w:top w:val="single" w:sz="8" w:color="0000FF"/>
            </w:tcBorders>
            <w:gridSpan w:val="11"/>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Arial" w:cs="Arial" w:eastAsia="Arial" w:hAnsi="Arial"/>
                <w:sz w:val="18"/>
                <w:szCs w:val="18"/>
                <w:color w:val="0000FF"/>
              </w:rPr>
              <w:t>Condensed Consolidated Statements of Operations for the Three and Nine Month</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2"/>
          </w:tcPr>
          <w:p>
            <w:pPr>
              <w:spacing w:after="0" w:line="140" w:lineRule="exact"/>
              <w:rPr>
                <w:sz w:val="20"/>
                <w:szCs w:val="20"/>
                <w:color w:val="auto"/>
              </w:rPr>
            </w:pPr>
            <w:r>
              <w:rPr>
                <w:rFonts w:ascii="Arial" w:cs="Arial" w:eastAsia="Arial" w:hAnsi="Arial"/>
                <w:sz w:val="16"/>
                <w:szCs w:val="16"/>
                <w:color w:val="0000FF"/>
                <w:w w:val="97"/>
              </w:rPr>
              <w:t>Periods Ended September 30, 2023 and 2022</w:t>
            </w:r>
          </w:p>
        </w:tc>
        <w:tc>
          <w:tcPr>
            <w:tcW w:w="258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Arial" w:cs="Arial" w:eastAsia="Arial" w:hAnsi="Arial"/>
                <w:sz w:val="18"/>
                <w:szCs w:val="18"/>
                <w:color w:val="0000FF"/>
              </w:rPr>
              <w:t>Condensed Consolidated Statements of Comprehensive Loss for the Three and Nine</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3"/>
          </w:tcPr>
          <w:p>
            <w:pPr>
              <w:spacing w:after="0" w:line="140" w:lineRule="exact"/>
              <w:rPr>
                <w:sz w:val="20"/>
                <w:szCs w:val="20"/>
                <w:color w:val="auto"/>
              </w:rPr>
            </w:pPr>
            <w:r>
              <w:rPr>
                <w:rFonts w:ascii="Arial" w:cs="Arial" w:eastAsia="Arial" w:hAnsi="Arial"/>
                <w:sz w:val="16"/>
                <w:szCs w:val="16"/>
                <w:color w:val="0000FF"/>
                <w:w w:val="98"/>
              </w:rPr>
              <w:t>Month Periods Ended September 30, 2023 and 2022</w:t>
            </w:r>
          </w:p>
        </w:tc>
        <w:tc>
          <w:tcPr>
            <w:tcW w:w="2260" w:type="dxa"/>
            <w:vAlign w:val="bottom"/>
            <w:tcBorders>
              <w:top w:val="single" w:sz="8" w:color="0000FF"/>
            </w:tcBorders>
            <w:gridSpan w:val="10"/>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Arial" w:cs="Arial" w:eastAsia="Arial" w:hAnsi="Arial"/>
                <w:sz w:val="18"/>
                <w:szCs w:val="18"/>
                <w:color w:val="0000FF"/>
              </w:rPr>
              <w:t>Condensed Consolidated Statements of Stockholders' Equity for the Three and Nine</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3"/>
          </w:tcPr>
          <w:p>
            <w:pPr>
              <w:spacing w:after="0" w:line="140" w:lineRule="exact"/>
              <w:rPr>
                <w:sz w:val="20"/>
                <w:szCs w:val="20"/>
                <w:color w:val="auto"/>
              </w:rPr>
            </w:pPr>
            <w:r>
              <w:rPr>
                <w:rFonts w:ascii="Arial" w:cs="Arial" w:eastAsia="Arial" w:hAnsi="Arial"/>
                <w:sz w:val="16"/>
                <w:szCs w:val="16"/>
                <w:color w:val="0000FF"/>
                <w:w w:val="98"/>
              </w:rPr>
              <w:t>Month Periods Ended September 30, 2023 and 2022</w:t>
            </w:r>
          </w:p>
        </w:tc>
        <w:tc>
          <w:tcPr>
            <w:tcW w:w="2240" w:type="dxa"/>
            <w:vAlign w:val="bottom"/>
            <w:tcBorders>
              <w:top w:val="single" w:sz="8" w:color="0000FF"/>
            </w:tcBorders>
            <w:gridSpan w:val="9"/>
          </w:tcPr>
          <w:p>
            <w:pPr>
              <w:spacing w:after="0"/>
              <w:rPr>
                <w:sz w:val="13"/>
                <w:szCs w:val="13"/>
                <w:color w:val="auto"/>
              </w:rPr>
            </w:pPr>
          </w:p>
        </w:tc>
        <w:tc>
          <w:tcPr>
            <w:tcW w:w="126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Arial" w:cs="Arial" w:eastAsia="Arial" w:hAnsi="Arial"/>
                <w:sz w:val="18"/>
                <w:szCs w:val="18"/>
                <w:color w:val="0000FF"/>
              </w:rPr>
              <w:t>Condensed Consolidated Statements of Cash Flows for the Nine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Borders>
              <w:top w:val="single" w:sz="8" w:color="0000FF"/>
            </w:tcBorders>
            <w:gridSpan w:val="9"/>
          </w:tcPr>
          <w:p>
            <w:pPr>
              <w:spacing w:after="0" w:line="140" w:lineRule="exact"/>
              <w:rPr>
                <w:sz w:val="20"/>
                <w:szCs w:val="20"/>
                <w:color w:val="auto"/>
              </w:rPr>
            </w:pPr>
            <w:r>
              <w:rPr>
                <w:rFonts w:ascii="Arial" w:cs="Arial" w:eastAsia="Arial" w:hAnsi="Arial"/>
                <w:sz w:val="16"/>
                <w:szCs w:val="16"/>
                <w:color w:val="0000FF"/>
                <w:w w:val="97"/>
              </w:rPr>
              <w:t>Ended September 30, 2023 and 2022</w:t>
            </w:r>
          </w:p>
        </w:tc>
        <w:tc>
          <w:tcPr>
            <w:tcW w:w="3040" w:type="dxa"/>
            <w:vAlign w:val="bottom"/>
            <w:tcBorders>
              <w:top w:val="single" w:sz="8" w:color="0000FF"/>
            </w:tcBorders>
            <w:gridSpan w:val="9"/>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Borders>
              <w:lef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700" w:type="dxa"/>
            <w:vAlign w:val="bottom"/>
            <w:gridSpan w:val="2"/>
          </w:tcPr>
          <w:p>
            <w:pPr>
              <w:spacing w:after="0"/>
              <w:rPr>
                <w:sz w:val="2"/>
                <w:szCs w:val="2"/>
                <w:color w:val="auto"/>
              </w:rPr>
            </w:pPr>
          </w:p>
        </w:tc>
        <w:tc>
          <w:tcPr>
            <w:tcW w:w="12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4"/>
          </w:tcPr>
          <w:p>
            <w:pPr>
              <w:spacing w:after="0"/>
              <w:rPr>
                <w:sz w:val="20"/>
                <w:szCs w:val="20"/>
                <w:color w:val="auto"/>
              </w:rPr>
            </w:pPr>
            <w:r>
              <w:rPr>
                <w:rFonts w:ascii="Arial" w:cs="Arial" w:eastAsia="Arial" w:hAnsi="Arial"/>
                <w:sz w:val="18"/>
                <w:szCs w:val="18"/>
                <w:color w:val="0000FF"/>
                <w:w w:val="87"/>
              </w:rPr>
              <w:t>Notes to Condensed Consolidated Financial Statements</w:t>
            </w:r>
          </w:p>
        </w:tc>
        <w:tc>
          <w:tcPr>
            <w:tcW w:w="3280" w:type="dxa"/>
            <w:vAlign w:val="bottom"/>
            <w:gridSpan w:val="10"/>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5"/>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w:t>
            </w:r>
          </w:p>
        </w:tc>
        <w:tc>
          <w:tcPr>
            <w:tcW w:w="1320" w:type="dxa"/>
            <w:vAlign w:val="bottom"/>
            <w:vMerge w:val="restart"/>
          </w:tcPr>
          <w:p>
            <w:pPr>
              <w:spacing w:after="0"/>
              <w:rPr>
                <w:sz w:val="19"/>
                <w:szCs w:val="19"/>
                <w:color w:val="auto"/>
              </w:rPr>
            </w:pPr>
          </w:p>
        </w:tc>
        <w:tc>
          <w:tcPr>
            <w:tcW w:w="2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79"/>
              </w:rPr>
              <w:t>17</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0000FF"/>
            </w:tcBorders>
            <w:gridSpan w:val="3"/>
          </w:tcPr>
          <w:p>
            <w:pPr>
              <w:spacing w:after="0" w:line="140" w:lineRule="exact"/>
              <w:rPr>
                <w:sz w:val="20"/>
                <w:szCs w:val="20"/>
                <w:color w:val="auto"/>
              </w:rPr>
            </w:pPr>
            <w:r>
              <w:rPr>
                <w:rFonts w:ascii="Arial" w:cs="Arial" w:eastAsia="Arial" w:hAnsi="Arial"/>
                <w:sz w:val="16"/>
                <w:szCs w:val="16"/>
                <w:color w:val="0000FF"/>
              </w:rPr>
              <w:t>Operations</w:t>
            </w:r>
          </w:p>
        </w:tc>
        <w:tc>
          <w:tcPr>
            <w:tcW w:w="51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3"/>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gridSpan w:val="6"/>
          </w:tcPr>
          <w:p>
            <w:pPr>
              <w:spacing w:after="0"/>
              <w:rPr>
                <w:sz w:val="2"/>
                <w:szCs w:val="2"/>
                <w:color w:val="auto"/>
              </w:rPr>
            </w:pPr>
          </w:p>
        </w:tc>
        <w:tc>
          <w:tcPr>
            <w:tcW w:w="1260" w:type="dxa"/>
            <w:vAlign w:val="bottom"/>
            <w:gridSpan w:val="5"/>
          </w:tcPr>
          <w:p>
            <w:pPr>
              <w:spacing w:after="0"/>
              <w:rPr>
                <w:sz w:val="2"/>
                <w:szCs w:val="2"/>
                <w:color w:val="auto"/>
              </w:rPr>
            </w:pPr>
          </w:p>
        </w:tc>
        <w:tc>
          <w:tcPr>
            <w:tcW w:w="132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0" w:type="dxa"/>
            <w:vAlign w:val="bottom"/>
            <w:gridSpan w:val="17"/>
          </w:tcPr>
          <w:p>
            <w:pPr>
              <w:spacing w:after="0"/>
              <w:rPr>
                <w:sz w:val="20"/>
                <w:szCs w:val="20"/>
                <w:color w:val="auto"/>
              </w:rPr>
            </w:pPr>
            <w:r>
              <w:rPr>
                <w:rFonts w:ascii="Arial" w:cs="Arial" w:eastAsia="Arial" w:hAnsi="Arial"/>
                <w:sz w:val="18"/>
                <w:szCs w:val="18"/>
                <w:color w:val="0000FF"/>
                <w:w w:val="89"/>
              </w:rPr>
              <w:t>Item 3. Quantitative and Qualitative Disclosures About Market Risk</w:t>
            </w:r>
          </w:p>
        </w:tc>
        <w:tc>
          <w:tcPr>
            <w:tcW w:w="2580" w:type="dxa"/>
            <w:vAlign w:val="bottom"/>
            <w:gridSpan w:val="8"/>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6"/>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0000FF"/>
                <w:w w:val="84"/>
              </w:rPr>
              <w:t>Item 4. Controls and Procedures</w:t>
            </w:r>
          </w:p>
        </w:tc>
        <w:tc>
          <w:tcPr>
            <w:tcW w:w="2560" w:type="dxa"/>
            <w:vAlign w:val="bottom"/>
            <w:gridSpan w:val="8"/>
          </w:tcPr>
          <w:p>
            <w:pPr>
              <w:spacing w:after="0"/>
              <w:rPr>
                <w:sz w:val="21"/>
                <w:szCs w:val="21"/>
                <w:color w:val="auto"/>
              </w:rPr>
            </w:pPr>
          </w:p>
        </w:tc>
        <w:tc>
          <w:tcPr>
            <w:tcW w:w="2580" w:type="dxa"/>
            <w:vAlign w:val="bottom"/>
            <w:gridSpan w:val="8"/>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6"/>
          </w:tcPr>
          <w:p>
            <w:pPr>
              <w:spacing w:after="0"/>
              <w:rPr>
                <w:sz w:val="20"/>
                <w:szCs w:val="20"/>
                <w:color w:val="auto"/>
              </w:rPr>
            </w:pPr>
            <w:r>
              <w:rPr>
                <w:rFonts w:ascii="Arial" w:cs="Arial" w:eastAsia="Arial" w:hAnsi="Arial"/>
                <w:sz w:val="18"/>
                <w:szCs w:val="18"/>
                <w:b w:val="1"/>
                <w:bCs w:val="1"/>
                <w:color w:val="0000FF"/>
              </w:rPr>
              <w:t>PART II. — OTHER INFORMATION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7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Item 1A. Risk Factors</w:t>
            </w:r>
          </w:p>
        </w:tc>
        <w:tc>
          <w:tcPr>
            <w:tcW w:w="4600" w:type="dxa"/>
            <w:vAlign w:val="bottom"/>
            <w:gridSpan w:val="15"/>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gridSpan w:val="25"/>
          </w:tcPr>
          <w:p>
            <w:pPr>
              <w:spacing w:after="0"/>
              <w:rPr>
                <w:sz w:val="20"/>
                <w:szCs w:val="20"/>
                <w:color w:val="auto"/>
              </w:rPr>
            </w:pPr>
            <w:r>
              <w:rPr>
                <w:rFonts w:ascii="Arial" w:cs="Arial" w:eastAsia="Arial" w:hAnsi="Arial"/>
                <w:sz w:val="18"/>
                <w:szCs w:val="18"/>
                <w:color w:val="0000FF"/>
              </w:rPr>
              <w:t>Item 2. Unregistered Sales of Equity Securities Use of Proceeds, and Issuer Purchases</w:t>
            </w:r>
          </w:p>
        </w:tc>
        <w:tc>
          <w:tcPr>
            <w:tcW w:w="1320" w:type="dxa"/>
            <w:vAlign w:val="bottom"/>
            <w:vMerge w:val="restart"/>
          </w:tcPr>
          <w:p>
            <w:pPr>
              <w:spacing w:after="0"/>
              <w:rPr>
                <w:sz w:val="17"/>
                <w:szCs w:val="17"/>
                <w:color w:val="auto"/>
              </w:rPr>
            </w:pPr>
          </w:p>
        </w:tc>
        <w:tc>
          <w:tcPr>
            <w:tcW w:w="2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Borders>
              <w:top w:val="single" w:sz="8" w:color="0000FF"/>
            </w:tcBorders>
            <w:gridSpan w:val="8"/>
          </w:tcPr>
          <w:p>
            <w:pPr>
              <w:spacing w:after="0" w:line="153" w:lineRule="exact"/>
              <w:rPr>
                <w:sz w:val="20"/>
                <w:szCs w:val="20"/>
                <w:color w:val="auto"/>
              </w:rPr>
            </w:pPr>
            <w:r>
              <w:rPr>
                <w:rFonts w:ascii="Arial" w:cs="Arial" w:eastAsia="Arial" w:hAnsi="Arial"/>
                <w:sz w:val="17"/>
                <w:szCs w:val="17"/>
                <w:color w:val="0000FF"/>
              </w:rPr>
              <w:t>of Equity Securities</w:t>
            </w:r>
          </w:p>
        </w:tc>
        <w:tc>
          <w:tcPr>
            <w:tcW w:w="4260" w:type="dxa"/>
            <w:vAlign w:val="bottom"/>
            <w:tcBorders>
              <w:top w:val="single" w:sz="8" w:color="0000FF"/>
            </w:tcBorders>
            <w:gridSpan w:val="14"/>
          </w:tcPr>
          <w:p>
            <w:pPr>
              <w:spacing w:after="0"/>
              <w:rPr>
                <w:sz w:val="13"/>
                <w:szCs w:val="13"/>
                <w:color w:val="auto"/>
              </w:rPr>
            </w:pPr>
          </w:p>
        </w:tc>
        <w:tc>
          <w:tcPr>
            <w:tcW w:w="1320" w:type="dxa"/>
            <w:vAlign w:val="bottom"/>
            <w:gridSpan w:val="3"/>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3"/>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00" w:type="dxa"/>
            <w:vAlign w:val="bottom"/>
            <w:gridSpan w:val="4"/>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580" w:type="dxa"/>
            <w:vAlign w:val="bottom"/>
            <w:gridSpan w:val="14"/>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5"/>
          </w:tcPr>
          <w:p>
            <w:pPr>
              <w:spacing w:after="0"/>
              <w:rPr>
                <w:sz w:val="20"/>
                <w:szCs w:val="20"/>
                <w:color w:val="auto"/>
              </w:rPr>
            </w:pPr>
            <w:r>
              <w:rPr>
                <w:rFonts w:ascii="Arial" w:cs="Arial" w:eastAsia="Arial" w:hAnsi="Arial"/>
                <w:sz w:val="18"/>
                <w:szCs w:val="18"/>
                <w:color w:val="0000FF"/>
              </w:rPr>
              <w:t>Item 3. Defaults Upon Senior Securities</w:t>
            </w: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16"/>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5"/>
          </w:tcPr>
          <w:p>
            <w:pPr>
              <w:spacing w:after="0"/>
              <w:rPr>
                <w:sz w:val="20"/>
                <w:szCs w:val="20"/>
                <w:color w:val="auto"/>
              </w:rPr>
            </w:pPr>
            <w:r>
              <w:rPr>
                <w:rFonts w:ascii="Arial" w:cs="Arial" w:eastAsia="Arial" w:hAnsi="Arial"/>
                <w:sz w:val="18"/>
                <w:szCs w:val="18"/>
                <w:color w:val="0000FF"/>
              </w:rPr>
              <w:t>Item 4. Mine Safety Disclosures</w:t>
            </w: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140" w:type="dxa"/>
            <w:vAlign w:val="bottom"/>
            <w:gridSpan w:val="1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9"/>
          </w:tcPr>
          <w:p>
            <w:pPr>
              <w:spacing w:after="0"/>
              <w:rPr>
                <w:sz w:val="20"/>
                <w:szCs w:val="20"/>
                <w:color w:val="auto"/>
              </w:rPr>
            </w:pPr>
            <w:r>
              <w:rPr>
                <w:rFonts w:ascii="Arial" w:cs="Arial" w:eastAsia="Arial" w:hAnsi="Arial"/>
                <w:sz w:val="18"/>
                <w:szCs w:val="18"/>
                <w:color w:val="0000FF"/>
              </w:rPr>
              <w:t>Item 5. Other Information</w:t>
            </w:r>
          </w:p>
        </w:tc>
        <w:tc>
          <w:tcPr>
            <w:tcW w:w="5140" w:type="dxa"/>
            <w:vAlign w:val="bottom"/>
            <w:gridSpan w:val="1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5580" w:type="dxa"/>
            <w:vAlign w:val="bottom"/>
            <w:gridSpan w:val="1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0000FF"/>
                <w:w w:val="87"/>
              </w:rPr>
              <w:t>Item 6. Exhibits</w:t>
            </w:r>
          </w:p>
        </w:tc>
        <w:tc>
          <w:tcPr>
            <w:tcW w:w="700" w:type="dxa"/>
            <w:vAlign w:val="bottom"/>
            <w:gridSpan w:val="4"/>
          </w:tcPr>
          <w:p>
            <w:pPr>
              <w:spacing w:after="0"/>
              <w:rPr>
                <w:sz w:val="21"/>
                <w:szCs w:val="21"/>
                <w:color w:val="auto"/>
              </w:rPr>
            </w:pPr>
          </w:p>
        </w:tc>
        <w:tc>
          <w:tcPr>
            <w:tcW w:w="5580" w:type="dxa"/>
            <w:vAlign w:val="bottom"/>
            <w:gridSpan w:val="1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80" w:type="dxa"/>
            <w:vAlign w:val="bottom"/>
            <w:gridSpan w:val="2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6"/>
          </w:tcPr>
          <w:p>
            <w:pPr>
              <w:spacing w:after="0"/>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71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05" w:right="1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1"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75"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78"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total revenue and total test volume;</w:t>
      </w:r>
    </w:p>
    <w:p>
      <w:pPr>
        <w:spacing w:after="0" w:line="98" w:lineRule="exact"/>
        <w:rPr>
          <w:rFonts w:ascii="Arial" w:cs="Arial" w:eastAsia="Arial" w:hAnsi="Arial"/>
          <w:sz w:val="18"/>
          <w:szCs w:val="18"/>
          <w:color w:val="auto"/>
        </w:rPr>
      </w:pPr>
    </w:p>
    <w:p>
      <w:pPr>
        <w:ind w:left="640" w:hanging="315"/>
        <w:spacing w:after="0" w:line="23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our future research and development, general and administrative and selling and marketing expenses and our anticipated uses of our funds;</w:t>
      </w:r>
    </w:p>
    <w:p>
      <w:pPr>
        <w:spacing w:after="0" w:line="83" w:lineRule="exact"/>
        <w:rPr>
          <w:rFonts w:ascii="Arial" w:cs="Arial" w:eastAsia="Arial" w:hAnsi="Arial"/>
          <w:sz w:val="18"/>
          <w:szCs w:val="18"/>
          <w:color w:val="auto"/>
        </w:rPr>
      </w:pPr>
    </w:p>
    <w:p>
      <w:pPr>
        <w:jc w:val="both"/>
        <w:ind w:left="640" w:hanging="315"/>
        <w:spacing w:after="0" w:line="23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business, political and macroeconomic conditions, including inflation, rising interest rates, foreign exchange fluctuations, energy and supply chain disruptions, cybersecurity events, regional conflicts around the world and market volatility resulting from the above, on our business;</w:t>
      </w:r>
    </w:p>
    <w:p>
      <w:pPr>
        <w:spacing w:after="0" w:line="83"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the emergence of new variant strains on our business and the U.S. and global economy;</w:t>
      </w:r>
    </w:p>
    <w:p>
      <w:pPr>
        <w:spacing w:after="0" w:line="85"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receive quality reagents from certain single source suppliers;</w:t>
      </w:r>
    </w:p>
    <w:p>
      <w:pPr>
        <w:spacing w:after="0" w:line="98" w:lineRule="exact"/>
        <w:rPr>
          <w:rFonts w:ascii="Arial" w:cs="Arial" w:eastAsia="Arial" w:hAnsi="Arial"/>
          <w:sz w:val="18"/>
          <w:szCs w:val="18"/>
          <w:color w:val="auto"/>
        </w:rPr>
      </w:pPr>
    </w:p>
    <w:p>
      <w:pPr>
        <w:ind w:left="640" w:hanging="315"/>
        <w:spacing w:after="0" w:line="25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successfully integrate HalioDx, Decipher Biosciences, and the assets acquired from NanoString Technologies, Inc. into our business;</w:t>
      </w:r>
    </w:p>
    <w:p>
      <w:pPr>
        <w:spacing w:after="0" w:line="60"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deploy in vitro diagnostic, or IVD, tests successfully on multiple platforms worldwide;</w:t>
      </w:r>
    </w:p>
    <w:p>
      <w:pPr>
        <w:spacing w:after="0" w:line="98"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biopharma partnerships and agreements;</w:t>
      </w:r>
    </w:p>
    <w:p>
      <w:pPr>
        <w:spacing w:after="0" w:line="98"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cash needs and our estimates regarding our capital requirements and profitability;</w:t>
      </w:r>
    </w:p>
    <w:p>
      <w:pPr>
        <w:spacing w:after="0" w:line="85"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Medicare and commercial payer coverage for each of our tests;</w:t>
      </w:r>
    </w:p>
    <w:p>
      <w:pPr>
        <w:spacing w:after="0" w:line="98"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98"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85"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98" w:lineRule="exact"/>
        <w:rPr>
          <w:rFonts w:ascii="Arial" w:cs="Arial" w:eastAsia="Arial" w:hAnsi="Arial"/>
          <w:sz w:val="18"/>
          <w:szCs w:val="18"/>
          <w:color w:val="auto"/>
        </w:rPr>
      </w:pP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51"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Arial" w:cs="Arial" w:eastAsia="Arial" w:hAnsi="Arial"/>
                <w:sz w:val="16"/>
                <w:szCs w:val="16"/>
                <w:b w:val="1"/>
                <w:bCs w:val="1"/>
                <w:color w:val="auto"/>
                <w:w w:val="94"/>
              </w:rPr>
              <w:t>December 31, 2022</w:t>
            </w:r>
          </w:p>
        </w:tc>
        <w:tc>
          <w:tcPr>
            <w:tcW w:w="0" w:type="dxa"/>
            <w:vAlign w:val="bottom"/>
          </w:tcPr>
          <w:p>
            <w:pPr>
              <w:spacing w:after="0"/>
              <w:rPr>
                <w:sz w:val="1"/>
                <w:szCs w:val="1"/>
                <w:color w:val="auto"/>
              </w:rPr>
            </w:pPr>
          </w:p>
        </w:tc>
      </w:tr>
      <w:tr>
        <w:trPr>
          <w:trHeight w:val="206"/>
        </w:trPr>
        <w:tc>
          <w:tcPr>
            <w:tcW w:w="7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(See Note 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154,247</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24,605</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44,021</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Arial" w:cs="Arial" w:eastAsia="Arial" w:hAnsi="Arial"/>
                <w:sz w:val="16"/>
                <w:szCs w:val="16"/>
                <w:color w:val="auto"/>
              </w:rPr>
              <w:t>Supplies and inventory</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14,294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11,469</w:t>
            </w:r>
          </w:p>
        </w:tc>
        <w:tc>
          <w:tcPr>
            <w:tcW w:w="0" w:type="dxa"/>
            <w:vAlign w:val="bottom"/>
          </w:tcPr>
          <w:p>
            <w:pPr>
              <w:spacing w:after="0"/>
              <w:rPr>
                <w:sz w:val="1"/>
                <w:szCs w:val="1"/>
                <w:color w:val="auto"/>
              </w:rPr>
            </w:pPr>
          </w:p>
        </w:tc>
      </w:tr>
      <w:tr>
        <w:trPr>
          <w:trHeight w:val="203"/>
        </w:trPr>
        <w:tc>
          <w:tcPr>
            <w:tcW w:w="73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271,163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248,636</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17,702</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Right-of-use assets, operating leases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13,160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174,866</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693,176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695,891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5,418</w:t>
            </w:r>
          </w:p>
        </w:tc>
        <w:tc>
          <w:tcPr>
            <w:tcW w:w="0" w:type="dxa"/>
            <w:vAlign w:val="bottom"/>
          </w:tcPr>
          <w:p>
            <w:pPr>
              <w:spacing w:after="0"/>
              <w:rPr>
                <w:sz w:val="1"/>
                <w:szCs w:val="1"/>
                <w:color w:val="auto"/>
              </w:rPr>
            </w:pPr>
          </w:p>
        </w:tc>
      </w:tr>
      <w:tr>
        <w:trPr>
          <w:trHeight w:val="234"/>
        </w:trPr>
        <w:tc>
          <w:tcPr>
            <w:tcW w:w="7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1,124,943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1,156,422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12,531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37,774</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Arial" w:cs="Arial" w:eastAsia="Arial" w:hAnsi="Arial"/>
                <w:sz w:val="16"/>
                <w:szCs w:val="16"/>
                <w:color w:val="auto"/>
              </w:rPr>
              <w:t>Current portion of deferred revenue</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acquisition-related contingent consideration</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5,007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4,070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3"/>
        </w:trPr>
        <w:tc>
          <w:tcPr>
            <w:tcW w:w="73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57,260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62,614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Acquisition-related contingent consideration, net of current portion</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10,648</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81,222</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380" w:type="dxa"/>
            <w:vAlign w:val="bottom"/>
          </w:tcPr>
          <w:p>
            <w:pPr>
              <w:ind w:left="180"/>
              <w:spacing w:after="0" w:line="163" w:lineRule="exact"/>
              <w:rPr>
                <w:sz w:val="20"/>
                <w:szCs w:val="20"/>
                <w:color w:val="auto"/>
              </w:rPr>
            </w:pPr>
            <w:r>
              <w:rPr>
                <w:rFonts w:ascii="Arial" w:cs="Arial" w:eastAsia="Arial" w:hAnsi="Arial"/>
                <w:sz w:val="16"/>
                <w:szCs w:val="16"/>
                <w:color w:val="auto"/>
                <w:w w:val="97"/>
              </w:rPr>
              <w:t>Preferred stock, $0.001 par value; 5,000,000 shares authorized, no shares issued and outstanding as of</w:t>
            </w:r>
          </w:p>
        </w:tc>
        <w:tc>
          <w:tcPr>
            <w:tcW w:w="180" w:type="dxa"/>
            <w:vAlign w:val="bottom"/>
          </w:tcPr>
          <w:p>
            <w:pPr>
              <w:spacing w:after="0"/>
              <w:rPr>
                <w:sz w:val="14"/>
                <w:szCs w:val="14"/>
                <w:color w:val="auto"/>
              </w:rPr>
            </w:pPr>
          </w:p>
        </w:tc>
        <w:tc>
          <w:tcPr>
            <w:tcW w:w="1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380" w:type="dxa"/>
            <w:vAlign w:val="bottom"/>
          </w:tcPr>
          <w:p>
            <w:pPr>
              <w:ind w:left="180"/>
              <w:spacing w:after="0"/>
              <w:rPr>
                <w:sz w:val="20"/>
                <w:szCs w:val="20"/>
                <w:color w:val="auto"/>
              </w:rPr>
            </w:pPr>
            <w:r>
              <w:rPr>
                <w:rFonts w:ascii="Arial" w:cs="Arial" w:eastAsia="Arial" w:hAnsi="Arial"/>
                <w:sz w:val="16"/>
                <w:szCs w:val="16"/>
                <w:color w:val="auto"/>
              </w:rPr>
              <w:t>September 30, 2023 and December 31, 2022</w:t>
            </w:r>
          </w:p>
        </w:tc>
        <w:tc>
          <w:tcPr>
            <w:tcW w:w="18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38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89"/>
              </w:rPr>
              <w:t>Common stock, $0.001 par value; 125,000,000 shares authorized, 72,993,670 and 71,959,454 shares issued and</w:t>
            </w: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outstanding as of September 30, 2023 and December 31, 2022, respectively</w:t>
            </w: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1,528,011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1,500,191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(393,717)</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(31,346)</w:t>
            </w:r>
          </w:p>
        </w:tc>
        <w:tc>
          <w:tcPr>
            <w:tcW w:w="0" w:type="dxa"/>
            <w:vAlign w:val="bottom"/>
          </w:tcPr>
          <w:p>
            <w:pPr>
              <w:spacing w:after="0"/>
              <w:rPr>
                <w:sz w:val="1"/>
                <w:szCs w:val="1"/>
                <w:color w:val="auto"/>
              </w:rPr>
            </w:pPr>
          </w:p>
        </w:tc>
      </w:tr>
      <w:tr>
        <w:trPr>
          <w:trHeight w:val="20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1,054,059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1,075,200</w:t>
            </w: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1,124,943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1,156,422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06"/>
        </w:trPr>
        <w:tc>
          <w:tcPr>
            <w:tcW w:w="43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140"/>
              <w:spacing w:after="0"/>
              <w:rPr>
                <w:sz w:val="20"/>
                <w:szCs w:val="20"/>
                <w:color w:val="auto"/>
              </w:rPr>
            </w:pPr>
            <w:r>
              <w:rPr>
                <w:rFonts w:ascii="Arial" w:cs="Arial" w:eastAsia="Arial" w:hAnsi="Arial"/>
                <w:sz w:val="16"/>
                <w:szCs w:val="16"/>
                <w:color w:val="auto"/>
              </w:rPr>
              <w:t>Testing revenue</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82,012</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64,577</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236,157</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180,275</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revenue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Biopharmaceutical and other revenue</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26,563</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216,239</w:t>
            </w: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testing revenue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55,923</w:t>
            </w:r>
          </w:p>
        </w:tc>
        <w:tc>
          <w:tcPr>
            <w:tcW w:w="0" w:type="dxa"/>
            <w:vAlign w:val="bottom"/>
          </w:tcPr>
          <w:p>
            <w:pPr>
              <w:spacing w:after="0"/>
              <w:rPr>
                <w:sz w:val="1"/>
                <w:szCs w:val="1"/>
                <w:color w:val="auto"/>
              </w:rPr>
            </w:pPr>
          </w:p>
        </w:tc>
      </w:tr>
      <w:tr>
        <w:trPr>
          <w:trHeight w:val="210"/>
        </w:trPr>
        <w:tc>
          <w:tcPr>
            <w:tcW w:w="4380" w:type="dxa"/>
            <w:vAlign w:val="bottom"/>
          </w:tcPr>
          <w:p>
            <w:pPr>
              <w:ind w:left="140"/>
              <w:spacing w:after="0"/>
              <w:rPr>
                <w:sz w:val="20"/>
                <w:szCs w:val="20"/>
                <w:color w:val="auto"/>
              </w:rPr>
            </w:pPr>
            <w:r>
              <w:rPr>
                <w:rFonts w:ascii="Arial" w:cs="Arial" w:eastAsia="Arial" w:hAnsi="Arial"/>
                <w:sz w:val="16"/>
                <w:szCs w:val="16"/>
                <w:color w:val="auto"/>
              </w:rPr>
              <w:t>Cost of product revenue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5,202</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biopharmaceutical and other revenue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13,626</w:t>
            </w:r>
          </w:p>
        </w:tc>
        <w:tc>
          <w:tcPr>
            <w:tcW w:w="0" w:type="dxa"/>
            <w:vAlign w:val="bottom"/>
          </w:tcPr>
          <w:p>
            <w:pPr>
              <w:spacing w:after="0"/>
              <w:rPr>
                <w:sz w:val="1"/>
                <w:szCs w:val="1"/>
                <w:color w:val="auto"/>
              </w:rPr>
            </w:pPr>
          </w:p>
        </w:tc>
      </w:tr>
      <w:tr>
        <w:trPr>
          <w:trHeight w:val="210"/>
        </w:trPr>
        <w:tc>
          <w:tcPr>
            <w:tcW w:w="438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38,632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29,316</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and marketing</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73,433</w:t>
            </w:r>
          </w:p>
        </w:tc>
        <w:tc>
          <w:tcPr>
            <w:tcW w:w="0" w:type="dxa"/>
            <w:vAlign w:val="bottom"/>
          </w:tcPr>
          <w:p>
            <w:pPr>
              <w:spacing w:after="0"/>
              <w:rPr>
                <w:sz w:val="1"/>
                <w:szCs w:val="1"/>
                <w:color w:val="auto"/>
              </w:rPr>
            </w:pPr>
          </w:p>
        </w:tc>
      </w:tr>
      <w:tr>
        <w:trPr>
          <w:trHeight w:val="210"/>
        </w:trPr>
        <w:tc>
          <w:tcPr>
            <w:tcW w:w="43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62,434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54,992</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long-lived assets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Intangible asset amortization</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16,090</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251,900</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(31,739)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(50,288)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(35,661)</w:t>
            </w:r>
          </w:p>
        </w:tc>
        <w:tc>
          <w:tcPr>
            <w:tcW w:w="0" w:type="dxa"/>
            <w:vAlign w:val="bottom"/>
          </w:tcPr>
          <w:p>
            <w:pPr>
              <w:spacing w:after="0"/>
              <w:rPr>
                <w:sz w:val="1"/>
                <w:szCs w:val="1"/>
                <w:color w:val="auto"/>
              </w:rPr>
            </w:pPr>
          </w:p>
        </w:tc>
      </w:tr>
      <w:tr>
        <w:trPr>
          <w:trHeight w:val="215"/>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(29,772)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(46,140)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(32,986)</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(32,716)</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common share, basic and diluted</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line="150" w:lineRule="exact"/>
              <w:rPr>
                <w:sz w:val="20"/>
                <w:szCs w:val="20"/>
                <w:color w:val="auto"/>
              </w:rPr>
            </w:pPr>
            <w:r>
              <w:rPr>
                <w:rFonts w:ascii="Arial" w:cs="Arial" w:eastAsia="Arial" w:hAnsi="Arial"/>
                <w:sz w:val="16"/>
                <w:szCs w:val="16"/>
                <w:color w:val="auto"/>
                <w:w w:val="96"/>
              </w:rPr>
              <w:t>Shares used to compute net loss per common share, basic and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72,804,770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71,656,694</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72,488,601</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71,456,008</w:t>
            </w:r>
          </w:p>
        </w:tc>
        <w:tc>
          <w:tcPr>
            <w:tcW w:w="0" w:type="dxa"/>
            <w:vAlign w:val="bottom"/>
          </w:tcPr>
          <w:p>
            <w:pPr>
              <w:spacing w:after="0"/>
              <w:rPr>
                <w:sz w:val="1"/>
                <w:szCs w:val="1"/>
                <w:color w:val="auto"/>
              </w:rPr>
            </w:pPr>
          </w:p>
        </w:tc>
      </w:tr>
      <w:tr>
        <w:trPr>
          <w:trHeight w:val="183"/>
        </w:trPr>
        <w:tc>
          <w:tcPr>
            <w:tcW w:w="4380" w:type="dxa"/>
            <w:vAlign w:val="bottom"/>
          </w:tcPr>
          <w:p>
            <w:pPr>
              <w:ind w:left="100"/>
              <w:spacing w:after="0" w:line="183" w:lineRule="exact"/>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348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06"/>
        </w:trPr>
        <w:tc>
          <w:tcPr>
            <w:tcW w:w="438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2022</w:t>
            </w:r>
          </w:p>
        </w:tc>
      </w:tr>
      <w:tr>
        <w:trPr>
          <w:trHeight w:val="208"/>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(29,618)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(32,716)</w:t>
            </w:r>
          </w:p>
        </w:tc>
      </w:tr>
      <w:tr>
        <w:trPr>
          <w:trHeight w:val="210"/>
        </w:trPr>
        <w:tc>
          <w:tcPr>
            <w:tcW w:w="4380" w:type="dxa"/>
            <w:vAlign w:val="bottom"/>
          </w:tcPr>
          <w:p>
            <w:pPr>
              <w:ind w:left="140"/>
              <w:spacing w:after="0"/>
              <w:rPr>
                <w:sz w:val="20"/>
                <w:szCs w:val="20"/>
                <w:color w:val="auto"/>
              </w:rPr>
            </w:pPr>
            <w:r>
              <w:rPr>
                <w:rFonts w:ascii="Arial" w:cs="Arial" w:eastAsia="Arial" w:hAnsi="Arial"/>
                <w:sz w:val="16"/>
                <w:szCs w:val="16"/>
                <w:color w:val="auto"/>
              </w:rPr>
              <w:t>Other comprehensive income (loss):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4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currency translation adjustments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(38,983)</w:t>
            </w: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color w:val="auto"/>
              </w:rPr>
              <w:t>Net comprehensive loss</w:t>
            </w:r>
          </w:p>
        </w:tc>
        <w:tc>
          <w:tcPr>
            <w:tcW w:w="102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(36,032)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(48,962)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(71,699)</w:t>
            </w:r>
          </w:p>
        </w:tc>
      </w:tr>
      <w:tr>
        <w:trPr>
          <w:trHeight w:val="20"/>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Arial" w:cs="Arial" w:eastAsia="Arial" w:hAnsi="Arial"/>
                <w:sz w:val="16"/>
                <w:szCs w:val="16"/>
                <w:b w:val="1"/>
                <w:bCs w:val="1"/>
                <w:color w:val="auto"/>
                <w:w w:val="93"/>
              </w:rPr>
              <w:t>Paid-in</w:t>
            </w:r>
          </w:p>
        </w:tc>
        <w:tc>
          <w:tcPr>
            <w:tcW w:w="160" w:type="dxa"/>
            <w:vAlign w:val="bottom"/>
          </w:tcPr>
          <w:p>
            <w:pPr>
              <w:spacing w:after="0"/>
              <w:rPr>
                <w:sz w:val="12"/>
                <w:szCs w:val="12"/>
                <w:color w:val="auto"/>
              </w:rPr>
            </w:pPr>
          </w:p>
        </w:tc>
        <w:tc>
          <w:tcPr>
            <w:tcW w:w="1300" w:type="dxa"/>
            <w:vAlign w:val="bottom"/>
            <w:gridSpan w:val="2"/>
          </w:tcPr>
          <w:p>
            <w:pPr>
              <w:ind w:left="80"/>
              <w:spacing w:after="0" w:line="140"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Arial" w:cs="Arial" w:eastAsia="Arial" w:hAnsi="Arial"/>
                <w:sz w:val="16"/>
                <w:szCs w:val="16"/>
                <w:b w:val="1"/>
                <w:bCs w:val="1"/>
                <w:color w:val="auto"/>
                <w:w w:val="87"/>
              </w:rPr>
              <w:t>Stockholders'</w:t>
            </w:r>
          </w:p>
        </w:tc>
        <w:tc>
          <w:tcPr>
            <w:tcW w:w="0" w:type="dxa"/>
            <w:vAlign w:val="bottom"/>
          </w:tcPr>
          <w:p>
            <w:pPr>
              <w:spacing w:after="0"/>
              <w:rPr>
                <w:sz w:val="1"/>
                <w:szCs w:val="1"/>
                <w:color w:val="auto"/>
              </w:rPr>
            </w:pPr>
          </w:p>
        </w:tc>
      </w:tr>
      <w:tr>
        <w:trPr>
          <w:trHeight w:val="204"/>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8"/>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72,643</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1,520,638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1,082,718</w:t>
            </w:r>
          </w:p>
        </w:tc>
        <w:tc>
          <w:tcPr>
            <w:tcW w:w="0" w:type="dxa"/>
            <w:vAlign w:val="bottom"/>
          </w:tcPr>
          <w:p>
            <w:pPr>
              <w:spacing w:after="0"/>
              <w:rPr>
                <w:sz w:val="1"/>
                <w:szCs w:val="1"/>
                <w:color w:val="auto"/>
              </w:rPr>
            </w:pPr>
          </w:p>
        </w:tc>
      </w:tr>
      <w:tr>
        <w:trPr>
          <w:trHeight w:val="163"/>
        </w:trPr>
        <w:tc>
          <w:tcPr>
            <w:tcW w:w="3240" w:type="dxa"/>
            <w:vAlign w:val="bottom"/>
          </w:tcPr>
          <w:p>
            <w:pPr>
              <w:ind w:left="20"/>
              <w:spacing w:after="0" w:line="163" w:lineRule="exact"/>
              <w:rPr>
                <w:sz w:val="20"/>
                <w:szCs w:val="20"/>
                <w:color w:val="auto"/>
              </w:rPr>
            </w:pPr>
            <w:r>
              <w:rPr>
                <w:rFonts w:ascii="Arial" w:cs="Arial" w:eastAsia="Arial" w:hAnsi="Arial"/>
                <w:sz w:val="16"/>
                <w:szCs w:val="16"/>
                <w:color w:val="auto"/>
                <w:w w:val="95"/>
              </w:rPr>
              <w:t>Issuance of common stock on exercise of stock</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07"/>
        </w:trPr>
        <w:tc>
          <w:tcPr>
            <w:tcW w:w="3240" w:type="dxa"/>
            <w:vAlign w:val="bottom"/>
          </w:tcPr>
          <w:p>
            <w:pPr>
              <w:ind w:left="100"/>
              <w:spacing w:after="0"/>
              <w:rPr>
                <w:sz w:val="20"/>
                <w:szCs w:val="20"/>
                <w:color w:val="auto"/>
              </w:rPr>
            </w:pPr>
            <w:r>
              <w:rPr>
                <w:rFonts w:ascii="Arial" w:cs="Arial" w:eastAsia="Arial" w:hAnsi="Arial"/>
                <w:sz w:val="16"/>
                <w:szCs w:val="16"/>
                <w:color w:val="auto"/>
              </w:rPr>
              <w:t>options and vesting of restricted stock units</w:t>
            </w: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(29,618)</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(6,414)</w:t>
            </w:r>
          </w:p>
        </w:tc>
        <w:tc>
          <w:tcPr>
            <w:tcW w:w="0" w:type="dxa"/>
            <w:vAlign w:val="bottom"/>
          </w:tcPr>
          <w:p>
            <w:pPr>
              <w:spacing w:after="0"/>
              <w:rPr>
                <w:sz w:val="1"/>
                <w:szCs w:val="1"/>
                <w:color w:val="auto"/>
              </w:rPr>
            </w:pPr>
          </w:p>
        </w:tc>
      </w:tr>
      <w:tr>
        <w:trPr>
          <w:trHeight w:val="23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(439,828)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1,054,059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1,500,191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1,075,200</w:t>
            </w:r>
          </w:p>
        </w:tc>
        <w:tc>
          <w:tcPr>
            <w:tcW w:w="0" w:type="dxa"/>
            <w:vAlign w:val="bottom"/>
          </w:tcPr>
          <w:p>
            <w:pPr>
              <w:spacing w:after="0"/>
              <w:rPr>
                <w:sz w:val="1"/>
                <w:szCs w:val="1"/>
                <w:color w:val="auto"/>
              </w:rPr>
            </w:pPr>
          </w:p>
        </w:tc>
      </w:tr>
      <w:tr>
        <w:trPr>
          <w:trHeight w:val="163"/>
        </w:trPr>
        <w:tc>
          <w:tcPr>
            <w:tcW w:w="3240" w:type="dxa"/>
            <w:vAlign w:val="bottom"/>
          </w:tcPr>
          <w:p>
            <w:pPr>
              <w:ind w:left="20"/>
              <w:spacing w:after="0" w:line="163" w:lineRule="exact"/>
              <w:rPr>
                <w:sz w:val="20"/>
                <w:szCs w:val="20"/>
                <w:color w:val="auto"/>
              </w:rPr>
            </w:pPr>
            <w:r>
              <w:rPr>
                <w:rFonts w:ascii="Arial" w:cs="Arial" w:eastAsia="Arial" w:hAnsi="Arial"/>
                <w:sz w:val="16"/>
                <w:szCs w:val="16"/>
                <w:color w:val="auto"/>
                <w:w w:val="90"/>
              </w:rPr>
              <w:t>Issuance of common stock upon exercise of stock</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4,652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4,653</w:t>
            </w:r>
          </w:p>
        </w:tc>
        <w:tc>
          <w:tcPr>
            <w:tcW w:w="0" w:type="dxa"/>
            <w:vAlign w:val="bottom"/>
          </w:tcPr>
          <w:p>
            <w:pPr>
              <w:spacing w:after="0"/>
              <w:rPr>
                <w:sz w:val="1"/>
                <w:szCs w:val="1"/>
                <w:color w:val="auto"/>
              </w:rPr>
            </w:pPr>
          </w:p>
        </w:tc>
      </w:tr>
      <w:tr>
        <w:trPr>
          <w:trHeight w:val="207"/>
        </w:trPr>
        <w:tc>
          <w:tcPr>
            <w:tcW w:w="3240" w:type="dxa"/>
            <w:vAlign w:val="bottom"/>
          </w:tcPr>
          <w:p>
            <w:pPr>
              <w:ind w:left="100"/>
              <w:spacing w:after="0"/>
              <w:rPr>
                <w:sz w:val="20"/>
                <w:szCs w:val="20"/>
                <w:color w:val="auto"/>
              </w:rPr>
            </w:pPr>
            <w:r>
              <w:rPr>
                <w:rFonts w:ascii="Arial" w:cs="Arial" w:eastAsia="Arial" w:hAnsi="Arial"/>
                <w:sz w:val="16"/>
                <w:szCs w:val="16"/>
                <w:color w:val="auto"/>
              </w:rPr>
              <w:t>options and vesting of restricted stock units</w:t>
            </w: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(5,614)</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24,337</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(46,111)</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3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(439,828)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1,054,059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Arial" w:cs="Arial" w:eastAsia="Arial" w:hAnsi="Arial"/>
                <w:sz w:val="16"/>
                <w:szCs w:val="16"/>
                <w:b w:val="1"/>
                <w:bCs w:val="1"/>
                <w:color w:val="auto"/>
                <w:w w:val="93"/>
              </w:rPr>
              <w:t>Paid-in</w:t>
            </w:r>
          </w:p>
        </w:tc>
        <w:tc>
          <w:tcPr>
            <w:tcW w:w="160" w:type="dxa"/>
            <w:vAlign w:val="bottom"/>
          </w:tcPr>
          <w:p>
            <w:pPr>
              <w:spacing w:after="0"/>
              <w:rPr>
                <w:sz w:val="12"/>
                <w:szCs w:val="12"/>
                <w:color w:val="auto"/>
              </w:rPr>
            </w:pPr>
          </w:p>
        </w:tc>
        <w:tc>
          <w:tcPr>
            <w:tcW w:w="1280" w:type="dxa"/>
            <w:vAlign w:val="bottom"/>
            <w:gridSpan w:val="2"/>
          </w:tcPr>
          <w:p>
            <w:pPr>
              <w:ind w:left="60"/>
              <w:spacing w:after="0" w:line="140"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Arial" w:cs="Arial" w:eastAsia="Arial" w:hAnsi="Arial"/>
                <w:sz w:val="16"/>
                <w:szCs w:val="16"/>
                <w:b w:val="1"/>
                <w:bCs w:val="1"/>
                <w:color w:val="auto"/>
                <w:w w:val="87"/>
              </w:rPr>
              <w:t>Stockholders'</w:t>
            </w:r>
          </w:p>
        </w:tc>
        <w:tc>
          <w:tcPr>
            <w:tcW w:w="0" w:type="dxa"/>
            <w:vAlign w:val="bottom"/>
          </w:tcPr>
          <w:p>
            <w:pPr>
              <w:spacing w:after="0"/>
              <w:rPr>
                <w:sz w:val="1"/>
                <w:szCs w:val="1"/>
                <w:color w:val="auto"/>
              </w:rPr>
            </w:pPr>
          </w:p>
        </w:tc>
      </w:tr>
      <w:tr>
        <w:trPr>
          <w:trHeight w:val="204"/>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6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8"/>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71,559</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1,483,279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(381,150)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(38,050)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1,064,151</w:t>
            </w:r>
          </w:p>
        </w:tc>
        <w:tc>
          <w:tcPr>
            <w:tcW w:w="0" w:type="dxa"/>
            <w:vAlign w:val="bottom"/>
          </w:tcPr>
          <w:p>
            <w:pPr>
              <w:spacing w:after="0"/>
              <w:rPr>
                <w:sz w:val="1"/>
                <w:szCs w:val="1"/>
                <w:color w:val="auto"/>
              </w:rPr>
            </w:pPr>
          </w:p>
        </w:tc>
      </w:tr>
      <w:tr>
        <w:trPr>
          <w:trHeight w:val="163"/>
        </w:trPr>
        <w:tc>
          <w:tcPr>
            <w:tcW w:w="3220" w:type="dxa"/>
            <w:vAlign w:val="bottom"/>
          </w:tcPr>
          <w:p>
            <w:pPr>
              <w:ind w:left="20"/>
              <w:spacing w:after="0" w:line="163" w:lineRule="exact"/>
              <w:rPr>
                <w:sz w:val="20"/>
                <w:szCs w:val="20"/>
                <w:color w:val="auto"/>
              </w:rPr>
            </w:pPr>
            <w:r>
              <w:rPr>
                <w:rFonts w:ascii="Arial" w:cs="Arial" w:eastAsia="Arial" w:hAnsi="Arial"/>
                <w:sz w:val="16"/>
                <w:szCs w:val="16"/>
                <w:color w:val="auto"/>
                <w:w w:val="94"/>
              </w:rPr>
              <w:t>Issuance of common stock on exercise of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07"/>
        </w:trPr>
        <w:tc>
          <w:tcPr>
            <w:tcW w:w="3220" w:type="dxa"/>
            <w:vAlign w:val="bottom"/>
          </w:tcPr>
          <w:p>
            <w:pPr>
              <w:ind w:left="100"/>
              <w:spacing w:after="0"/>
              <w:rPr>
                <w:sz w:val="20"/>
                <w:szCs w:val="20"/>
                <w:color w:val="auto"/>
              </w:rPr>
            </w:pPr>
            <w:r>
              <w:rPr>
                <w:rFonts w:ascii="Arial" w:cs="Arial" w:eastAsia="Arial" w:hAnsi="Arial"/>
                <w:sz w:val="16"/>
                <w:szCs w:val="16"/>
                <w:color w:val="auto"/>
              </w:rPr>
              <w:t>options and vesting of restricted stock units</w:t>
            </w: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ind w:left="720"/>
              <w:spacing w:after="0"/>
              <w:rPr>
                <w:sz w:val="20"/>
                <w:szCs w:val="20"/>
                <w:color w:val="auto"/>
              </w:rPr>
            </w:pPr>
            <w:r>
              <w:rPr>
                <w:rFonts w:ascii="Arial" w:cs="Arial" w:eastAsia="Arial" w:hAnsi="Arial"/>
                <w:sz w:val="16"/>
                <w:szCs w:val="16"/>
                <w:color w:val="auto"/>
                <w:w w:val="93"/>
              </w:rPr>
              <w:t>(16,016)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(16,016)</w:t>
            </w:r>
          </w:p>
        </w:tc>
        <w:tc>
          <w:tcPr>
            <w:tcW w:w="0" w:type="dxa"/>
            <w:vAlign w:val="bottom"/>
          </w:tcPr>
          <w:p>
            <w:pPr>
              <w:spacing w:after="0"/>
              <w:rPr>
                <w:sz w:val="1"/>
                <w:szCs w:val="1"/>
                <w:color w:val="auto"/>
              </w:rPr>
            </w:pPr>
          </w:p>
        </w:tc>
      </w:tr>
      <w:tr>
        <w:trPr>
          <w:trHeight w:val="234"/>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(54,066)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1,048,177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(15,083)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1,096,514</w:t>
            </w:r>
          </w:p>
        </w:tc>
        <w:tc>
          <w:tcPr>
            <w:tcW w:w="0" w:type="dxa"/>
            <w:vAlign w:val="bottom"/>
          </w:tcPr>
          <w:p>
            <w:pPr>
              <w:spacing w:after="0"/>
              <w:rPr>
                <w:sz w:val="1"/>
                <w:szCs w:val="1"/>
                <w:color w:val="auto"/>
              </w:rPr>
            </w:pPr>
          </w:p>
        </w:tc>
      </w:tr>
      <w:tr>
        <w:trPr>
          <w:trHeight w:val="163"/>
        </w:trPr>
        <w:tc>
          <w:tcPr>
            <w:tcW w:w="3220" w:type="dxa"/>
            <w:vAlign w:val="bottom"/>
          </w:tcPr>
          <w:p>
            <w:pPr>
              <w:ind w:left="20"/>
              <w:spacing w:after="0" w:line="163" w:lineRule="exact"/>
              <w:rPr>
                <w:sz w:val="20"/>
                <w:szCs w:val="20"/>
                <w:color w:val="auto"/>
              </w:rPr>
            </w:pPr>
            <w:r>
              <w:rPr>
                <w:rFonts w:ascii="Arial" w:cs="Arial" w:eastAsia="Arial" w:hAnsi="Arial"/>
                <w:sz w:val="16"/>
                <w:szCs w:val="16"/>
                <w:color w:val="auto"/>
                <w:w w:val="90"/>
              </w:rPr>
              <w:t>Issuance of common stock upon exercise of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2,385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207"/>
        </w:trPr>
        <w:tc>
          <w:tcPr>
            <w:tcW w:w="3220" w:type="dxa"/>
            <w:vAlign w:val="bottom"/>
          </w:tcPr>
          <w:p>
            <w:pPr>
              <w:ind w:left="100"/>
              <w:spacing w:after="0"/>
              <w:rPr>
                <w:sz w:val="20"/>
                <w:szCs w:val="20"/>
                <w:color w:val="auto"/>
              </w:rPr>
            </w:pPr>
            <w:r>
              <w:rPr>
                <w:rFonts w:ascii="Arial" w:cs="Arial" w:eastAsia="Arial" w:hAnsi="Arial"/>
                <w:sz w:val="16"/>
                <w:szCs w:val="16"/>
                <w:color w:val="auto"/>
              </w:rPr>
              <w:t>options and vesting of restricted stock units</w:t>
            </w: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18,459</w:t>
            </w:r>
          </w:p>
        </w:tc>
        <w:tc>
          <w:tcPr>
            <w:tcW w:w="0" w:type="dxa"/>
            <w:vAlign w:val="bottom"/>
          </w:tcPr>
          <w:p>
            <w:pPr>
              <w:spacing w:after="0"/>
              <w:rPr>
                <w:sz w:val="1"/>
                <w:szCs w:val="1"/>
                <w:color w:val="auto"/>
              </w:rPr>
            </w:pPr>
          </w:p>
        </w:tc>
      </w:tr>
      <w:tr>
        <w:trPr>
          <w:trHeight w:val="163"/>
        </w:trPr>
        <w:tc>
          <w:tcPr>
            <w:tcW w:w="3220" w:type="dxa"/>
            <w:vAlign w:val="bottom"/>
          </w:tcPr>
          <w:p>
            <w:pPr>
              <w:ind w:left="20"/>
              <w:spacing w:after="0" w:line="163" w:lineRule="exact"/>
              <w:rPr>
                <w:sz w:val="20"/>
                <w:szCs w:val="20"/>
                <w:color w:val="auto"/>
              </w:rPr>
            </w:pPr>
            <w:r>
              <w:rPr>
                <w:rFonts w:ascii="Arial" w:cs="Arial" w:eastAsia="Arial" w:hAnsi="Arial"/>
                <w:sz w:val="16"/>
                <w:szCs w:val="16"/>
                <w:color w:val="auto"/>
              </w:rPr>
              <w:t>Stock-based compensation expense (non-</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7"/>
        </w:trPr>
        <w:tc>
          <w:tcPr>
            <w:tcW w:w="3220" w:type="dxa"/>
            <w:vAlign w:val="bottom"/>
          </w:tcPr>
          <w:p>
            <w:pPr>
              <w:ind w:left="100"/>
              <w:spacing w:after="0"/>
              <w:rPr>
                <w:sz w:val="20"/>
                <w:szCs w:val="20"/>
                <w:color w:val="auto"/>
              </w:rPr>
            </w:pPr>
            <w:r>
              <w:rPr>
                <w:rFonts w:ascii="Arial" w:cs="Arial" w:eastAsia="Arial" w:hAnsi="Arial"/>
                <w:sz w:val="16"/>
                <w:szCs w:val="16"/>
                <w:color w:val="auto"/>
              </w:rPr>
              <w:t>employee)</w:t>
            </w:r>
          </w:p>
        </w:tc>
        <w:tc>
          <w:tcPr>
            <w:tcW w:w="12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(32,716)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(32,716)</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(38,983)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(38,983)</w:t>
            </w: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Arial" w:cs="Arial" w:eastAsia="Arial" w:hAnsi="Arial"/>
                <w:sz w:val="16"/>
                <w:szCs w:val="16"/>
                <w:color w:val="auto"/>
              </w:rPr>
              <w:t>Balance at September 30,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71,742</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72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1,492,044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(389,873)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w w:val="93"/>
              </w:rPr>
              <w:t>(54,066)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1,048,177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gridSpan w:val="4"/>
          </w:tcPr>
          <w:p>
            <w:pPr>
              <w:jc w:val="right"/>
              <w:ind w:right="78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(46,111)</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(32,716)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20,852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19,372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property, plant and equipment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25,629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19,867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Arial" w:cs="Arial" w:eastAsia="Arial" w:hAnsi="Arial"/>
                <w:sz w:val="14"/>
                <w:szCs w:val="14"/>
                <w:color w:val="auto"/>
              </w:rPr>
              <w:t>Interest on end-of-term debt obligation</w:t>
            </w:r>
          </w:p>
        </w:tc>
        <w:tc>
          <w:tcPr>
            <w:tcW w:w="2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lease expense</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Arial" w:cs="Arial" w:eastAsia="Arial" w:hAnsi="Arial"/>
                <w:sz w:val="14"/>
                <w:szCs w:val="14"/>
                <w:color w:val="auto"/>
              </w:rPr>
              <w:t>Revaluation of acquisition-related contingent consideration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Effect of foreign currency on operations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Arial" w:cs="Arial" w:eastAsia="Arial" w:hAnsi="Arial"/>
                <w:sz w:val="14"/>
                <w:szCs w:val="14"/>
                <w:color w:val="auto"/>
              </w:rPr>
              <w:t>Impairment loss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36,310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3,318</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4,650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(4,356)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Supplies and inventory</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(1,578)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(3,225)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Accrued liabilities and deferred revenue</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28,670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short-term investments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(8,972)</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Arial" w:cs="Arial" w:eastAsia="Arial" w:hAnsi="Arial"/>
                <w:sz w:val="14"/>
                <w:szCs w:val="14"/>
                <w:color w:val="auto"/>
              </w:rPr>
              <w:t>Proceeds from sale of short-term investments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39,773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maturity of short-term investments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12,696</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(6,677)</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(2,953)</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long-term debt</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Arial" w:cs="Arial" w:eastAsia="Arial" w:hAnsi="Arial"/>
                <w:sz w:val="14"/>
                <w:szCs w:val="14"/>
                <w:color w:val="auto"/>
              </w:rPr>
              <w:t>Payment of taxes on vested restricted stock units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(5,614)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common stock options and employee stock purchases</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3,401</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Increase (decrease) in cash, cash equivalents and restricted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Effect of foreign currency on cash, cash equivalents and restricted cash</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154,996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173,946</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170,861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Supplementary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20" w:type="dxa"/>
            <w:vAlign w:val="bottom"/>
          </w:tcPr>
          <w:p>
            <w:pPr>
              <w:spacing w:after="0"/>
              <w:rPr>
                <w:sz w:val="12"/>
                <w:szCs w:val="12"/>
                <w:color w:val="auto"/>
              </w:rPr>
            </w:pPr>
          </w:p>
        </w:tc>
        <w:tc>
          <w:tcPr>
            <w:tcW w:w="7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 included in accounts payable and accrued liability</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Arial" w:cs="Arial" w:eastAsia="Arial" w:hAnsi="Arial"/>
                <w:sz w:val="14"/>
                <w:szCs w:val="14"/>
                <w:color w:val="auto"/>
              </w:rPr>
              <w:t>Cash paid for tax</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314"/>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Cash, Cash Equivalents and Restricted Cash</w:t>
            </w: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202,463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154,247</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154,996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 and Summary of Significant Accounting Policies</w:t>
      </w:r>
    </w:p>
    <w:p>
      <w:pPr>
        <w:spacing w:after="0" w:line="224"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Veracyte, Inc., or Veracyte, or the Company, is a global diagnostics company that empowers clinicians with the high-value insights they need to guide and assure patients at pivotal moments in the race to diagnose and treat cancer. Veracyte's high-performing tests enable clinicians to make more confident diagnostic, prognostic and treatment decisions, helping patients avoid unnecessary procedures and interventions, and speed time to appropriate treatment, thereby improving outcomes for patients all over the world.</w:t>
      </w:r>
    </w:p>
    <w:p>
      <w:pPr>
        <w:spacing w:after="0" w:line="218"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Veracyte was incorporated in the state of Delaware on August 15, 2006, as Calderome, Inc. Calderome operated as an incubator until early 2008. On March 4, 2008, the Company changed its name to Veracyte, Inc. The Company’s headquarters are in South San Francisco, California, and it also has operations in San Diego, California; Austin, Texas; and Marseille, France.</w:t>
      </w:r>
    </w:p>
    <w:p>
      <w:pPr>
        <w:spacing w:after="0" w:line="215"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Company currently offers tests in thyroid cancer (Afirma); prostate cancer (Decipher Prostate); breast cancer (Prosigna); interstitial lung diseases (Envisia); and bladder cancer (Decipher Bladder). The Company’s Percepta Nasal Swab test is being run in its CLIA lab in support of clinical studies and its tests for kidney cancer and lymphoma are in development, the latter as a companion diagnostic.</w:t>
      </w:r>
    </w:p>
    <w:p>
      <w:pPr>
        <w:spacing w:after="0" w:line="215"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The Company serves global markets with two complementary models. In the United States, it offers laboratory developed tests, or LDTs, through its centralized, Clinical Laboratory Improvement Amendments of 1988, or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IVD test that runs on the nCounter Analysis System. The Company expects to launch its Prosigna test on a next-generation sequencing platform in the future.</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8" w:lineRule="exact"/>
        <w:rPr>
          <w:sz w:val="20"/>
          <w:szCs w:val="20"/>
          <w:color w:val="auto"/>
        </w:rPr>
      </w:pPr>
    </w:p>
    <w:p>
      <w:pPr>
        <w:jc w:val="both"/>
        <w:ind w:firstLine="319"/>
        <w:spacing w:after="0" w:line="327" w:lineRule="auto"/>
        <w:rPr>
          <w:sz w:val="20"/>
          <w:szCs w:val="20"/>
          <w:color w:val="auto"/>
        </w:rPr>
      </w:pPr>
      <w:r>
        <w:rPr>
          <w:rFonts w:ascii="Arial" w:cs="Arial" w:eastAsia="Arial" w:hAnsi="Arial"/>
          <w:sz w:val="14"/>
          <w:szCs w:val="14"/>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September 30, 2023, the condensed consolidated statements of operations for the three and nine months ended September 30, 2023 and 2022, the condensed consolidated statements of comprehensive loss for the three and nine months ended September 30, 2023 and 2022, the condensed consolidated statements of stockholders' equity for the three and nine months ended September 30, 2023 and 2022, and the condensed consolidated statements of cash flows for the nine months ended September 30, 2023 and 2022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2022 has been derived from audited financial statements. The results for the three and nine months ended September 30, 2023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35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nine months ended September 30, 2022, the Company reclassified $3.3 million of impairment of long-term assets from the general and administrative caption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8"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1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 supplies, goodwill and intangibles may be adversely affected. The Company considers the effects, to the extent knowable, of the COVID-19 pandemic in developing its estimates.</w:t>
      </w:r>
    </w:p>
    <w:p>
      <w:pPr>
        <w:spacing w:after="0" w:line="19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majority of the Company’s cash and cash equivalents are deposited with two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89"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Several of the components of the Company’s sample collection kits and test reagents, and the nCounter system and related diagnostic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9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Through September 30, 2023, the Company has derived most of its revenue from the sale of Decipher and Afirma testing. To date, Decipher and Afirma testing have been delivered primarily to physicians in the United States.</w:t>
      </w:r>
    </w:p>
    <w:p>
      <w:pPr>
        <w:spacing w:after="0" w:line="20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September 30, 2023.</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Company’s third-party payers and other customers in excess of 10% of total revenue and their related revenue as a percentage of total revenue were as follows: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12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06"/>
        </w:trPr>
        <w:tc>
          <w:tcPr>
            <w:tcW w:w="4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r>
      <w:tr>
        <w:trPr>
          <w:trHeight w:val="208"/>
        </w:trPr>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Medicare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0"/>
        </w:trPr>
        <w:tc>
          <w:tcPr>
            <w:tcW w:w="5280" w:type="dxa"/>
            <w:vAlign w:val="bottom"/>
            <w:gridSpan w:val="2"/>
          </w:tcPr>
          <w:p>
            <w:pPr>
              <w:spacing w:after="0"/>
              <w:rPr>
                <w:sz w:val="20"/>
                <w:szCs w:val="20"/>
                <w:color w:val="auto"/>
              </w:rPr>
            </w:pPr>
            <w:r>
              <w:rPr>
                <w:rFonts w:ascii="Arial" w:cs="Arial" w:eastAsia="Arial" w:hAnsi="Arial"/>
                <w:sz w:val="16"/>
                <w:szCs w:val="16"/>
                <w:color w:val="auto"/>
              </w:rPr>
              <w:t>UnitedHealthcare</w:t>
            </w:r>
          </w:p>
        </w:tc>
        <w:tc>
          <w:tcPr>
            <w:tcW w:w="52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31"/>
        </w:trPr>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6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Arial" w:cs="Arial" w:eastAsia="Arial" w:hAnsi="Arial"/>
                <w:sz w:val="16"/>
                <w:szCs w:val="16"/>
                <w:b w:val="1"/>
                <w:bCs w:val="1"/>
                <w:color w:val="auto"/>
              </w:rPr>
              <w:t>September 30, 2023</w:t>
            </w:r>
          </w:p>
        </w:tc>
        <w:tc>
          <w:tcPr>
            <w:tcW w:w="1960" w:type="dxa"/>
            <w:vAlign w:val="bottom"/>
          </w:tcPr>
          <w:p>
            <w:pPr>
              <w:jc w:val="right"/>
              <w:ind w:right="260"/>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Medicare</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8"/>
        </w:trPr>
        <w:tc>
          <w:tcPr>
            <w:tcW w:w="7160" w:type="dxa"/>
            <w:vAlign w:val="bottom"/>
          </w:tcPr>
          <w:p>
            <w:pPr>
              <w:ind w:left="20"/>
              <w:spacing w:after="0"/>
              <w:rPr>
                <w:sz w:val="20"/>
                <w:szCs w:val="20"/>
                <w:color w:val="auto"/>
              </w:rPr>
            </w:pPr>
            <w:r>
              <w:rPr>
                <w:rFonts w:ascii="Arial" w:cs="Arial" w:eastAsia="Arial" w:hAnsi="Arial"/>
                <w:sz w:val="16"/>
                <w:szCs w:val="16"/>
                <w:color w:val="auto"/>
              </w:rPr>
              <w:t>UnitedHealthcare</w:t>
            </w:r>
          </w:p>
        </w:tc>
        <w:tc>
          <w:tcPr>
            <w:tcW w:w="196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10 %</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considers demand deposits in a bank, money market funds and highly liquid investments with an original maturity of 90 days or less to be cash equivalents.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18" w:lineRule="exact"/>
        <w:rPr>
          <w:sz w:val="20"/>
          <w:szCs w:val="20"/>
          <w:color w:val="auto"/>
        </w:rPr>
      </w:pPr>
    </w:p>
    <w:p>
      <w:pPr>
        <w:jc w:val="both"/>
        <w:ind w:firstLine="319"/>
        <w:spacing w:after="0" w:line="335" w:lineRule="auto"/>
        <w:rPr>
          <w:sz w:val="20"/>
          <w:szCs w:val="20"/>
          <w:color w:val="auto"/>
        </w:rPr>
      </w:pPr>
      <w:r>
        <w:rPr>
          <w:rFonts w:ascii="Arial" w:cs="Arial" w:eastAsia="Arial" w:hAnsi="Arial"/>
          <w:sz w:val="14"/>
          <w:szCs w:val="14"/>
          <w:color w:val="auto"/>
        </w:rPr>
        <w:t>The Company's short-term investments consist of U.S. treasury securities with maturities at the time of purchase that were between 90 days and one year. The Company classifies these investments as held-to-maturity debt securities, which are reported at amortized cost. The amortization of discounts or premiums from the purchase of the securities are recognized as a component of interest income in other income (loss), net in the condensed consolidated statements of operations. Investments are initially recorded net of an allowance for expected credit losses, if any, which are remeasured each period and any impairments are recognized as an expense. Unrealized gains and losses are not recognized in income. As of both September 30, 2023 and December 31, 2022, no allowances for expected credit losses had been recorded and there have been no impairment or credit losses on the Company's short term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8" w:lineRule="exact"/>
        <w:rPr>
          <w:sz w:val="20"/>
          <w:szCs w:val="20"/>
          <w:color w:val="auto"/>
        </w:rPr>
      </w:pPr>
    </w:p>
    <w:p>
      <w:pPr>
        <w:jc w:val="both"/>
        <w:ind w:right="20" w:firstLine="319"/>
        <w:spacing w:after="0" w:line="329" w:lineRule="auto"/>
        <w:rPr>
          <w:sz w:val="20"/>
          <w:szCs w:val="20"/>
          <w:color w:val="auto"/>
        </w:rPr>
      </w:pPr>
      <w:r>
        <w:rPr>
          <w:rFonts w:ascii="Arial" w:cs="Arial" w:eastAsia="Arial" w:hAnsi="Arial"/>
          <w:sz w:val="16"/>
          <w:szCs w:val="16"/>
          <w:color w:val="auto"/>
        </w:rPr>
        <w:t>The Company had deposits of $0.9 million and $0.7 million included in long-term assets as of September 30, 2023 and December 31, 2022, respectively, restricted from withdrawal and held by banks in the form of collateral for irrevocable standby letters of credit held as security for the Company's 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8"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 xml:space="preserve">The Company recognizes revenue in accordance with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06"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Testing Revenue</w:t>
      </w:r>
    </w:p>
    <w:p>
      <w:pPr>
        <w:spacing w:after="0" w:line="251"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Company bills for testing services at the time of test completion as defined by the delivery of test results. The Company recognizes revenue based on estimates of the amount that will ultimately be realized. In determining the amount to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Revenue</w:t>
      </w:r>
    </w:p>
    <w:p>
      <w:pPr>
        <w:spacing w:after="0" w:line="238"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The Company's products consist of the Prosigna breast cancer assay, the nCounter Analysis System, related diagnostic kits, and services. Product revenue from diagnostic kits is generally recognized upon shipment. Product revenue from instruments is generally recognized when the instrument is ready for use by the end customer. Shipping and handling costs incurred for product shipments are included in product revenue. Revenue is presented net of the taxes that are collected from customers and remitted to governmental authorities.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Biopharmaceutical and Other Revenue</w:t>
      </w:r>
    </w:p>
    <w:p>
      <w:pPr>
        <w:spacing w:after="0" w:line="251" w:lineRule="exact"/>
        <w:rPr>
          <w:sz w:val="20"/>
          <w:szCs w:val="20"/>
          <w:color w:val="auto"/>
        </w:rPr>
      </w:pPr>
    </w:p>
    <w:p>
      <w:pPr>
        <w:jc w:val="both"/>
        <w:ind w:firstLine="399"/>
        <w:spacing w:after="0" w:line="263" w:lineRule="auto"/>
        <w:rPr>
          <w:sz w:val="20"/>
          <w:szCs w:val="20"/>
          <w:color w:val="auto"/>
        </w:rPr>
      </w:pPr>
      <w:r>
        <w:rPr>
          <w:rFonts w:ascii="Arial" w:cs="Arial" w:eastAsia="Arial" w:hAnsi="Arial"/>
          <w:sz w:val="17"/>
          <w:szCs w:val="17"/>
          <w:color w:val="auto"/>
        </w:rPr>
        <w:t>The Company enters into arrangements to license or provide access to its assets or services, including clinical services, research and development, contract manufacturing and development, as well as other services, which are classified under biopharmaceutical and other revenue. In prior years the Company also entered into arrangements for testing services. Such arrangements may require the Company to deliver various rights, manufactured diagnostic test kits, services and/or samples, including intellectual property rights/licenses and biopharmaceutical research and development services. The Company receives consideration in the form of upfront license fees; payments on delivery of data, test results or manufactured products; costs of service plus margin; and development and commercial performance milestone payments.</w:t>
      </w:r>
    </w:p>
    <w:p>
      <w:pPr>
        <w:spacing w:after="0" w:line="2" w:lineRule="exact"/>
        <w:rPr>
          <w:sz w:val="20"/>
          <w:szCs w:val="20"/>
          <w:color w:val="auto"/>
        </w:rPr>
      </w:pPr>
    </w:p>
    <w:p>
      <w:pPr>
        <w:jc w:val="both"/>
        <w:ind w:firstLine="399"/>
        <w:spacing w:after="0" w:line="263" w:lineRule="auto"/>
        <w:rPr>
          <w:sz w:val="20"/>
          <w:szCs w:val="20"/>
          <w:color w:val="auto"/>
        </w:rPr>
      </w:pPr>
      <w:r>
        <w:rPr>
          <w:rFonts w:ascii="Arial" w:cs="Arial" w:eastAsia="Arial" w:hAnsi="Arial"/>
          <w:sz w:val="17"/>
          <w:szCs w:val="17"/>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5"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or ASC 808. These milestone payments are recognized in the same manner as milestone payments from customers and are classified under biopharmaceutical and other revenue.</w:t>
      </w:r>
    </w:p>
    <w:p>
      <w:pPr>
        <w:spacing w:after="0" w:line="195"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Accounts receivable from biopharmaceutical and other revenue was $6.5 million at September 30, 2023 and $9.3 million at December 31, 2022. There was $2.2 million and $2.6 million of deferred revenue related to these agreements at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and December 31, 2022, respectively. Revenue included in biopharmaceutical and other revenue for the three and nine months ended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was as follows (in thousands of dollars):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6"/>
                <w:szCs w:val="16"/>
                <w:b w:val="1"/>
                <w:bCs w:val="1"/>
                <w:color w:val="auto"/>
              </w:rPr>
              <w:t>Nine Months Ended September 30,</w:t>
            </w:r>
          </w:p>
        </w:tc>
      </w:tr>
      <w:tr>
        <w:trPr>
          <w:trHeight w:val="206"/>
        </w:trPr>
        <w:tc>
          <w:tcPr>
            <w:tcW w:w="43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2022</w:t>
            </w:r>
          </w:p>
        </w:tc>
      </w:tr>
      <w:tr>
        <w:trPr>
          <w:trHeight w:val="208"/>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Biopharmaceutical revenue</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6,368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20,820</w:t>
            </w:r>
          </w:p>
        </w:tc>
      </w:tr>
      <w:tr>
        <w:trPr>
          <w:trHeight w:val="210"/>
        </w:trPr>
        <w:tc>
          <w:tcPr>
            <w:tcW w:w="4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Contract manufacturing and testing</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1,333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5,743</w:t>
            </w:r>
          </w:p>
        </w:tc>
      </w:tr>
      <w:tr>
        <w:trPr>
          <w:trHeight w:val="234"/>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7,701</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Testing Revenue</w:t>
      </w:r>
    </w:p>
    <w:p>
      <w:pPr>
        <w:spacing w:after="0" w:line="218"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18"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 xml:space="preserve">Cost of product revenue consists primarily of costs of purchasing instruments and diagnostic kits from </w:t>
      </w:r>
      <w:r>
        <w:rPr>
          <w:rFonts w:ascii="Arial" w:cs="Arial" w:eastAsia="Arial" w:hAnsi="Arial"/>
          <w:sz w:val="18"/>
          <w:szCs w:val="18"/>
          <w:i w:val="1"/>
          <w:iCs w:val="1"/>
          <w:color w:val="auto"/>
        </w:rPr>
        <w:t>third</w:t>
      </w:r>
      <w:r>
        <w:rPr>
          <w:rFonts w:ascii="Arial" w:cs="Arial" w:eastAsia="Arial" w:hAnsi="Arial"/>
          <w:sz w:val="18"/>
          <w:szCs w:val="18"/>
          <w:color w:val="auto"/>
        </w:rPr>
        <w:t>-party contract manufacturers, installation, service and packaging and delivery costs, and the Company's internal labor expenses. In addition, cost of product includes royalty costs for licensed technologies included in the Company’s products. Cost of product revenue for instruments and diagnostic kits is recognized in the period the related revenue is recognized. Shipping and handling costs incurred for product shipments are included in cost of product in the condensed consolidated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Biopharmaceutical and Other Revenue</w:t>
      </w:r>
    </w:p>
    <w:p>
      <w:pPr>
        <w:spacing w:after="0" w:line="205" w:lineRule="exact"/>
        <w:rPr>
          <w:sz w:val="20"/>
          <w:szCs w:val="20"/>
          <w:color w:val="auto"/>
        </w:rPr>
      </w:pPr>
    </w:p>
    <w:p>
      <w:pPr>
        <w:jc w:val="both"/>
        <w:ind w:right="480" w:firstLine="399"/>
        <w:spacing w:after="0" w:line="241" w:lineRule="auto"/>
        <w:rPr>
          <w:sz w:val="20"/>
          <w:szCs w:val="20"/>
          <w:color w:val="auto"/>
        </w:rPr>
      </w:pPr>
      <w:r>
        <w:rPr>
          <w:rFonts w:ascii="Arial" w:cs="Arial" w:eastAsia="Arial" w:hAnsi="Arial"/>
          <w:sz w:val="18"/>
          <w:szCs w:val="18"/>
          <w:color w:val="auto"/>
        </w:rPr>
        <w:t>Cost of biopharmaceutical and other revenue consists of costs of performing activities under arrangements that require the Company to license or provide access to its assets or services, including clinical services, research and development, contract manufacturing and development, as well as other services.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Liability</w:t>
      </w:r>
    </w:p>
    <w:p>
      <w:pPr>
        <w:spacing w:after="0" w:line="245" w:lineRule="exact"/>
        <w:rPr>
          <w:sz w:val="20"/>
          <w:szCs w:val="20"/>
          <w:color w:val="auto"/>
        </w:rPr>
      </w:pPr>
    </w:p>
    <w:p>
      <w:pPr>
        <w:jc w:val="both"/>
        <w:ind w:firstLine="399"/>
        <w:spacing w:after="0" w:line="329" w:lineRule="auto"/>
        <w:rPr>
          <w:sz w:val="20"/>
          <w:szCs w:val="20"/>
          <w:color w:val="auto"/>
        </w:rPr>
      </w:pPr>
      <w:r>
        <w:rPr>
          <w:rFonts w:ascii="Arial" w:cs="Arial" w:eastAsia="Arial" w:hAnsi="Arial"/>
          <w:sz w:val="16"/>
          <w:szCs w:val="16"/>
          <w:color w:val="auto"/>
        </w:rPr>
        <w:t>The Company offers a defined benefit pension plan to certain non-U.S. employees of its Veracyte SAS subsidiary. As of both September 30, 2023 and December 31, 2022, the total pension obligation was $0.7 million and is included in other liabilities on the condensed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8"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requires entities to recognize and measure contract assets and contract liabilities acquired in a business combination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adopted this guidance in 2023 and such adoption had no material impact on its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4"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outstanding common stock equivalents have been excluded from diluted net loss per common share because their inclusion would be anti-dilutive: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20" w:type="dxa"/>
            <w:vAlign w:val="bottom"/>
          </w:tcPr>
          <w:p>
            <w:pPr>
              <w:spacing w:after="0"/>
              <w:rPr>
                <w:sz w:val="18"/>
                <w:szCs w:val="18"/>
                <w:color w:val="auto"/>
              </w:rPr>
            </w:pPr>
          </w:p>
        </w:tc>
        <w:tc>
          <w:tcPr>
            <w:tcW w:w="342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Three Months Ended September 30,</w:t>
            </w:r>
          </w:p>
        </w:tc>
        <w:tc>
          <w:tcPr>
            <w:tcW w:w="33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Nine Months Ended September 30,</w:t>
            </w:r>
          </w:p>
        </w:tc>
      </w:tr>
      <w:tr>
        <w:trPr>
          <w:trHeight w:val="206"/>
        </w:trPr>
        <w:tc>
          <w:tcPr>
            <w:tcW w:w="452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2022</w:t>
            </w:r>
          </w:p>
        </w:tc>
      </w:tr>
      <w:tr>
        <w:trPr>
          <w:trHeight w:val="20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of common stock subject to outstanding options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3,812,208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4,043,274</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3,850,675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3,902,116</w:t>
            </w:r>
          </w:p>
        </w:tc>
      </w:tr>
      <w:tr>
        <w:trPr>
          <w:trHeight w:val="210"/>
        </w:trPr>
        <w:tc>
          <w:tcPr>
            <w:tcW w:w="452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600" w:type="dxa"/>
            <w:vAlign w:val="bottom"/>
          </w:tcPr>
          <w:p>
            <w:pPr>
              <w:jc w:val="right"/>
              <w:spacing w:after="0"/>
              <w:rPr>
                <w:sz w:val="20"/>
                <w:szCs w:val="20"/>
                <w:color w:val="auto"/>
              </w:rPr>
            </w:pPr>
            <w:r>
              <w:rPr>
                <w:rFonts w:ascii="Arial" w:cs="Arial" w:eastAsia="Arial" w:hAnsi="Arial"/>
                <w:sz w:val="16"/>
                <w:szCs w:val="16"/>
                <w:color w:val="auto"/>
              </w:rPr>
              <w:t>31,947</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39,177</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33,455</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40,094</w:t>
            </w: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2,792,972</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2,114,223</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2,709,493</w:t>
            </w: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1,929,696</w:t>
            </w:r>
          </w:p>
        </w:tc>
      </w:tr>
      <w:tr>
        <w:trPr>
          <w:trHeight w:val="209"/>
        </w:trPr>
        <w:tc>
          <w:tcPr>
            <w:tcW w:w="4520" w:type="dxa"/>
            <w:vAlign w:val="bottom"/>
          </w:tcPr>
          <w:p>
            <w:pPr>
              <w:ind w:left="20"/>
              <w:spacing w:after="0"/>
              <w:rPr>
                <w:sz w:val="20"/>
                <w:szCs w:val="20"/>
                <w:color w:val="auto"/>
              </w:rPr>
            </w:pPr>
            <w:r>
              <w:rPr>
                <w:rFonts w:ascii="Arial" w:cs="Arial" w:eastAsia="Arial" w:hAnsi="Arial"/>
                <w:sz w:val="16"/>
                <w:szCs w:val="16"/>
                <w:color w:val="auto"/>
              </w:rPr>
              <w:t>Total common stock equivalents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6,637,127</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6,196,674</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6,593,623</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5,871,906</w:t>
            </w:r>
          </w:p>
        </w:tc>
      </w:tr>
      <w:tr>
        <w:trPr>
          <w:trHeight w:val="20"/>
        </w:trPr>
        <w:tc>
          <w:tcPr>
            <w:tcW w:w="45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Components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245" w:lineRule="exact"/>
        <w:rPr>
          <w:sz w:val="20"/>
          <w:szCs w:val="20"/>
          <w:color w:val="auto"/>
        </w:rPr>
      </w:pPr>
    </w:p>
    <w:p>
      <w:pPr>
        <w:jc w:val="both"/>
        <w:ind w:right="100" w:firstLine="399"/>
        <w:spacing w:after="0" w:line="256" w:lineRule="auto"/>
        <w:rPr>
          <w:sz w:val="20"/>
          <w:szCs w:val="20"/>
          <w:color w:val="auto"/>
        </w:rPr>
      </w:pPr>
      <w:r>
        <w:rPr>
          <w:rFonts w:ascii="Arial" w:cs="Arial" w:eastAsia="Arial" w:hAnsi="Arial"/>
          <w:sz w:val="18"/>
          <w:szCs w:val="18"/>
          <w:color w:val="auto"/>
        </w:rPr>
        <w:t>Goodwill was $693.2 million and $695.9 million as of September 30, 2023 and December 31, 2022, respectively. The changes in the carrying amounts of goodwill during the nine months ended September 30, 2023 were due to foreign currency translation. The Company has not recorded any impairment related to goodwill.</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45" w:lineRule="exact"/>
        <w:rPr>
          <w:sz w:val="20"/>
          <w:szCs w:val="20"/>
          <w:color w:val="auto"/>
        </w:rPr>
      </w:pPr>
    </w:p>
    <w:p>
      <w:pPr>
        <w:jc w:val="both"/>
        <w:ind w:right="100" w:firstLine="399"/>
        <w:spacing w:after="0" w:line="266" w:lineRule="auto"/>
        <w:rPr>
          <w:sz w:val="20"/>
          <w:szCs w:val="20"/>
          <w:color w:val="auto"/>
        </w:rPr>
      </w:pPr>
      <w:r>
        <w:rPr>
          <w:rFonts w:ascii="Arial" w:cs="Arial" w:eastAsia="Arial" w:hAnsi="Arial"/>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55"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2022</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Weighted Avera</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 Carrying</w:t>
            </w:r>
          </w:p>
        </w:tc>
        <w:tc>
          <w:tcPr>
            <w:tcW w:w="100" w:type="dxa"/>
            <w:vAlign w:val="bottom"/>
          </w:tcPr>
          <w:p>
            <w:pPr>
              <w:spacing w:after="0"/>
              <w:rPr>
                <w:sz w:val="10"/>
                <w:szCs w:val="10"/>
                <w:color w:val="auto"/>
              </w:rPr>
            </w:pPr>
          </w:p>
        </w:tc>
        <w:tc>
          <w:tcPr>
            <w:tcW w:w="96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4"/>
        </w:trPr>
        <w:tc>
          <w:tcPr>
            <w:tcW w:w="3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Period (Years</w:t>
            </w: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Percepta product technology</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7,733</w:t>
            </w:r>
          </w:p>
        </w:tc>
        <w:tc>
          <w:tcPr>
            <w:tcW w:w="106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3,273</w:t>
            </w:r>
          </w:p>
        </w:tc>
        <w:tc>
          <w:tcPr>
            <w:tcW w:w="1060" w:type="dxa"/>
            <w:vAlign w:val="bottom"/>
            <w:gridSpan w:val="2"/>
          </w:tcPr>
          <w:p>
            <w:pPr>
              <w:jc w:val="center"/>
              <w:ind w:left="200"/>
              <w:spacing w:after="0"/>
              <w:rPr>
                <w:sz w:val="20"/>
                <w:szCs w:val="20"/>
                <w:color w:val="auto"/>
              </w:rPr>
            </w:pPr>
            <w:r>
              <w:rPr>
                <w:rFonts w:ascii="Arial" w:cs="Arial" w:eastAsia="Arial" w:hAnsi="Arial"/>
                <w:sz w:val="16"/>
                <w:szCs w:val="16"/>
                <w:color w:val="auto"/>
                <w:w w:val="78"/>
              </w:rPr>
              <w:t>11</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931</w:t>
            </w:r>
          </w:p>
        </w:tc>
        <w:tc>
          <w:tcPr>
            <w:tcW w:w="106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nCounter Dx license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37,244</w:t>
            </w:r>
          </w:p>
        </w:tc>
        <w:tc>
          <w:tcPr>
            <w:tcW w:w="106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LymphMark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554</w:t>
            </w:r>
          </w:p>
        </w:tc>
        <w:tc>
          <w:tcPr>
            <w:tcW w:w="106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Decipher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73,766</w:t>
            </w:r>
          </w:p>
        </w:tc>
        <w:tc>
          <w:tcPr>
            <w:tcW w:w="106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Decipher trade names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2,557</w:t>
            </w:r>
          </w:p>
        </w:tc>
        <w:tc>
          <w:tcPr>
            <w:tcW w:w="106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HalioDx developed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39,724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33,825</w:t>
            </w:r>
          </w:p>
        </w:tc>
        <w:tc>
          <w:tcPr>
            <w:tcW w:w="1060" w:type="dxa"/>
            <w:vAlign w:val="bottom"/>
            <w:gridSpan w:val="2"/>
          </w:tcPr>
          <w:p>
            <w:pPr>
              <w:jc w:val="center"/>
              <w:ind w:left="180"/>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HalioDx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3,458</w:t>
            </w:r>
          </w:p>
        </w:tc>
        <w:tc>
          <w:tcPr>
            <w:tcW w:w="106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HalioDx customer backlog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4,225</w:t>
            </w:r>
          </w:p>
        </w:tc>
        <w:tc>
          <w:tcPr>
            <w:tcW w:w="1060" w:type="dxa"/>
            <w:vAlign w:val="bottom"/>
            <w:tcBorders>
              <w:bottom w:val="single" w:sz="8" w:color="CCEEFF"/>
            </w:tcBorders>
            <w:gridSpan w:val="2"/>
          </w:tcPr>
          <w:p>
            <w:pPr>
              <w:jc w:val="center"/>
              <w:ind w:left="18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finite-lived intangibles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167,566</w:t>
            </w:r>
          </w:p>
        </w:tc>
        <w:tc>
          <w:tcPr>
            <w:tcW w:w="106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89"/>
              </w:rPr>
              <w:t>7.3</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In-process research and development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7,300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intangible assets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174,866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right="100" w:firstLine="399"/>
        <w:spacing w:after="0" w:line="256" w:lineRule="auto"/>
        <w:rPr>
          <w:sz w:val="20"/>
          <w:szCs w:val="20"/>
          <w:color w:val="auto"/>
        </w:rPr>
      </w:pPr>
      <w:r>
        <w:rPr>
          <w:rFonts w:ascii="Arial" w:cs="Arial" w:eastAsia="Arial" w:hAnsi="Arial"/>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w:t>
      </w:r>
    </w:p>
    <w:p>
      <w:pPr>
        <w:spacing w:after="0" w:line="215" w:lineRule="exact"/>
        <w:rPr>
          <w:sz w:val="20"/>
          <w:szCs w:val="20"/>
          <w:color w:val="auto"/>
        </w:rPr>
      </w:pPr>
    </w:p>
    <w:p>
      <w:pPr>
        <w:jc w:val="both"/>
        <w:ind w:right="100" w:firstLine="399"/>
        <w:spacing w:after="0" w:line="272" w:lineRule="auto"/>
        <w:rPr>
          <w:sz w:val="20"/>
          <w:szCs w:val="20"/>
          <w:color w:val="auto"/>
        </w:rPr>
      </w:pPr>
      <w:r>
        <w:rPr>
          <w:rFonts w:ascii="Arial" w:cs="Arial" w:eastAsia="Arial" w:hAnsi="Arial"/>
          <w:sz w:val="17"/>
          <w:szCs w:val="17"/>
          <w:color w:val="auto"/>
        </w:rPr>
        <w:t>During the three months ended September 30, 2023, the Company concluded it had a triggering event requiring assessment of impairment for certain of its long-lived assets in conjunction with management’s decision to adopt a multi-platform IVD strategy. Management believes that a multi-platform strategy will enable the Company to more rapidly reach more patients globally with its tests. As a result, the Company reviewed the long-lived assets for impairment and recorded a $34.9 million impairment charge associated with its nCounter Dx license finite-lived intangible asset.</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During the three months ended June 30, 2022, the Company concluded it had a triggering event requiring assessment of impairment for certain of its long-lived assets in conjunction with management’s decision to cease commercialization efforts related to the Company’s stand-alone Immunoscore Colon Dx commercial offering. As a result, the Company reviewed the long-lived assets for impairment and recorded a $3.3 million impairment charge associated with its HalioDx Immunoscore Colon Dx developed technology finite-lived intangible asset. Both impairments are recorded within impairment of long-lived assets on the condensed consolidated statement of operations.</w:t>
      </w:r>
    </w:p>
    <w:p>
      <w:pPr>
        <w:spacing w:after="0" w:line="221"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Company assessed the impairment of the intangible assets using an income approach which involved significant unobservable inputs, which are Level III inputs, including revenue projections and cash flow projections. This method is consistent with the methods the Company employed in prior periods to value other long-lived assets.</w:t>
      </w:r>
    </w:p>
    <w:p>
      <w:pPr>
        <w:spacing w:after="0" w:line="215"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7"/>
          <w:szCs w:val="17"/>
          <w:color w:val="auto"/>
        </w:rPr>
        <w:t>Amortization expense of $5.3 million and $5.2 million was recognized for the three months ended September 30, 2023 and 2022, respectively, and expense of $16.0 million and $16.1 million was recognized for the nine months ended September 30, 2023 and 2022, respectively.</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estimated future aggregate amortization expense as of September 30, 2023 is as follows (in thousands of dollars):</w:t>
      </w:r>
    </w:p>
    <w:p>
      <w:pPr>
        <w:spacing w:after="0" w:line="12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936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Arial" w:cs="Arial" w:eastAsia="Arial" w:hAnsi="Arial"/>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remainder of year</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4,518</w:t>
            </w:r>
          </w:p>
        </w:tc>
      </w:tr>
      <w:tr>
        <w:trPr>
          <w:trHeight w:val="210"/>
        </w:trPr>
        <w:tc>
          <w:tcPr>
            <w:tcW w:w="936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18,032</w:t>
            </w:r>
          </w:p>
        </w:tc>
      </w:tr>
      <w:tr>
        <w:trPr>
          <w:trHeight w:val="215"/>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16,923</w:t>
            </w:r>
          </w:p>
        </w:tc>
      </w:tr>
      <w:tr>
        <w:trPr>
          <w:trHeight w:val="210"/>
        </w:trPr>
        <w:tc>
          <w:tcPr>
            <w:tcW w:w="936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15,102</w:t>
            </w:r>
          </w:p>
        </w:tc>
      </w:tr>
      <w:tr>
        <w:trPr>
          <w:trHeight w:val="215"/>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14,504</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47,188</w:t>
            </w:r>
          </w:p>
        </w:tc>
      </w:tr>
      <w:tr>
        <w:trPr>
          <w:trHeight w:val="234"/>
        </w:trPr>
        <w:tc>
          <w:tcPr>
            <w:tcW w:w="9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116,267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Supplies and Inventory</w:t>
      </w:r>
    </w:p>
    <w:p>
      <w:pPr>
        <w:spacing w:after="0" w:line="245"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As of September 30, 2023 and December 31, 2022, supplies and inventory consisted of $12.1 million and $10.2 million, respectively, of lab supplies and reagents consumed in the performance of testing services, and $3.8 million and $4.1 million, respectively, of inventory related to raw materials consumed in the contract manufacturing process, as well as finished and semi-finished components used in the assembly of diagnostic kits related to product sales.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Arial" w:cs="Arial" w:eastAsia="Arial" w:hAnsi="Arial"/>
                <w:sz w:val="16"/>
                <w:szCs w:val="16"/>
                <w:b w:val="1"/>
                <w:bCs w:val="1"/>
                <w:color w:val="auto"/>
                <w:w w:val="94"/>
              </w:rPr>
              <w:t>December 31, 2022</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compensation expenses</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30,637</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other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7,137</w:t>
            </w:r>
          </w:p>
        </w:tc>
      </w:tr>
      <w:tr>
        <w:trPr>
          <w:trHeight w:val="234"/>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37,774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1"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800" w:hanging="31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800" w:right="120" w:hanging="315"/>
        <w:spacing w:after="0" w:line="256"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82" w:lineRule="exact"/>
        <w:rPr>
          <w:rFonts w:ascii="Arial" w:cs="Arial" w:eastAsia="Arial" w:hAnsi="Arial"/>
          <w:sz w:val="18"/>
          <w:szCs w:val="18"/>
          <w:color w:val="auto"/>
        </w:rPr>
      </w:pPr>
    </w:p>
    <w:p>
      <w:pPr>
        <w:ind w:left="800" w:hanging="315"/>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68"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condensed consolidated balance sheets, were $0.8 million and $131.2 million as of September 30, 2023 and December 31, 2022, respectively, and are Level I assets as described above. The deposits for the leases, included in restricted cash, were $0.9 million and $0.7 million as of September 30, 2023 and December 31, 2022, respectively, and are a Level I assets as described above. There were no transfers between Levels 1, 2 or 3 for the three and nine months ended September 30, 2023 and 2022.</w:t>
      </w:r>
    </w:p>
    <w:p>
      <w:pPr>
        <w:spacing w:after="0" w:line="180" w:lineRule="exact"/>
        <w:rPr>
          <w:sz w:val="20"/>
          <w:szCs w:val="20"/>
          <w:color w:val="auto"/>
        </w:rPr>
      </w:pPr>
    </w:p>
    <w:p>
      <w:pPr>
        <w:jc w:val="both"/>
        <w:ind w:firstLine="399"/>
        <w:spacing w:after="0" w:line="263" w:lineRule="auto"/>
        <w:rPr>
          <w:sz w:val="20"/>
          <w:szCs w:val="20"/>
          <w:color w:val="auto"/>
        </w:rPr>
      </w:pPr>
      <w:r>
        <w:rPr>
          <w:rFonts w:ascii="Arial" w:cs="Arial" w:eastAsia="Arial" w:hAnsi="Arial"/>
          <w:sz w:val="17"/>
          <w:szCs w:val="17"/>
          <w:color w:val="auto"/>
        </w:rPr>
        <w:t>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condensed consolidated statements of operations. During the three months ended September 30, 2023, the Company decided to adopt a multi-platform IVD strategy that will enable it to more rapidly reach more patients globally with its tests and therefore move away from commercializing several IVD tests on the nCounter Analysis System. As a result, as of September 30, 2023, this contingency was remeasured to $3.1 million. For the three and nine months ended September 30, 2023, reversals of expense of $5.2 million and $5.5 million, respectively, were recorded. For the three and nine months ended September 30, 2022, reversals of expense of zero and $0.1 million, respectively, were recorded. As of September 30, 2023, the achievement of one of the milestones is forecasted to occur within the next 12 months. As a result, $2.6 million of the contingent consideration is included in short term liabilities at September 30, 2023.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September 30, 2023 and December 31, 2022, the Company calculated the estimated fair value of the milestones using the following significant unobservable inputs: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Value or Range (Weighted-Average)</w:t>
            </w:r>
          </w:p>
        </w:tc>
      </w:tr>
      <w:tr>
        <w:trPr>
          <w:trHeight w:val="209"/>
        </w:trPr>
        <w:tc>
          <w:tcPr>
            <w:tcW w:w="7320" w:type="dxa"/>
            <w:vAlign w:val="bottom"/>
            <w:tcBorders>
              <w:bottom w:val="single" w:sz="8" w:color="auto"/>
            </w:tcBorders>
          </w:tcPr>
          <w:p>
            <w:pPr>
              <w:ind w:left="300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September 30, 2023</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December 31, 2022</w:t>
            </w:r>
          </w:p>
        </w:tc>
      </w:tr>
      <w:tr>
        <w:trPr>
          <w:trHeight w:val="208"/>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8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680"/>
              <w:spacing w:after="0"/>
              <w:rPr>
                <w:sz w:val="20"/>
                <w:szCs w:val="20"/>
                <w:color w:val="auto"/>
              </w:rPr>
            </w:pPr>
            <w:r>
              <w:rPr>
                <w:rFonts w:ascii="Arial" w:cs="Arial" w:eastAsia="Arial" w:hAnsi="Arial"/>
                <w:sz w:val="16"/>
                <w:szCs w:val="16"/>
                <w:color w:val="auto"/>
              </w:rPr>
              <w:t>8.3%</w:t>
            </w:r>
          </w:p>
        </w:tc>
      </w:tr>
      <w:tr>
        <w:trPr>
          <w:trHeight w:val="208"/>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Probability of achievement</w:t>
            </w:r>
          </w:p>
        </w:tc>
        <w:tc>
          <w:tcPr>
            <w:tcW w:w="1860" w:type="dxa"/>
            <w:vAlign w:val="bottom"/>
          </w:tcPr>
          <w:p>
            <w:pPr>
              <w:jc w:val="right"/>
              <w:ind w:right="260"/>
              <w:spacing w:after="0"/>
              <w:rPr>
                <w:sz w:val="20"/>
                <w:szCs w:val="20"/>
                <w:color w:val="auto"/>
              </w:rPr>
            </w:pPr>
            <w:r>
              <w:rPr>
                <w:rFonts w:ascii="Arial" w:cs="Arial" w:eastAsia="Arial" w:hAnsi="Arial"/>
                <w:sz w:val="16"/>
                <w:szCs w:val="16"/>
                <w:color w:val="auto"/>
              </w:rPr>
              <w:t>10% - 80% (69%)</w:t>
            </w:r>
          </w:p>
        </w:tc>
        <w:tc>
          <w:tcPr>
            <w:tcW w:w="100" w:type="dxa"/>
            <w:vAlign w:val="bottom"/>
          </w:tcPr>
          <w:p>
            <w:pPr>
              <w:spacing w:after="0"/>
              <w:rPr>
                <w:sz w:val="18"/>
                <w:szCs w:val="18"/>
                <w:color w:val="auto"/>
              </w:rPr>
            </w:pPr>
          </w:p>
        </w:tc>
        <w:tc>
          <w:tcPr>
            <w:tcW w:w="1860" w:type="dxa"/>
            <w:vAlign w:val="bottom"/>
          </w:tcPr>
          <w:p>
            <w:pPr>
              <w:jc w:val="right"/>
              <w:ind w:right="240"/>
              <w:spacing w:after="0"/>
              <w:rPr>
                <w:sz w:val="20"/>
                <w:szCs w:val="20"/>
                <w:color w:val="auto"/>
              </w:rPr>
            </w:pPr>
            <w:r>
              <w:rPr>
                <w:rFonts w:ascii="Arial" w:cs="Arial" w:eastAsia="Arial" w:hAnsi="Arial"/>
                <w:sz w:val="16"/>
                <w:szCs w:val="16"/>
                <w:color w:val="auto"/>
              </w:rPr>
              <w:t>80% - 100% (94%)</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 Held-to-Maturity</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Company's short-term investments consist of U.S. treasury securities with maturities, at the time of purchase, that were between 90 days and one year. The Company classifies these investments as held-to-maturity debt securities, which are reported at amortized cost, and are Level I assets as described above. As of September 30, 2023, the Company held no short-term investments and, as of December 31, 2022, short-term investments comprised U.S. treasury bills recorded at amortized cost of $24.6 million with a fair value of approximately $24.6 million. As of December 31, 2022, gross unrealized losses on short-term investments were insignificant. As part of its banking partner diversification efforts, the Company sold $40.0 million U.S. treasury bills with an amortized cost of $39.8 million, netting proceeds of $39.8 million and realized a gross gain of $13 thousand during the nine months ended September 30, 2023. No realized gains or losses on short-term investments were recognized in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8"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The Company leases office and laboratory facilities in South San Francisco and San Diego, California; Austin, Texas; Marseille, France; and Richmond, Virginia, and leases certain equipment under various non-cancelable lease agreements. The lease terms extend to January 2029 and contain extension of lease terms and expansion options. The leases have a weighted average remaining lease term of 2.9 years as of September 30, 2023. The Company had deposits of $0.9 million and $0.7 million included in long-term assets as of September 30, 2023 and December 31, 2022, respectively, restricted from withdrawal and held by banks in the form of collateral for irrevocable standby letters of credit held as security for the leases.</w:t>
      </w:r>
    </w:p>
    <w:p>
      <w:pPr>
        <w:spacing w:after="0" w:line="191"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 xml:space="preserve">The Company determined its operating lease liabilities using payments through their current expiration dates and a weighted average discount rate of 8.0%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or ASC 842, the Company classified its deferred rent for tenant improvements with its operating lease right-of-use assets on the consolidated balance sheets.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Future minimum lease payments under non-cancelable operating leases as of September 30, 2023 are as follows (in thousands of dollars):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2023</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r>
      <w:tr>
        <w:trPr>
          <w:trHeight w:val="210"/>
        </w:trPr>
        <w:tc>
          <w:tcPr>
            <w:tcW w:w="9340" w:type="dxa"/>
            <w:vAlign w:val="bottom"/>
          </w:tcPr>
          <w:p>
            <w:pPr>
              <w:ind w:left="2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5,617</w:t>
            </w:r>
          </w:p>
        </w:tc>
      </w:tr>
      <w:tr>
        <w:trPr>
          <w:trHeight w:val="215"/>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w:t>
            </w:r>
          </w:p>
        </w:tc>
      </w:tr>
      <w:tr>
        <w:trPr>
          <w:trHeight w:val="210"/>
        </w:trPr>
        <w:tc>
          <w:tcPr>
            <w:tcW w:w="9340" w:type="dxa"/>
            <w:vAlign w:val="bottom"/>
          </w:tcPr>
          <w:p>
            <w:pPr>
              <w:ind w:left="20"/>
              <w:spacing w:after="0"/>
              <w:rPr>
                <w:sz w:val="20"/>
                <w:szCs w:val="20"/>
                <w:color w:val="auto"/>
              </w:rPr>
            </w:pPr>
            <w:r>
              <w:rPr>
                <w:rFonts w:ascii="Arial" w:cs="Arial" w:eastAsia="Arial" w:hAnsi="Arial"/>
                <w:sz w:val="16"/>
                <w:szCs w:val="16"/>
                <w:color w:val="auto"/>
              </w:rPr>
              <w:t>2026</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1,412</w:t>
            </w:r>
          </w:p>
        </w:tc>
      </w:tr>
      <w:tr>
        <w:trPr>
          <w:trHeight w:val="215"/>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r>
      <w:tr>
        <w:trPr>
          <w:trHeight w:val="209"/>
        </w:trPr>
        <w:tc>
          <w:tcPr>
            <w:tcW w:w="9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15,317</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r>
      <w:tr>
        <w:trPr>
          <w:trHeight w:val="209"/>
        </w:trPr>
        <w:tc>
          <w:tcPr>
            <w:tcW w:w="9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13,727</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5,007</w:t>
            </w:r>
          </w:p>
        </w:tc>
      </w:tr>
      <w:tr>
        <w:trPr>
          <w:trHeight w:val="234"/>
        </w:trPr>
        <w:tc>
          <w:tcPr>
            <w:tcW w:w="9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330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4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6"/>
        </w:trPr>
        <w:tc>
          <w:tcPr>
            <w:tcW w:w="47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2022</w:t>
            </w:r>
          </w:p>
        </w:tc>
      </w:tr>
      <w:tr>
        <w:trPr>
          <w:trHeight w:val="208"/>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w:t>
            </w:r>
          </w:p>
        </w:tc>
      </w:tr>
      <w:tr>
        <w:trPr>
          <w:trHeight w:val="208"/>
        </w:trPr>
        <w:tc>
          <w:tcPr>
            <w:tcW w:w="4740" w:type="dxa"/>
            <w:vAlign w:val="bottom"/>
          </w:tcPr>
          <w:p>
            <w:pPr>
              <w:ind w:left="20"/>
              <w:spacing w:after="0"/>
              <w:rPr>
                <w:sz w:val="20"/>
                <w:szCs w:val="20"/>
                <w:color w:val="auto"/>
              </w:rPr>
            </w:pPr>
            <w:r>
              <w:rPr>
                <w:rFonts w:ascii="Arial" w:cs="Arial" w:eastAsia="Arial" w:hAnsi="Arial"/>
                <w:sz w:val="16"/>
                <w:szCs w:val="16"/>
                <w:color w:val="auto"/>
                <w:w w:val="94"/>
              </w:rPr>
              <w:t>Cash paid for amounts included in the measurement of lease liabilities</w:t>
            </w: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3,906</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3,360</w:t>
            </w:r>
          </w:p>
        </w:tc>
      </w:tr>
    </w:tbl>
    <w:p>
      <w:pPr>
        <w:spacing w:after="0" w:line="325"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The company has leased laboratory equipment under various financing leases. The total right-of-use assets and total financing lease liabilities for these financing leases were $0.1 million and $0.1 million, respectively, as of September 30, 2023, and are included in property, plant and equipment, net and other liabilities in the accompanying condensed consolidated balance sheets. As of December 31, 2022, the total right-of-use assets and total financing lease liabilities for these financing leases were $0.4 million and $0.4 million, respectively.</w:t>
      </w:r>
    </w:p>
    <w:p>
      <w:pPr>
        <w:spacing w:after="0" w:line="2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Company’s wholly-owned foreign subsidiary has entered into an arrangement under which it expects to sign a lease agreement for facilities which are being constructed in Marseille, France. The lease will commence upon completion of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construction of the office building at which time the Company will record a lease liability and a corresponding ROU asset. The initial term of the lease will be twelve years with annual rent of approximately $1.3 million, which is subject to change based on final construction and excludes common area maintenance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18" w:lineRule="exact"/>
        <w:rPr>
          <w:sz w:val="20"/>
          <w:szCs w:val="20"/>
          <w:color w:val="auto"/>
        </w:rPr>
      </w:pPr>
    </w:p>
    <w:p>
      <w:pPr>
        <w:jc w:val="both"/>
        <w:ind w:firstLine="439"/>
        <w:spacing w:after="0" w:line="296" w:lineRule="auto"/>
        <w:rPr>
          <w:sz w:val="20"/>
          <w:szCs w:val="20"/>
          <w:color w:val="auto"/>
        </w:rPr>
      </w:pPr>
      <w:r>
        <w:rPr>
          <w:rFonts w:ascii="Arial" w:cs="Arial" w:eastAsia="Arial" w:hAnsi="Arial"/>
          <w:sz w:val="17"/>
          <w:szCs w:val="17"/>
          <w:color w:val="auto"/>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 2023</w:t>
            </w:r>
          </w:p>
        </w:tc>
        <w:tc>
          <w:tcPr>
            <w:tcW w:w="1860" w:type="dxa"/>
            <w:vAlign w:val="bottom"/>
          </w:tcPr>
          <w:p>
            <w:pPr>
              <w:jc w:val="right"/>
              <w:ind w:right="200"/>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6,386,214</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5,881,906</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Arial" w:cs="Arial" w:eastAsia="Arial" w:hAnsi="Arial"/>
                <w:sz w:val="16"/>
                <w:szCs w:val="16"/>
                <w:color w:val="auto"/>
              </w:rPr>
              <w:t>5,433,799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5,591,977</w:t>
            </w:r>
          </w:p>
        </w:tc>
      </w:tr>
      <w:tr>
        <w:trPr>
          <w:trHeight w:val="21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1,189,513</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1,335,353</w:t>
            </w:r>
          </w:p>
        </w:tc>
      </w:tr>
      <w:tr>
        <w:trPr>
          <w:trHeight w:val="209"/>
        </w:trPr>
        <w:tc>
          <w:tcPr>
            <w:tcW w:w="7380" w:type="dxa"/>
            <w:vAlign w:val="bottom"/>
          </w:tcPr>
          <w:p>
            <w:pPr>
              <w:ind w:left="140"/>
              <w:spacing w:after="0"/>
              <w:rPr>
                <w:sz w:val="20"/>
                <w:szCs w:val="20"/>
                <w:color w:val="auto"/>
              </w:rPr>
            </w:pPr>
            <w:r>
              <w:rPr>
                <w:rFonts w:ascii="Arial" w:cs="Arial" w:eastAsia="Arial" w:hAnsi="Arial"/>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13,009,526</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12,809,236</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Components of Other Income</w:t>
      </w:r>
    </w:p>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income, net consists of the following (in thousands of dollars):</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3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06"/>
        </w:trPr>
        <w:tc>
          <w:tcPr>
            <w:tcW w:w="43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r>
      <w:tr>
        <w:trPr>
          <w:trHeight w:val="208"/>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French research tax credits</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0"/>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2,790</w:t>
            </w:r>
          </w:p>
        </w:tc>
      </w:tr>
      <w:tr>
        <w:trPr>
          <w:trHeight w:val="210"/>
        </w:trPr>
        <w:tc>
          <w:tcPr>
            <w:tcW w:w="4320" w:type="dxa"/>
            <w:vAlign w:val="bottom"/>
          </w:tcPr>
          <w:p>
            <w:pPr>
              <w:spacing w:after="0"/>
              <w:rPr>
                <w:sz w:val="20"/>
                <w:szCs w:val="20"/>
                <w:color w:val="auto"/>
              </w:rPr>
            </w:pPr>
            <w:r>
              <w:rPr>
                <w:rFonts w:ascii="Arial" w:cs="Arial" w:eastAsia="Arial" w:hAnsi="Arial"/>
                <w:sz w:val="16"/>
                <w:szCs w:val="16"/>
                <w:color w:val="auto"/>
              </w:rPr>
              <w:t>Interest income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4,518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15"/>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0"/>
        </w:trPr>
        <w:tc>
          <w:tcPr>
            <w:tcW w:w="4320" w:type="dxa"/>
            <w:vAlign w:val="bottom"/>
          </w:tcPr>
          <w:p>
            <w:pPr>
              <w:spacing w:after="0"/>
              <w:rPr>
                <w:sz w:val="20"/>
                <w:szCs w:val="20"/>
                <w:color w:val="auto"/>
              </w:rPr>
            </w:pPr>
            <w:r>
              <w:rPr>
                <w:rFonts w:ascii="Arial" w:cs="Arial" w:eastAsia="Arial" w:hAnsi="Arial"/>
                <w:sz w:val="16"/>
                <w:szCs w:val="16"/>
                <w:color w:val="auto"/>
              </w:rPr>
              <w:t>Loss on currency revaluation</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21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6"/>
        </w:trPr>
        <w:tc>
          <w:tcPr>
            <w:tcW w:w="4320" w:type="dxa"/>
            <w:vAlign w:val="bottom"/>
          </w:tcPr>
          <w:p>
            <w:pPr>
              <w:spacing w:after="0"/>
              <w:rPr>
                <w:sz w:val="17"/>
                <w:szCs w:val="17"/>
                <w:color w:val="auto"/>
              </w:rPr>
            </w:pP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040"/>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1004"/>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2,675</w:t>
            </w:r>
          </w:p>
        </w:tc>
      </w:tr>
      <w:tr>
        <w:trPr>
          <w:trHeight w:val="22"/>
        </w:trPr>
        <w:tc>
          <w:tcPr>
            <w:tcW w:w="4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4"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Company recorded income tax benefit of $0.2 million and $0.2 million for the three months ended September 30, 2023 and 2022, respectively, and benefit of $29.0 thousand and $0.3 million for the nine months ended September 30, 2023 and 2022, respectively.</w:t>
      </w:r>
    </w:p>
    <w:p>
      <w:pPr>
        <w:spacing w:after="0" w:line="20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The Inflation Reduction Act of 2022 was signed into law August 16, 2022, and includes significant legislation addressing taxes, inflation, climate change and renewable energy incentives, and healthcare. Key tax provisions include a 15% corporate minimum tax, clean energy incentives, and a 1% excise tax on stock buybacks. The Company does not expect the provisions of such legislation to have any impact on the effective tax rate of the Company but will continue to evaluate the tax effects should any provisions become applicable to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4"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spacing w:after="0" w:line="183"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w:t>
      </w:r>
    </w:p>
    <w:p>
      <w:pPr>
        <w:spacing w:after="0" w:line="2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When used in this report, all references to "Veracyte," the "company," "we," "our" and "us" refer to Veracyte, Inc., together with its consolidated subsidiaries, unless otherwise noted.</w:t>
      </w:r>
    </w:p>
    <w:p>
      <w:pPr>
        <w:spacing w:after="0" w:line="179"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Veracyte, Afirma, Percepta, Envisia, Prosigna, Lymphmark, Decipher, GRID, HalioDx, Brightplex, Immunosign, and the Veracyte logo are registered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speed time to appropriate treatment, thereby improving outcomes for patients all over the world.</w:t>
      </w:r>
    </w:p>
    <w:p>
      <w:pPr>
        <w:spacing w:after="0" w:line="85"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We currently offer tests in thyroid cancer (Afirma); prostate cancer (Decipher Prostate); breast cancer (Prosigna); interstitial lung diseases (Envisia); and bladder cancer (Decipher Bladder). Our Percepta Nasal Swab test is being run in our CLIA lab in support of clinical studies and our tests for kidney cancer and lymphoma are in development, the latter as a companion diagnostic.</w:t>
      </w:r>
    </w:p>
    <w:p>
      <w:pPr>
        <w:spacing w:after="0" w:line="82"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We serve global markets with two complementary models. In the United States, we offer laboratory developed tests, or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Envisia, Decipher Prostate and Percepta Nasal Swab tests as IVD tests. We believe our broad menu of advanced diagnostic tests, combined with our ability to deliver them globally, differentiates us in the diagnostics industry.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Macroeconomic Factors</w:t>
      </w:r>
    </w:p>
    <w:p>
      <w:pPr>
        <w:spacing w:after="0" w:line="251"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We believe COVID-19 has impacted our total test volumes primarily during 2020 and 2021. Our customers, third-party contract manufacturers, carriers, suppliers and collaboration partners were affected by the closure of hospitals, doctors' offices, manufacturing sites, or country borders, among other measures put in place around the world. Our operations remain subject to risk due to possible COVID-19 outbreaks at our sites. Layoffs, furloughs and unplanned loss of staff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spacing w:after="0" w:line="206"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In addition, ongoing interest rate increases and inflation in the U.S. and other markets globally, as well as turmoil in the global banking and finance system, may heighten the risk of an economic downturn or recession and volatility and dislocation in the capital or credit markets in the U.S. or globally. Moreover, the continued fluctuation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Finally, the military conflict between Russia and Ukraine has increased the risk of disruptions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energy supplies in Europe, which may impact our ability to manufacture tests or perform services from our facility in Marseille, France, and other conflicts may adversely impact our business and operating results.</w:t>
      </w:r>
    </w:p>
    <w:p>
      <w:pPr>
        <w:spacing w:after="0" w:line="206"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extent of the impact of COVID-19 and other macroeconomic factors on our future liquidity and operational performance will depend on certain developments,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Total Test Volume</w:t>
      </w:r>
    </w:p>
    <w:p>
      <w:pPr>
        <w:spacing w:after="0" w:line="218"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Our performance depends on the number of tests that we perform and report as completed in our CLIA-certified laboratories and Prosigna tests processed on the nCounter Analysis System or, in the future, on other platform technology. Factors impacting the number of tests that we report as completed include, but are not limited to:</w:t>
      </w:r>
    </w:p>
    <w:p>
      <w:pPr>
        <w:spacing w:after="0" w:line="189" w:lineRule="exact"/>
        <w:rPr>
          <w:sz w:val="20"/>
          <w:szCs w:val="20"/>
          <w:color w:val="auto"/>
        </w:rPr>
      </w:pPr>
    </w:p>
    <w:p>
      <w:pPr>
        <w:ind w:left="960" w:hanging="31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16" w:lineRule="exact"/>
        <w:rPr>
          <w:rFonts w:ascii="Arial" w:cs="Arial" w:eastAsia="Arial" w:hAnsi="Arial"/>
          <w:sz w:val="18"/>
          <w:szCs w:val="18"/>
          <w:color w:val="auto"/>
        </w:rPr>
      </w:pPr>
    </w:p>
    <w:p>
      <w:pPr>
        <w:ind w:left="960" w:hanging="31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5" w:lineRule="exact"/>
        <w:rPr>
          <w:rFonts w:ascii="Arial" w:cs="Arial" w:eastAsia="Arial" w:hAnsi="Arial"/>
          <w:sz w:val="18"/>
          <w:szCs w:val="18"/>
          <w:color w:val="auto"/>
        </w:rPr>
      </w:pPr>
    </w:p>
    <w:p>
      <w:pPr>
        <w:ind w:left="960" w:hanging="315"/>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17" w:lineRule="exact"/>
        <w:rPr>
          <w:rFonts w:ascii="Arial" w:cs="Arial" w:eastAsia="Arial" w:hAnsi="Arial"/>
          <w:sz w:val="17"/>
          <w:szCs w:val="17"/>
          <w:color w:val="auto"/>
        </w:rPr>
      </w:pPr>
    </w:p>
    <w:p>
      <w:pPr>
        <w:ind w:left="960" w:hanging="31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5" w:lineRule="exact"/>
        <w:rPr>
          <w:rFonts w:ascii="Arial" w:cs="Arial" w:eastAsia="Arial" w:hAnsi="Arial"/>
          <w:sz w:val="18"/>
          <w:szCs w:val="18"/>
          <w:color w:val="auto"/>
        </w:rPr>
      </w:pPr>
    </w:p>
    <w:p>
      <w:pPr>
        <w:ind w:left="960" w:hanging="315"/>
        <w:spacing w:after="0" w:line="246"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it takes us or our customers to perform our tests and report the results, including as a result of supply chain challenges (including quality of reagents);</w:t>
      </w:r>
    </w:p>
    <w:p>
      <w:pPr>
        <w:spacing w:after="0" w:line="1" w:lineRule="exact"/>
        <w:rPr>
          <w:rFonts w:ascii="Arial" w:cs="Arial" w:eastAsia="Arial" w:hAnsi="Arial"/>
          <w:sz w:val="18"/>
          <w:szCs w:val="18"/>
          <w:color w:val="auto"/>
        </w:rPr>
      </w:pPr>
    </w:p>
    <w:p>
      <w:pPr>
        <w:ind w:left="960" w:hanging="315"/>
        <w:spacing w:after="0" w:line="246"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work-days per period, timing of industry conferences and timing of when patient deductibles are exceeded, which also impacts the reimbursement we receive from insurers;</w:t>
      </w:r>
    </w:p>
    <w:p>
      <w:pPr>
        <w:spacing w:after="0" w:line="1" w:lineRule="exact"/>
        <w:rPr>
          <w:rFonts w:ascii="Arial" w:cs="Arial" w:eastAsia="Arial" w:hAnsi="Arial"/>
          <w:sz w:val="18"/>
          <w:szCs w:val="18"/>
          <w:color w:val="auto"/>
        </w:rPr>
      </w:pPr>
    </w:p>
    <w:p>
      <w:pPr>
        <w:ind w:left="960" w:hanging="315"/>
        <w:spacing w:after="0" w:line="246"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 w:lineRule="exact"/>
        <w:rPr>
          <w:rFonts w:ascii="Arial" w:cs="Arial" w:eastAsia="Arial" w:hAnsi="Arial"/>
          <w:sz w:val="18"/>
          <w:szCs w:val="18"/>
          <w:color w:val="auto"/>
        </w:rPr>
      </w:pPr>
    </w:p>
    <w:p>
      <w:pPr>
        <w:ind w:left="960" w:hanging="31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COVID-19 on patients seeking to have tests performed, as well as our operations; and</w:t>
      </w:r>
    </w:p>
    <w:p>
      <w:pPr>
        <w:spacing w:after="0" w:line="5" w:lineRule="exact"/>
        <w:rPr>
          <w:rFonts w:ascii="Arial" w:cs="Arial" w:eastAsia="Arial" w:hAnsi="Arial"/>
          <w:sz w:val="18"/>
          <w:szCs w:val="18"/>
          <w:color w:val="auto"/>
        </w:rPr>
      </w:pPr>
    </w:p>
    <w:p>
      <w:pPr>
        <w:ind w:left="960" w:hanging="31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hospital staff to perform and support procedures needed to collect samples for our tests.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18"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45"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 xml:space="preserve">We recognize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Testing Revenue</w:t>
      </w:r>
    </w:p>
    <w:p>
      <w:pPr>
        <w:spacing w:after="0" w:line="251"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could impact reimbursement. These estimates require significant judgment by management. Actual results could differ from those estimates and assumptions.</w:t>
      </w:r>
    </w:p>
    <w:p>
      <w:pPr>
        <w:spacing w:after="0" w:line="268"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89"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65"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91"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54"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224"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Our products consist of the Prosigna breast cancer assay, the nCounter Analysis System,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and Other Revenue</w:t>
      </w:r>
    </w:p>
    <w:p>
      <w:pPr>
        <w:spacing w:after="0" w:line="224"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We enter into arrangements to license or provide access to our assets or services, including clinical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spacing w:after="0" w:line="200"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189"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05"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We deploy state-of-the-art and costly genomic technologies in our biomarker discovery experiments, and our spending on these technologies may vary substantially from quarter to quarter. We also spend a significant amount on activities to secure clinical trial results in support of our testing and product development portfolio and on-market tests, as well as clinical validation and utilization studies.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Through September 30, 2023, we had derived most of our revenue from the sale of Decipher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12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06"/>
        </w:trPr>
        <w:tc>
          <w:tcPr>
            <w:tcW w:w="4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r>
      <w:tr>
        <w:trPr>
          <w:trHeight w:val="208"/>
        </w:trPr>
        <w:tc>
          <w:tcPr>
            <w:tcW w:w="5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Medicare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0"/>
        </w:trPr>
        <w:tc>
          <w:tcPr>
            <w:tcW w:w="5280" w:type="dxa"/>
            <w:vAlign w:val="bottom"/>
            <w:gridSpan w:val="2"/>
          </w:tcPr>
          <w:p>
            <w:pPr>
              <w:spacing w:after="0"/>
              <w:rPr>
                <w:sz w:val="20"/>
                <w:szCs w:val="20"/>
                <w:color w:val="auto"/>
              </w:rPr>
            </w:pPr>
            <w:r>
              <w:rPr>
                <w:rFonts w:ascii="Arial" w:cs="Arial" w:eastAsia="Arial" w:hAnsi="Arial"/>
                <w:sz w:val="16"/>
                <w:szCs w:val="16"/>
                <w:color w:val="auto"/>
              </w:rPr>
              <w:t>UnitedHealthcare</w:t>
            </w:r>
          </w:p>
        </w:tc>
        <w:tc>
          <w:tcPr>
            <w:tcW w:w="52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31"/>
        </w:trPr>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Testing Revenue</w:t>
      </w:r>
    </w:p>
    <w:p>
      <w:pPr>
        <w:spacing w:after="0" w:line="218"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45"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Biopharmaceutical and Other Revenue</w:t>
      </w:r>
    </w:p>
    <w:p>
      <w:pPr>
        <w:spacing w:after="0" w:line="218"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Our cost of biopharmaceutical and other revenue are the costs of performing activities under arrangements that require us to perform research and development, commercialization, and contract manufacturing and development on behalf of a customer. This cost is mainly composed of compensation expense, manufacturing and laboratory supplies and pass-through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2022 and in the nine months ended September 30, 2023 in support of our early-stage products, including Percepta Nasal Swab, as well as the development of new IVD products. Going forward, we expect to incur significant expense as we invest in the development of our innovation engine, early-stage products, including required clinical studies and the development of current tests on multiple IVD platforms.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18"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120 representatives is organized by business unit in the U.S., with separate teams calling on thyroid cancer, urologic cancers, and pulmonology physicians. The business units have dedicated marketing support, as well as a marketing operations team that serves the commercial organization broadly. Prosigna sales outside of the U.S. are led by country managers that call on laboratories and breast cancer oncologists and have dedicated marketing support.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8"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finite-lived intangible assets, acquired in business combinations, are being amortized over 4 to 15 years, using the straight-line method.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expected to be approximately $20 million per year through 2023 and decrease thereafter.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18"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Other income (loss), net consists primarily of realized and unrealized gains and losses on foreign currency transactions, French research tax credits, interest income from our cash held in interest bearing accounts and interest expense. The French research tax credits (crédit d’impôt recherche or CIR) are generated by our wholly-owned subsidiary, Veracyte SAS, in connection with its research efforts performed in Marseille, France.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45"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condensed consolidated statements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Comparison of the three and nine months ended September 30, 2023 and 2022 (in thousands of dollars, except percentages and test volume):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9"/>
          </w:tcPr>
          <w:p>
            <w:pPr>
              <w:ind w:left="460"/>
              <w:spacing w:after="0"/>
              <w:rPr>
                <w:sz w:val="20"/>
                <w:szCs w:val="20"/>
                <w:color w:val="auto"/>
              </w:rPr>
            </w:pPr>
            <w:r>
              <w:rPr>
                <w:rFonts w:ascii="Arial" w:cs="Arial" w:eastAsia="Arial" w:hAnsi="Arial"/>
                <w:sz w:val="16"/>
                <w:szCs w:val="16"/>
                <w:b w:val="1"/>
                <w:bCs w:val="1"/>
                <w:color w:val="auto"/>
                <w:w w:val="91"/>
              </w:rPr>
              <w:t>Three Months Ended September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ind w:left="480"/>
              <w:spacing w:after="0"/>
              <w:rPr>
                <w:sz w:val="20"/>
                <w:szCs w:val="20"/>
                <w:color w:val="auto"/>
              </w:rPr>
            </w:pPr>
            <w:r>
              <w:rPr>
                <w:rFonts w:ascii="Arial" w:cs="Arial" w:eastAsia="Arial" w:hAnsi="Arial"/>
                <w:sz w:val="16"/>
                <w:szCs w:val="16"/>
                <w:b w:val="1"/>
                <w:bCs w:val="1"/>
                <w:color w:val="auto"/>
                <w:w w:val="91"/>
              </w:rPr>
              <w:t>Nine Months Ended September 30,</w:t>
            </w:r>
          </w:p>
        </w:tc>
        <w:tc>
          <w:tcPr>
            <w:tcW w:w="600" w:type="dxa"/>
            <w:vAlign w:val="bottom"/>
            <w:tcBorders>
              <w:bottom w:val="single" w:sz="8" w:color="auto"/>
            </w:tcBorders>
          </w:tcPr>
          <w:p>
            <w:pPr>
              <w:spacing w:after="0"/>
              <w:rPr>
                <w:sz w:val="18"/>
                <w:szCs w:val="18"/>
                <w:color w:val="auto"/>
              </w:rPr>
            </w:pPr>
          </w:p>
        </w:tc>
      </w:tr>
      <w:tr>
        <w:trPr>
          <w:trHeight w:val="206"/>
        </w:trPr>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jc w:val="center"/>
              <w:ind w:right="1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600" w:type="dxa"/>
            <w:vAlign w:val="bottom"/>
          </w:tcPr>
          <w:p>
            <w:pPr>
              <w:jc w:val="center"/>
              <w:ind w:right="40"/>
              <w:spacing w:after="0"/>
              <w:rPr>
                <w:sz w:val="20"/>
                <w:szCs w:val="20"/>
                <w:color w:val="auto"/>
              </w:rPr>
            </w:pPr>
            <w:r>
              <w:rPr>
                <w:rFonts w:ascii="Arial" w:cs="Arial" w:eastAsia="Arial" w:hAnsi="Arial"/>
                <w:sz w:val="16"/>
                <w:szCs w:val="16"/>
                <w:b w:val="1"/>
                <w:bCs w:val="1"/>
                <w:color w:val="auto"/>
              </w:rPr>
              <w:t>%</w:t>
            </w:r>
          </w:p>
        </w:tc>
      </w:tr>
      <w:tr>
        <w:trPr>
          <w:trHeight w:val="208"/>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0"/>
        </w:trPr>
        <w:tc>
          <w:tcPr>
            <w:tcW w:w="3640" w:type="dxa"/>
            <w:vAlign w:val="bottom"/>
          </w:tcPr>
          <w:p>
            <w:pPr>
              <w:ind w:left="140"/>
              <w:spacing w:after="0"/>
              <w:rPr>
                <w:sz w:val="20"/>
                <w:szCs w:val="20"/>
                <w:color w:val="auto"/>
              </w:rPr>
            </w:pPr>
            <w:r>
              <w:rPr>
                <w:rFonts w:ascii="Arial" w:cs="Arial" w:eastAsia="Arial" w:hAnsi="Arial"/>
                <w:sz w:val="16"/>
                <w:szCs w:val="16"/>
                <w:color w:val="auto"/>
              </w:rPr>
              <w:t>Testing revenue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82,012</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64,577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3"/>
              </w:rPr>
              <w:t>27%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236,157</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180,275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55,882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31%</w:t>
            </w:r>
          </w:p>
        </w:tc>
      </w:tr>
      <w:tr>
        <w:trPr>
          <w:trHeight w:val="215"/>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3"/>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27%</w:t>
            </w:r>
          </w:p>
        </w:tc>
      </w:tr>
      <w:tr>
        <w:trPr>
          <w:trHeight w:val="210"/>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Biopharmaceutical and other revenue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center"/>
              <w:ind w:right="100"/>
              <w:spacing w:after="0"/>
              <w:rPr>
                <w:sz w:val="20"/>
                <w:szCs w:val="20"/>
                <w:color w:val="auto"/>
              </w:rPr>
            </w:pPr>
            <w:r>
              <w:rPr>
                <w:rFonts w:ascii="Arial" w:cs="Arial" w:eastAsia="Arial" w:hAnsi="Arial"/>
                <w:sz w:val="16"/>
                <w:szCs w:val="16"/>
                <w:color w:val="auto"/>
                <w:w w:val="93"/>
              </w:rPr>
              <w:t>(47)%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center"/>
              <w:ind w:right="40"/>
              <w:spacing w:after="0"/>
              <w:rPr>
                <w:sz w:val="20"/>
                <w:szCs w:val="20"/>
                <w:color w:val="auto"/>
              </w:rPr>
            </w:pPr>
            <w:r>
              <w:rPr>
                <w:rFonts w:ascii="Arial" w:cs="Arial" w:eastAsia="Arial" w:hAnsi="Arial"/>
                <w:sz w:val="16"/>
                <w:szCs w:val="16"/>
                <w:color w:val="auto"/>
                <w:w w:val="93"/>
              </w:rPr>
              <w:t>(44)%</w:t>
            </w:r>
          </w:p>
        </w:tc>
      </w:tr>
      <w:tr>
        <w:trPr>
          <w:trHeight w:val="209"/>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3"/>
              </w:rPr>
              <w:t>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22%</w:t>
            </w:r>
          </w:p>
        </w:tc>
      </w:tr>
      <w:tr>
        <w:trPr>
          <w:trHeight w:val="203"/>
        </w:trPr>
        <w:tc>
          <w:tcPr>
            <w:tcW w:w="364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5"/>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testing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16%</w:t>
            </w:r>
          </w:p>
        </w:tc>
      </w:tr>
      <w:tr>
        <w:trPr>
          <w:trHeight w:val="210"/>
        </w:trPr>
        <w:tc>
          <w:tcPr>
            <w:tcW w:w="3640" w:type="dxa"/>
            <w:vAlign w:val="bottom"/>
          </w:tcPr>
          <w:p>
            <w:pPr>
              <w:ind w:left="140"/>
              <w:spacing w:after="0"/>
              <w:rPr>
                <w:sz w:val="20"/>
                <w:szCs w:val="20"/>
                <w:color w:val="auto"/>
              </w:rPr>
            </w:pPr>
            <w:r>
              <w:rPr>
                <w:rFonts w:ascii="Arial" w:cs="Arial" w:eastAsia="Arial" w:hAnsi="Arial"/>
                <w:sz w:val="16"/>
                <w:szCs w:val="16"/>
                <w:color w:val="auto"/>
              </w:rPr>
              <w:t>Cost of product revenue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3"/>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33%</w:t>
            </w:r>
          </w:p>
        </w:tc>
      </w:tr>
      <w:tr>
        <w:trPr>
          <w:trHeight w:val="215"/>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biopharmaceutical and other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3"/>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3"/>
              </w:rPr>
              <w:t>(13)%</w:t>
            </w:r>
          </w:p>
        </w:tc>
      </w:tr>
      <w:tr>
        <w:trPr>
          <w:trHeight w:val="210"/>
        </w:trPr>
        <w:tc>
          <w:tcPr>
            <w:tcW w:w="364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3"/>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38,632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32%</w:t>
            </w:r>
          </w:p>
        </w:tc>
      </w:tr>
      <w:tr>
        <w:trPr>
          <w:trHeight w:val="215"/>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Selling and marketing</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4"/>
              </w:rPr>
              <w:t>4%</w:t>
            </w:r>
          </w:p>
        </w:tc>
      </w:tr>
      <w:tr>
        <w:trPr>
          <w:trHeight w:val="210"/>
        </w:trPr>
        <w:tc>
          <w:tcPr>
            <w:tcW w:w="364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100"/>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62,434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14%</w:t>
            </w:r>
          </w:p>
        </w:tc>
      </w:tr>
      <w:tr>
        <w:trPr>
          <w:trHeight w:val="215"/>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long-lived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2"/>
              </w:rPr>
              <w:t>994%</w:t>
            </w:r>
          </w:p>
        </w:tc>
      </w:tr>
      <w:tr>
        <w:trPr>
          <w:trHeight w:val="210"/>
        </w:trPr>
        <w:tc>
          <w:tcPr>
            <w:tcW w:w="3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Intangible asset amortization</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center"/>
              <w:ind w:right="80"/>
              <w:spacing w:after="0"/>
              <w:rPr>
                <w:sz w:val="20"/>
                <w:szCs w:val="20"/>
                <w:color w:val="auto"/>
              </w:rPr>
            </w:pPr>
            <w:r>
              <w:rPr>
                <w:rFonts w:ascii="Arial" w:cs="Arial" w:eastAsia="Arial" w:hAnsi="Arial"/>
                <w:sz w:val="16"/>
                <w:szCs w:val="16"/>
                <w:color w:val="auto"/>
                <w:w w:val="94"/>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center"/>
              <w:ind w:right="40"/>
              <w:spacing w:after="0"/>
              <w:rPr>
                <w:sz w:val="20"/>
                <w:szCs w:val="20"/>
                <w:color w:val="auto"/>
              </w:rPr>
            </w:pPr>
            <w:r>
              <w:rPr>
                <w:rFonts w:ascii="Arial" w:cs="Arial" w:eastAsia="Arial" w:hAnsi="Arial"/>
                <w:sz w:val="16"/>
                <w:szCs w:val="16"/>
                <w:color w:val="auto"/>
                <w:w w:val="94"/>
              </w:rPr>
              <w:t>(1)%</w:t>
            </w:r>
          </w:p>
        </w:tc>
      </w:tr>
      <w:tr>
        <w:trPr>
          <w:trHeight w:val="209"/>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3"/>
              </w:rPr>
              <w:t>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313,140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24%</w:t>
            </w:r>
          </w:p>
        </w:tc>
      </w:tr>
      <w:tr>
        <w:trPr>
          <w:trHeight w:val="203"/>
        </w:trPr>
        <w:tc>
          <w:tcPr>
            <w:tcW w:w="36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(31,739)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(22,059)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2"/>
              </w:rPr>
              <w:t>228%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(50,288)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(35,661)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41%</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2"/>
              </w:rPr>
              <w:t>144%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55%</w:t>
            </w:r>
          </w:p>
        </w:tc>
      </w:tr>
      <w:tr>
        <w:trPr>
          <w:trHeight w:val="203"/>
        </w:trPr>
        <w:tc>
          <w:tcPr>
            <w:tcW w:w="364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(29,772)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2"/>
              </w:rPr>
              <w:t>235%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(46,140)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(32,986)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40%</w:t>
            </w: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3"/>
              </w:rPr>
              <w:t>(89)%</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2"/>
              </w:rPr>
              <w:t>240%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41%</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r>
      <w:tr>
        <w:trPr>
          <w:trHeight w:val="20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Operating Data:</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Diagnostic tests reported</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29,683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3"/>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84,592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25%</w:t>
            </w:r>
          </w:p>
        </w:tc>
      </w:tr>
      <w:tr>
        <w:trPr>
          <w:trHeight w:val="21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tests sold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80"/>
              <w:spacing w:after="0"/>
              <w:rPr>
                <w:sz w:val="20"/>
                <w:szCs w:val="20"/>
                <w:color w:val="auto"/>
              </w:rPr>
            </w:pPr>
            <w:r>
              <w:rPr>
                <w:rFonts w:ascii="Arial" w:cs="Arial" w:eastAsia="Arial" w:hAnsi="Arial"/>
                <w:sz w:val="16"/>
                <w:szCs w:val="16"/>
                <w:color w:val="auto"/>
                <w:w w:val="93"/>
              </w:rPr>
              <w:t>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25%</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Total test volume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3"/>
              </w:rPr>
              <w:t>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93,141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3"/>
              </w:rPr>
              <w:t>25%</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r>
      <w:tr>
        <w:trPr>
          <w:trHeight w:val="219"/>
        </w:trPr>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7,322</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6,321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80"/>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20,852</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19,372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20"/>
              <w:spacing w:after="0"/>
              <w:rPr>
                <w:sz w:val="20"/>
                <w:szCs w:val="20"/>
                <w:color w:val="auto"/>
              </w:rPr>
            </w:pPr>
            <w:r>
              <w:rPr>
                <w:rFonts w:ascii="Arial" w:cs="Arial" w:eastAsia="Arial" w:hAnsi="Arial"/>
                <w:sz w:val="16"/>
                <w:szCs w:val="16"/>
                <w:color w:val="auto"/>
                <w:w w:val="94"/>
              </w:rPr>
              <w:t>8%</w:t>
            </w: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100"/>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Revenue increased $14.5 million for the three months ended September 30, 2023 compared to the same period in 2022. This was primarily due to a $17.4 million increase in testing revenue driven by a 24% volume increase, partially offset by a $3.6 million decrease in our Biopharmaceutical and other revenue. Afirma and Decipher Prostate tests drove the increase in testing revenue and tests reported for the three months ended September 30, 2023. Our diagnostic test volumes include Afirma GSC for Bethesda III &amp; IV, Decipher Prostate and Bladder, Percepta GSC and Envisia tests that are commercially run at our CLIA labs.</w:t>
      </w:r>
    </w:p>
    <w:p>
      <w:pPr>
        <w:spacing w:after="0" w:line="221"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Product revenue increased $0.7 million for the three months ended September 30, 2023 compared to the same period in 2022, driven primarily by an increase in product test kits sold.</w:t>
      </w:r>
    </w:p>
    <w:p>
      <w:pPr>
        <w:spacing w:after="0" w:line="20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Biopharmaceutical and other revenue decreased by $3.6 million for the three months ended September 30, 2023 driven primarily by the reduction of customer projects given overall spending constraints across the industry.</w:t>
      </w:r>
    </w:p>
    <w:p>
      <w:pPr>
        <w:spacing w:after="0" w:line="206"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Revenue increased $46.6 million for the nine months ended September 30, 2023 compared to the same period in 2022. This was primarily due to a $55.9 million increase in testing revenue driven by a 25% volume increase, partially offset by an $11.8 million decrease in our Biopharmaceutical and other revenue. The increase in testing revenue and tests reported for the nine months ended September 30, 2023 was due to Afirma and Decipher Prostate tests. Product revenue increased $2.5 million for the nine months ended September 30, 2023 compared to the same period in 2022, driven primarily by an increase in product test kits sold. Biopharmaceutical and other revenue decreased by $11.8 million for the nine months ended September 30, 2023 driven primarily by the reduction of customer projects given overall spending constraints across the industry.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Comparison of the three and nine months ended September 30, 2023 and 2022 is as follows (in thousands of dollars, except percentages):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9"/>
          </w:tcPr>
          <w:p>
            <w:pPr>
              <w:ind w:left="480"/>
              <w:spacing w:after="0"/>
              <w:rPr>
                <w:sz w:val="20"/>
                <w:szCs w:val="20"/>
                <w:color w:val="auto"/>
              </w:rPr>
            </w:pPr>
            <w:r>
              <w:rPr>
                <w:rFonts w:ascii="Arial" w:cs="Arial" w:eastAsia="Arial" w:hAnsi="Arial"/>
                <w:sz w:val="16"/>
                <w:szCs w:val="16"/>
                <w:b w:val="1"/>
                <w:bCs w:val="1"/>
                <w:color w:val="auto"/>
                <w:w w:val="94"/>
              </w:rPr>
              <w:t>Three Months Ended September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620"/>
              <w:spacing w:after="0"/>
              <w:rPr>
                <w:sz w:val="20"/>
                <w:szCs w:val="20"/>
                <w:color w:val="auto"/>
              </w:rPr>
            </w:pPr>
            <w:r>
              <w:rPr>
                <w:rFonts w:ascii="Arial" w:cs="Arial" w:eastAsia="Arial" w:hAnsi="Arial"/>
                <w:sz w:val="16"/>
                <w:szCs w:val="16"/>
                <w:b w:val="1"/>
                <w:bCs w:val="1"/>
                <w:color w:val="auto"/>
                <w:w w:val="93"/>
              </w:rPr>
              <w:t>Nine Months Ended September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580" w:type="dxa"/>
            <w:vAlign w:val="bottom"/>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72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testing revenue: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Arial" w:cs="Arial" w:eastAsia="Arial" w:hAnsi="Arial"/>
                <w:sz w:val="16"/>
                <w:szCs w:val="16"/>
                <w:color w:val="auto"/>
              </w:rPr>
              <w:t>Laboratory costs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11,194</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9,492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34,278</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27,790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Sample collection costs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Arial" w:cs="Arial" w:eastAsia="Arial" w:hAnsi="Arial"/>
                <w:sz w:val="16"/>
                <w:szCs w:val="16"/>
                <w:color w:val="auto"/>
              </w:rPr>
              <w:t>Compensation expense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Cost of product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costs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Arial" w:cs="Arial" w:eastAsia="Arial" w:hAnsi="Arial"/>
                <w:sz w:val="16"/>
                <w:szCs w:val="16"/>
                <w:color w:val="auto"/>
              </w:rPr>
              <w:t>License fees and royalties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Arial" w:cs="Arial" w:eastAsia="Arial" w:hAnsi="Arial"/>
                <w:sz w:val="16"/>
                <w:szCs w:val="16"/>
                <w:color w:val="auto"/>
              </w:rPr>
              <w:t>Other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09"/>
        </w:trPr>
        <w:tc>
          <w:tcPr>
            <w:tcW w:w="3220" w:type="dxa"/>
            <w:vAlign w:val="bottom"/>
          </w:tcPr>
          <w:p>
            <w:pPr>
              <w:ind w:left="3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Cost of biopharmaceutical and other revenue: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Arial" w:cs="Arial" w:eastAsia="Arial" w:hAnsi="Arial"/>
                <w:sz w:val="16"/>
                <w:szCs w:val="16"/>
                <w:color w:val="auto"/>
              </w:rPr>
              <w:t>Compensation expense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5,887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576 %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857 %</w:t>
            </w: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Cost of testing revenue increased $2.0 million, or 10%, for the three months ended September 30, 2023 compared to the same period in 2022. The increase in cost of testing revenue was due to increased volume in testing, primarily related to Afirma and Decipher Prostate.</w:t>
      </w:r>
    </w:p>
    <w:p>
      <w:pPr>
        <w:spacing w:after="0" w:line="20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Cost of testing revenue increased $8.9 million, or 16%, for the nine months ended September 30, 2023 compared to the same period in 2022. The increase in cost of testing revenue was due to increased volume in testing, primarily related to Afirma and Decipher Prostate.</w:t>
      </w:r>
    </w:p>
    <w:p>
      <w:pPr>
        <w:spacing w:after="0" w:line="20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Cost of product revenue is related to sales of Prosigna and nCounter Analysis Systems. Cost of product revenue increased $0.5 million, or 23%, for the three months ended September 30, 2023 compared to the same period in 2022, driven by increased test volume.</w:t>
      </w:r>
    </w:p>
    <w:p>
      <w:pPr>
        <w:spacing w:after="0" w:line="20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Cost of product revenue is related to sales of Prosigna and nCounter Analysis Systems. Cost of product revenue increased $1.7 million, or 33%, for the nine months ended September 30, 2023 compared to the same period in 2022, primarily driven by increased test volume.</w:t>
      </w:r>
    </w:p>
    <w:p>
      <w:pPr>
        <w:spacing w:after="0" w:line="206"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Cost of biopharmaceutical and other revenue includes labor costs incurred by our employees working on customer projects, laboratory supplies and pass-through expenses incurred on these projects. Cost of biopharmaceutical and other revenue decreased by $0.9 million and $1.8 million driven by reductions of variable expenses related to projects.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Comparison of the three and nine months ended September 30, 2023 and 2022 is as follows (in thousands of dollars, except percentages):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ind w:left="440"/>
              <w:spacing w:after="0"/>
              <w:rPr>
                <w:sz w:val="20"/>
                <w:szCs w:val="20"/>
                <w:color w:val="auto"/>
              </w:rPr>
            </w:pPr>
            <w:r>
              <w:rPr>
                <w:rFonts w:ascii="Arial" w:cs="Arial" w:eastAsia="Arial" w:hAnsi="Arial"/>
                <w:sz w:val="16"/>
                <w:szCs w:val="16"/>
                <w:b w:val="1"/>
                <w:bCs w:val="1"/>
                <w:color w:val="auto"/>
                <w:w w:val="91"/>
              </w:rPr>
              <w:t>Three Months Ended September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9"/>
          </w:tcPr>
          <w:p>
            <w:pPr>
              <w:ind w:left="560"/>
              <w:spacing w:after="0"/>
              <w:rPr>
                <w:sz w:val="20"/>
                <w:szCs w:val="20"/>
                <w:color w:val="auto"/>
              </w:rPr>
            </w:pPr>
            <w:r>
              <w:rPr>
                <w:rFonts w:ascii="Arial" w:cs="Arial" w:eastAsia="Arial" w:hAnsi="Arial"/>
                <w:sz w:val="16"/>
                <w:szCs w:val="16"/>
                <w:b w:val="1"/>
                <w:bCs w:val="1"/>
                <w:color w:val="auto"/>
                <w:w w:val="94"/>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6"/>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580" w:type="dxa"/>
            <w:vAlign w:val="bottom"/>
          </w:tcPr>
          <w:p>
            <w:pPr>
              <w:jc w:val="center"/>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r>
      <w:tr>
        <w:trPr>
          <w:trHeight w:val="208"/>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0"/>
        </w:trPr>
        <w:tc>
          <w:tcPr>
            <w:tcW w:w="3540" w:type="dxa"/>
            <w:vAlign w:val="bottom"/>
          </w:tcPr>
          <w:p>
            <w:pPr>
              <w:ind w:left="140"/>
              <w:spacing w:after="0"/>
              <w:rPr>
                <w:sz w:val="20"/>
                <w:szCs w:val="20"/>
                <w:color w:val="auto"/>
              </w:rPr>
            </w:pPr>
            <w:r>
              <w:rPr>
                <w:rFonts w:ascii="Arial" w:cs="Arial" w:eastAsia="Arial" w:hAnsi="Arial"/>
                <w:sz w:val="16"/>
                <w:szCs w:val="16"/>
                <w:color w:val="auto"/>
              </w:rPr>
              <w:t>Compensation expense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right="20"/>
              <w:spacing w:after="0"/>
              <w:rPr>
                <w:sz w:val="20"/>
                <w:szCs w:val="20"/>
                <w:color w:val="auto"/>
              </w:rPr>
            </w:pPr>
            <w:r>
              <w:rPr>
                <w:rFonts w:ascii="Arial" w:cs="Arial" w:eastAsia="Arial" w:hAnsi="Arial"/>
                <w:sz w:val="16"/>
                <w:szCs w:val="16"/>
                <w:color w:val="auto"/>
                <w:w w:val="94"/>
              </w:rPr>
              <w:t>(1)%</w:t>
            </w:r>
          </w:p>
        </w:tc>
        <w:tc>
          <w:tcPr>
            <w:tcW w:w="1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20,979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20,341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research and development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87"/>
              </w:rPr>
              <w:t>112%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10"/>
        </w:trPr>
        <w:tc>
          <w:tcPr>
            <w:tcW w:w="35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right="20"/>
              <w:spacing w:after="0"/>
              <w:rPr>
                <w:sz w:val="20"/>
                <w:szCs w:val="20"/>
                <w:color w:val="auto"/>
              </w:rPr>
            </w:pPr>
            <w:r>
              <w:rPr>
                <w:rFonts w:ascii="Arial" w:cs="Arial" w:eastAsia="Arial" w:hAnsi="Arial"/>
                <w:sz w:val="16"/>
                <w:szCs w:val="16"/>
                <w:color w:val="auto"/>
                <w:w w:val="87"/>
              </w:rPr>
              <w:t>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5"/>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0"/>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center"/>
              <w:ind w:right="20"/>
              <w:spacing w:after="0"/>
              <w:rPr>
                <w:sz w:val="20"/>
                <w:szCs w:val="20"/>
                <w:color w:val="auto"/>
              </w:rPr>
            </w:pPr>
            <w:r>
              <w:rPr>
                <w:rFonts w:ascii="Arial" w:cs="Arial" w:eastAsia="Arial" w:hAnsi="Arial"/>
                <w:sz w:val="16"/>
                <w:szCs w:val="16"/>
                <w:color w:val="auto"/>
                <w:w w:val="87"/>
              </w:rPr>
              <w:t>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80 %</w:t>
            </w:r>
          </w:p>
        </w:tc>
      </w:tr>
      <w:tr>
        <w:trPr>
          <w:trHeight w:val="234"/>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center"/>
              <w:ind w:right="20"/>
              <w:spacing w:after="0"/>
              <w:rPr>
                <w:sz w:val="20"/>
                <w:szCs w:val="20"/>
                <w:color w:val="auto"/>
              </w:rPr>
            </w:pPr>
            <w:r>
              <w:rPr>
                <w:rFonts w:ascii="Arial" w:cs="Arial" w:eastAsia="Arial" w:hAnsi="Arial"/>
                <w:sz w:val="16"/>
                <w:szCs w:val="16"/>
                <w:color w:val="auto"/>
                <w:w w:val="87"/>
              </w:rPr>
              <w:t>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Research and development expense increased $2.5 million, or 24%, for the three months ended September 30, 2023 compared to the same period in 2022. The increase is primarily driven by direct research and development expense related to our on-going clinical studies including, but not limited to, furthering the support and clinical utility evidence of our Percepta Nasal Swab test.</w:t>
      </w:r>
    </w:p>
    <w:p>
      <w:pPr>
        <w:spacing w:after="0" w:line="215"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Research and development expense increased $9.3 million, or 32%, for the nine months ended September 30, 2023 compared to the same period in 2022. The increase in compensation expense was primarily due to annual merit increases. The increase in direct research and development expense was primarily related to our on-going clinical studies including, but not limited to, furthering the support and clinical utility evidence of our Percepta Nasal Swab test. The increase in other expenses was primarily driven by increased support in developing our IVD strategy.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Comparison of the three and nine months ended September 30, 2023 and 2022 is as follows (in thousands of dollars, except percentages):</w:t>
      </w: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540"/>
              <w:spacing w:after="0"/>
              <w:rPr>
                <w:sz w:val="20"/>
                <w:szCs w:val="20"/>
                <w:color w:val="auto"/>
              </w:rPr>
            </w:pPr>
            <w:r>
              <w:rPr>
                <w:rFonts w:ascii="Arial" w:cs="Arial" w:eastAsia="Arial" w:hAnsi="Arial"/>
                <w:sz w:val="16"/>
                <w:szCs w:val="16"/>
                <w:b w:val="1"/>
                <w:bCs w:val="1"/>
                <w:color w:val="auto"/>
                <w:w w:val="93"/>
              </w:rPr>
              <w:t>Three Months Ended September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580"/>
              <w:spacing w:after="0"/>
              <w:rPr>
                <w:sz w:val="20"/>
                <w:szCs w:val="20"/>
                <w:color w:val="auto"/>
              </w:rPr>
            </w:pPr>
            <w:r>
              <w:rPr>
                <w:rFonts w:ascii="Arial" w:cs="Arial" w:eastAsia="Arial" w:hAnsi="Arial"/>
                <w:sz w:val="16"/>
                <w:szCs w:val="16"/>
                <w:b w:val="1"/>
                <w:bCs w:val="1"/>
                <w:color w:val="auto"/>
                <w:w w:val="94"/>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6"/>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r>
      <w:tr>
        <w:trPr>
          <w:trHeight w:val="208"/>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marketing expense:</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0"/>
        </w:trPr>
        <w:tc>
          <w:tcPr>
            <w:tcW w:w="3200" w:type="dxa"/>
            <w:vAlign w:val="bottom"/>
          </w:tcPr>
          <w:p>
            <w:pPr>
              <w:ind w:left="140"/>
              <w:spacing w:after="0"/>
              <w:rPr>
                <w:sz w:val="20"/>
                <w:szCs w:val="20"/>
                <w:color w:val="auto"/>
              </w:rPr>
            </w:pPr>
            <w:r>
              <w:rPr>
                <w:rFonts w:ascii="Arial" w:cs="Arial" w:eastAsia="Arial" w:hAnsi="Arial"/>
                <w:sz w:val="16"/>
                <w:szCs w:val="16"/>
                <w:color w:val="auto"/>
              </w:rPr>
              <w:t>Compensation expense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18,258</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19,102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56,728</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54,691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5"/>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3200" w:type="dxa"/>
            <w:vAlign w:val="bottom"/>
          </w:tcPr>
          <w:p>
            <w:pPr>
              <w:ind w:left="140"/>
              <w:spacing w:after="0"/>
              <w:rPr>
                <w:sz w:val="20"/>
                <w:szCs w:val="20"/>
                <w:color w:val="auto"/>
              </w:rPr>
            </w:pPr>
            <w:r>
              <w:rPr>
                <w:rFonts w:ascii="Arial" w:cs="Arial" w:eastAsia="Arial" w:hAnsi="Arial"/>
                <w:sz w:val="16"/>
                <w:szCs w:val="16"/>
                <w:color w:val="auto"/>
              </w:rPr>
              <w:t>Other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3"/>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Allocations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09"/>
        </w:trPr>
        <w:tc>
          <w:tcPr>
            <w:tcW w:w="3200" w:type="dxa"/>
            <w:vAlign w:val="bottom"/>
          </w:tcPr>
          <w:p>
            <w:pPr>
              <w:ind w:left="3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73,433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Selling and marketing expense decreased $1.3 million, or 5%, for the three months ended September 30, 2023 compared to the same period in 2022. The decrease in compensation expense was primarily due to a reduction in the sales force related to the decision to stop actively marketing our Percepta GSC test in 2022, which resulted in a charge in the third quarter of 2022. Other expenses decreased primarily due to lower travel and entertainment expense, partially offset by increased expenses to support the growth of the Afirma and Decipher test volume.</w:t>
      </w:r>
    </w:p>
    <w:p>
      <w:pPr>
        <w:spacing w:after="0" w:line="204"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Selling and marketing expense increased $2.8 million, or 4%, for the nine months ended September 30, 2023 compared to the same period in 2022. The increase in compensation expense was primarily due to additional employees hired and related higher commissions to support the growth of Afirma and Decipher test volume. Other expenses increased primarily due to higher travel and entertainment expense to also support the growth of Afirma and Decipher test volume. The increase was partially offset by reduced expenses related to Immunoscore and Percepta support.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Comparison of the three and nine months ended September 30, 2023 and 2022 is as follows (in thousands of dollars, except percentages):</w:t>
      </w: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540"/>
              <w:spacing w:after="0"/>
              <w:rPr>
                <w:sz w:val="20"/>
                <w:szCs w:val="20"/>
                <w:color w:val="auto"/>
              </w:rPr>
            </w:pPr>
            <w:r>
              <w:rPr>
                <w:rFonts w:ascii="Arial" w:cs="Arial" w:eastAsia="Arial" w:hAnsi="Arial"/>
                <w:sz w:val="16"/>
                <w:szCs w:val="16"/>
                <w:b w:val="1"/>
                <w:bCs w:val="1"/>
                <w:color w:val="auto"/>
                <w:w w:val="93"/>
              </w:rPr>
              <w:t>Three Months Ended September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580"/>
              <w:spacing w:after="0"/>
              <w:rPr>
                <w:sz w:val="20"/>
                <w:szCs w:val="20"/>
                <w:color w:val="auto"/>
              </w:rPr>
            </w:pPr>
            <w:r>
              <w:rPr>
                <w:rFonts w:ascii="Arial" w:cs="Arial" w:eastAsia="Arial" w:hAnsi="Arial"/>
                <w:sz w:val="16"/>
                <w:szCs w:val="16"/>
                <w:b w:val="1"/>
                <w:bCs w:val="1"/>
                <w:color w:val="auto"/>
                <w:w w:val="94"/>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6"/>
        </w:trPr>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620" w:type="dxa"/>
            <w:vAlign w:val="bottom"/>
          </w:tcPr>
          <w:p>
            <w:pPr>
              <w:jc w:val="right"/>
              <w:ind w:right="260"/>
              <w:spacing w:after="0"/>
              <w:rPr>
                <w:sz w:val="20"/>
                <w:szCs w:val="20"/>
                <w:color w:val="auto"/>
              </w:rPr>
            </w:pPr>
            <w:r>
              <w:rPr>
                <w:rFonts w:ascii="Arial" w:cs="Arial" w:eastAsia="Arial" w:hAnsi="Arial"/>
                <w:sz w:val="16"/>
                <w:szCs w:val="16"/>
                <w:b w:val="1"/>
                <w:bCs w:val="1"/>
                <w:color w:val="auto"/>
              </w:rPr>
              <w:t>%</w:t>
            </w:r>
          </w:p>
        </w:tc>
      </w:tr>
      <w:tr>
        <w:trPr>
          <w:trHeight w:val="208"/>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0"/>
        </w:trPr>
        <w:tc>
          <w:tcPr>
            <w:tcW w:w="3200" w:type="dxa"/>
            <w:vAlign w:val="bottom"/>
          </w:tcPr>
          <w:p>
            <w:pPr>
              <w:ind w:left="140"/>
              <w:spacing w:after="0"/>
              <w:rPr>
                <w:sz w:val="20"/>
                <w:szCs w:val="20"/>
                <w:color w:val="auto"/>
              </w:rPr>
            </w:pPr>
            <w:r>
              <w:rPr>
                <w:rFonts w:ascii="Arial" w:cs="Arial" w:eastAsia="Arial" w:hAnsi="Arial"/>
                <w:sz w:val="16"/>
                <w:szCs w:val="16"/>
                <w:color w:val="auto"/>
              </w:rPr>
              <w:t>Compensation expense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14,999</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12,031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49,354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38,721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5"/>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Occupancy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10"/>
        </w:trPr>
        <w:tc>
          <w:tcPr>
            <w:tcW w:w="32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5"/>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43 %</w:t>
            </w:r>
          </w:p>
        </w:tc>
      </w:tr>
      <w:tr>
        <w:trPr>
          <w:trHeight w:val="234"/>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54,992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General and administrative expense decreased by $1.3 million for the three months ended September 30, 2023, compared to the same period in 2022. Compensation expense for the three months ended September 30, 2023 compared to the same period in 2022 increased primarily due to an increase in functional headcount and variable compensation plans. Other expenses decreased $4.1 million driven primarily by the remeasurement of contingent consideration related to our adoption of a multi-platform IVD strategy.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222" w:lineRule="exact"/>
        <w:rPr>
          <w:sz w:val="20"/>
          <w:szCs w:val="20"/>
          <w:color w:val="auto"/>
        </w:rPr>
      </w:pPr>
    </w:p>
    <w:p>
      <w:pPr>
        <w:jc w:val="both"/>
        <w:ind w:firstLine="399"/>
        <w:spacing w:after="0" w:line="278" w:lineRule="auto"/>
        <w:rPr>
          <w:sz w:val="20"/>
          <w:szCs w:val="20"/>
          <w:color w:val="auto"/>
        </w:rPr>
      </w:pPr>
      <w:r>
        <w:rPr>
          <w:rFonts w:ascii="Arial" w:cs="Arial" w:eastAsia="Arial" w:hAnsi="Arial"/>
          <w:sz w:val="17"/>
          <w:szCs w:val="17"/>
          <w:color w:val="auto"/>
        </w:rPr>
        <w:t>General and administrative expense increased by $7.4 million for the nine months ended September 30, 2023, compared to the same period in 2022. Compensation expense increased primarily due to a $3.6 million increase in stock-based compensation, inclusive of $1.4 million related to the departure of our former executive chair in June 2023, and increases related to increased functional headcount and variable compensation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45"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During the three months ended September 30, 2023, we moved to adopt a multi-platform IVD strategy that will enable us to more rapidly reach more patients globally with our tests. As a result, we reviewed our long-lived assets for impairment and recorded a $34.9 million impairment charge associated with the nCounter Dx license finite-lived intangible asset in the three months ended September 30, 2023. Impairment of long-lived assets for the nine months ended September 30, 2023 also includes $1.4 million of impairment of right-of-use and fixed assets in relation to exiting our Richmond facility in the six months ended June 30, 2023.</w:t>
      </w:r>
    </w:p>
    <w:p>
      <w:pPr>
        <w:spacing w:after="0" w:line="221" w:lineRule="exact"/>
        <w:rPr>
          <w:sz w:val="20"/>
          <w:szCs w:val="20"/>
          <w:color w:val="auto"/>
        </w:rPr>
      </w:pPr>
    </w:p>
    <w:p>
      <w:pPr>
        <w:jc w:val="both"/>
        <w:ind w:firstLine="399"/>
        <w:spacing w:after="0" w:line="278" w:lineRule="auto"/>
        <w:rPr>
          <w:sz w:val="20"/>
          <w:szCs w:val="20"/>
          <w:color w:val="auto"/>
        </w:rPr>
      </w:pPr>
      <w:r>
        <w:rPr>
          <w:rFonts w:ascii="Arial" w:cs="Arial" w:eastAsia="Arial" w:hAnsi="Arial"/>
          <w:sz w:val="17"/>
          <w:szCs w:val="17"/>
          <w:color w:val="auto"/>
        </w:rPr>
        <w:t>During the three months ended June 30, 2022, we decided to cease commercialization efforts related to our stand-alone Immunoscore Colon Dx commercial offering. As a result, we reviewed our long-lived assets for impairment and recorded a $3.3 million impairment charge associated with our HalioDx Immunoscore Colon Dx developed technology finite-lived intangible asset in the nine months ended September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45"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Other income, net, increased $1.2 million for the three months ended September 30, 2023 compared to the same period in 2022, primarily due to an increase of $1.5 million from interest income partially offset by a decrease of $0.4 million related to reserves established for the French research tax credit receivable and revisions to the current year estimate.</w:t>
      </w:r>
    </w:p>
    <w:p>
      <w:pPr>
        <w:spacing w:after="0" w:line="215"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Other income, net, increased $1.5 million for the nine months ended September 30, 2023 compared to the same period in 2022, primarily due to an increase of $3.7 million from interest income partially offset by a decrease of $2.7 million related to reserves established for the French research tax credit receivable and revisions to the current year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From inception through September 30, 2023, we have been financed primarily through net proceeds from the sale of our equity securities. We have incurred net losses since our inception. For the nine months ended September 30, 2023, we had a net loss of $46.1 million, and we expect to incur additional losses for the remainder of 2023 and potentially in future years. As of September 30, 2023, we had an accumulated deficit of $439.8 million.</w:t>
      </w:r>
    </w:p>
    <w:p>
      <w:pPr>
        <w:spacing w:after="0" w:line="181"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On March 10, 2023, Silicon Valley Bank, or SVB, one of our banking partners, was closed by the California Department of Financial Protection &amp; Innovation, and the Federal Deposit Insurance Corporation, or FDIC, was named as Receiver. At the time of closing on March 10, 2023, we had cash and cash equivalents and short-term investments at SVB or under SVB management, however the majority of these assets were not restricted by the FDIC action to take control of SVB as most of our cash and cash equivalents and short-term investments resided in a custodial account with a third-party bank for which SVB acted as advisor. The FDIC subsequently transferred SVB’s deposits to a newly created bridge bank, named Silicon Valley Bridge Bank, N.A. and, on March 26, 2023, the FDIC announced that First Citizens Bank &amp; Trust Company had agreed to purchase and assume all deposits and loans of Silicon Valley Bridge Bank. As a result, the closure of SVB did not impact our ability to satisfy our operations and obligations and we have full access to funds that were previously held at SVB. Our ongoing cash management strategy is to ensure diversity in our deposit accounts across financial institutions, but deposits in these institutions may exceed the amount of insurance provided on such deposits. We have not realized any losses on our deposits of cash and cash equivalents other than exchange rate losses related to foreign currency denominated accounts.</w:t>
      </w:r>
    </w:p>
    <w:p>
      <w:pPr>
        <w:spacing w:after="0" w:line="208" w:lineRule="exact"/>
        <w:rPr>
          <w:sz w:val="20"/>
          <w:szCs w:val="20"/>
          <w:color w:val="auto"/>
        </w:rPr>
      </w:pPr>
    </w:p>
    <w:p>
      <w:pPr>
        <w:jc w:val="both"/>
        <w:ind w:firstLine="399"/>
        <w:spacing w:after="0" w:line="280" w:lineRule="auto"/>
        <w:rPr>
          <w:sz w:val="20"/>
          <w:szCs w:val="20"/>
          <w:color w:val="auto"/>
        </w:rPr>
      </w:pPr>
      <w:r>
        <w:rPr>
          <w:rFonts w:ascii="Arial" w:cs="Arial" w:eastAsia="Arial" w:hAnsi="Arial"/>
          <w:sz w:val="16"/>
          <w:szCs w:val="16"/>
          <w:color w:val="auto"/>
        </w:rPr>
        <w:t>We believe our existing cash and cash equivalents of $202.5 million as of September 30, 2023, and cash flows generated by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banking system may impact liquidity both in the short term and long term and may result in adverse impacts to our or our customers’ business, including in our customers’ ability to pay for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45"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We lease office and laboratory facilities in South San Francisco and San Diego, California; Austin, Texas; Marseille, France; and Richmond, Virginia, and lease certain equipment under various non-cancelable lease agreements. The lease terms extend to October 2030 and contain extension of lease term and expansion options. As of September 30, 2023, the leases have a weighted average remaining lease term of 2.9 years and total future minimum lease payments of $15.3 million.</w:t>
      </w:r>
    </w:p>
    <w:p>
      <w:pPr>
        <w:spacing w:after="0" w:line="218" w:lineRule="exact"/>
        <w:rPr>
          <w:sz w:val="20"/>
          <w:szCs w:val="20"/>
          <w:color w:val="auto"/>
        </w:rPr>
      </w:pPr>
    </w:p>
    <w:p>
      <w:pPr>
        <w:jc w:val="both"/>
        <w:ind w:firstLine="399"/>
        <w:spacing w:after="0" w:line="278" w:lineRule="auto"/>
        <w:rPr>
          <w:sz w:val="20"/>
          <w:szCs w:val="20"/>
          <w:color w:val="auto"/>
        </w:rPr>
      </w:pPr>
      <w:r>
        <w:rPr>
          <w:rFonts w:ascii="Arial" w:cs="Arial" w:eastAsia="Arial" w:hAnsi="Arial"/>
          <w:sz w:val="17"/>
          <w:szCs w:val="17"/>
          <w:color w:val="auto"/>
        </w:rPr>
        <w:t>Veracyte SAS has signed a lease agreement for facilities which are under construction in Marseille, France. The lease will commence upon completion of the construction of the office building at which time we will record a lease liability and a corresponding ROU asset. The initial term of the lease will be twelve years with annual rent of approximately $1.3 million, which is subject to change based on final construction.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45"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As part of our agreement to acquire the exclusive global diagnostic license to the nCounter Analysis System, we may pay up to an additional $10.0 million in cash, contingent upon first achievement or occurrence, by us or on our behalf, of the commercial launch of the first, second and third diagnostic tests for use on the nCounter multiplex analysis system. As of September 30, 2023, the achievement of one of the milestones is forecasted to occur within the next 12 months, requiring payments totaling $3.5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HalioDx Acquisition-Related Payments</w:t>
      </w:r>
    </w:p>
    <w:p>
      <w:pPr>
        <w:spacing w:after="0" w:line="245"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connection with the acquisition of HalioDx on August 2, 2021, or the HalioDx Acquisition, 11,031 unvested HalioDx free ordinary share awards, or free shares, were modified to provide us the right to purchase the vested free shares (call option) from the holders and the holders the right to sell the vested free shares to us (put option) from time to time through late 2023. As a result of the call and put options, the free shares have been classified as a liability. Additionally, in connection with the HalioDx Acquisition, all of HalioDx's equity-classified options that were outstanding prior to the HalioDx Acquisition were terminated and cancelled at the acquisition date. We committed to pay cash consideration of $1.5 million to holders of unvested options on the date the employee satisfies the original service requirement.</w:t>
      </w:r>
    </w:p>
    <w:p>
      <w:pPr>
        <w:spacing w:after="0" w:line="22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As part of the agreement, we held back $16.8 million of the cash consideration, or the holdback, which was payable to the founders of HalioDx based on their continuous employment with us. Fifty percent of the holdback was placed in escrow on the founders' behalf on the first anniversary of the closing date and the remainder was paid directly to the founders on the second anniversary in August 2023.</w:t>
      </w:r>
    </w:p>
    <w:p>
      <w:pPr>
        <w:spacing w:after="0" w:line="215"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As of September 30, 2023, the remaining amount to be paid for all HalioDx related items was $2.2 million subject to holders continued service, excluding any potential associated French government social tax charges.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cash flows for the nine months ended September 30, 2023 and 2022 (in thousands of dollars):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r>
      <w:tr>
        <w:trPr>
          <w:trHeight w:val="206"/>
        </w:trPr>
        <w:tc>
          <w:tcPr>
            <w:tcW w:w="73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r>
      <w:tr>
        <w:trPr>
          <w:trHeight w:val="20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220" w:type="dxa"/>
            <w:vAlign w:val="bottom"/>
            <w:shd w:val="clear" w:color="auto" w:fill="CCEEFF"/>
          </w:tcPr>
          <w:p>
            <w:pPr>
              <w:jc w:val="right"/>
              <w:ind w:right="1062"/>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w w:val="90"/>
              </w:rPr>
              <w:t>(2,209)</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17,609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jc w:val="center"/>
              <w:ind w:left="20"/>
              <w:spacing w:after="0"/>
              <w:rPr>
                <w:sz w:val="20"/>
                <w:szCs w:val="20"/>
                <w:color w:val="auto"/>
              </w:rPr>
            </w:pPr>
            <w:r>
              <w:rPr>
                <w:rFonts w:ascii="Arial" w:cs="Arial" w:eastAsia="Arial" w:hAnsi="Arial"/>
                <w:sz w:val="16"/>
                <w:szCs w:val="16"/>
                <w:color w:val="auto"/>
                <w:w w:val="90"/>
              </w:rPr>
              <w:t>(2,953)</w:t>
            </w: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89"/>
              </w:rPr>
              <w:t>3,401</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8"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Cash provided by operating activities for the nine months ended September 30, 2023 was $28.7 million. Our net loss of $46.1 million includes non-cash charges of $25.6 million of stock-based compensation expense, $20.9 million of depreciation and amortization, of which $16.0 million was related to intangible asset amortization, $36.3 million tied to the impairment of long-lived assets, $5.5 million from the revaluation of contingent consideration and the remainder was due to a non-cash lease expense of $3.1 million. Cash used as a result of changes in operating assets and liabilities was $5.6 million, primarily composed of a decrease in accrued liabilities and deferred revenue of $3.4 million, a decrease in operating lease liability of $3.2 million, an increase in supplies and inventory of $1.6 million, an increase in prepaids and other current assets of $1.6 million, and an increase in other assets of $0.6 million. These amounts were partially offset by a decrease in accounts receivable of $4.7 million, and an increase in accounts payable of $0.2 million.</w:t>
      </w:r>
    </w:p>
    <w:p>
      <w:pPr>
        <w:spacing w:after="0" w:line="167"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Cash used in operating activities for the nine months ended September 30, 2022 was $2.2 million. The net loss of $32.7 million includes non-cash charges of $19.9 million of stock-based compensation expense, $19.4 million of depreciation and amortization, which includes $16.1 million of intangible asset amortization, $3.3 million of impairment of intangible asset and non-cash lease expense of $2.5 million. Cash used as a result of changes in operating assets and liabilities was $16.0 million, primarily comprising a decrease in accrued liabilities and deferred revenue of $6.0 million, an increase in accounts receivable of $4.4 million, an increase in supplies and inventory of $2.8 million, a decrease in operating lease liability of $2.6 million and a $0.1 million impact from other working capital accounts.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18"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Cash provided by investing activities for the nine months ended September 30, 2023 was $17.6 million, consisting of $44.8 million generated from the sale and maturity of short-term investments, partially offset by $19.7 million used in the purchase of short-term investments and $7.5 million used in the purchase of property, plant and equipment.</w:t>
      </w:r>
    </w:p>
    <w:p>
      <w:pPr>
        <w:spacing w:after="0" w:line="189"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Cash used in investing activities, for the nine months ended September 30, 2022, was $3.0 million for the purchase and maturity of short-term investments and purchase of property and equipment.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18" w:lineRule="exact"/>
        <w:rPr>
          <w:sz w:val="20"/>
          <w:szCs w:val="20"/>
          <w:color w:val="auto"/>
        </w:rPr>
      </w:pPr>
    </w:p>
    <w:p>
      <w:pPr>
        <w:jc w:val="both"/>
        <w:ind w:firstLine="399"/>
        <w:spacing w:after="0" w:line="278" w:lineRule="auto"/>
        <w:rPr>
          <w:sz w:val="20"/>
          <w:szCs w:val="20"/>
          <w:color w:val="auto"/>
        </w:rPr>
      </w:pPr>
      <w:r>
        <w:rPr>
          <w:rFonts w:ascii="Arial" w:cs="Arial" w:eastAsia="Arial" w:hAnsi="Arial"/>
          <w:sz w:val="17"/>
          <w:szCs w:val="17"/>
          <w:color w:val="auto"/>
        </w:rPr>
        <w:t>Cash provided by financing activities for the nine months ended September 30, 2023 was $2.2 million, consisting of $7.8 million in proceeds from the exercise of options to purchase our common stock and the purchase of stock under our Employee Stock Purchase Plan, or ESPP, partially offset by $5.6 million in tax payments during the period related to the vesting of restricted stock units granted to employees.</w:t>
      </w:r>
    </w:p>
    <w:p>
      <w:pPr>
        <w:spacing w:after="0" w:line="172" w:lineRule="exact"/>
        <w:rPr>
          <w:sz w:val="20"/>
          <w:szCs w:val="20"/>
          <w:color w:val="auto"/>
        </w:rPr>
      </w:pPr>
    </w:p>
    <w:p>
      <w:pPr>
        <w:jc w:val="both"/>
        <w:ind w:right="20" w:firstLine="399"/>
        <w:spacing w:after="0" w:line="256" w:lineRule="auto"/>
        <w:rPr>
          <w:sz w:val="20"/>
          <w:szCs w:val="20"/>
          <w:color w:val="auto"/>
        </w:rPr>
      </w:pPr>
      <w:r>
        <w:rPr>
          <w:rFonts w:ascii="Arial" w:cs="Arial" w:eastAsia="Arial" w:hAnsi="Arial"/>
          <w:sz w:val="18"/>
          <w:szCs w:val="18"/>
          <w:color w:val="auto"/>
        </w:rPr>
        <w:t>Cash provided by financing activities, for the nine months ended September 30, 2022, was $3.4 million, consisting of $6.1 million in proceeds from the exercise of options to purchase our common stock and the purchase of stock under our ESPP partially offset by $2.6 million in tax payments during the period related to the vesting of restricted stock units granted to employees.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4" w:lineRule="exact"/>
        <w:rPr>
          <w:sz w:val="20"/>
          <w:szCs w:val="20"/>
          <w:color w:val="auto"/>
        </w:rPr>
      </w:pPr>
    </w:p>
    <w:p>
      <w:pPr>
        <w:jc w:val="both"/>
        <w:ind w:firstLine="399"/>
        <w:spacing w:after="0" w:line="258"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requires entities to recognize and measure contract assets and contract liabilities acquired in a business combination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We adopted this guidance in 2023 with no material impact on our consolidated financial statements and related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45"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$202.5 million as of September 30, 2023 which consisted of bank deposits, money market funds and U.S. treasury securities. Such interest-bearing instruments carry a degree of risk; however, a hypothetical 10% change in interest rates during any of the periods presented would not have had a material impact on our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45"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As of September 30, 2023 we held $3.5 million of bank deposits denominated in Euros. Such Euro denominated deposits carry a degree of risk from changes in currency exchange rates as the gains or losses from changes in exchange rates are included in our net loss and comprehensive loss. As of September 30, 2023 a hypothetical 10% appreciation or depreciation of the U.S. dollar relative to the Euro would not have had a material impact on our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45" w:lineRule="exact"/>
        <w:rPr>
          <w:sz w:val="20"/>
          <w:szCs w:val="20"/>
          <w:color w:val="auto"/>
        </w:rPr>
      </w:pPr>
    </w:p>
    <w:p>
      <w:pPr>
        <w:jc w:val="both"/>
        <w:ind w:right="20" w:firstLine="399"/>
        <w:spacing w:after="0" w:line="266" w:lineRule="auto"/>
        <w:rPr>
          <w:sz w:val="20"/>
          <w:szCs w:val="20"/>
          <w:color w:val="auto"/>
        </w:rPr>
      </w:pPr>
      <w:r>
        <w:rPr>
          <w:rFonts w:ascii="Arial" w:cs="Arial" w:eastAsia="Arial" w:hAnsi="Arial"/>
          <w:sz w:val="18"/>
          <w:szCs w:val="18"/>
          <w:color w:val="auto"/>
        </w:rPr>
        <w:t>We are facing inflation headwinds in compensation, travel and inventory costs. This impact on our business, financial condition, and operating results to date has primarily been offset with operational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1"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1"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1"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We continuously seek to improve the efficiency and effectiveness of our internal controls. This results in refinements to processes throughout our Company. There were no changes in our internal control over financial reporting (as such term is defined in Rule 13a-15(f) under the Exchange Act) identified in connection with the evaluation identified above that occurred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38"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Risks Related to Our Business</w:t>
      </w:r>
    </w:p>
    <w:p>
      <w:pPr>
        <w:spacing w:after="0" w:line="232" w:lineRule="exact"/>
        <w:rPr>
          <w:sz w:val="20"/>
          <w:szCs w:val="20"/>
          <w:color w:val="auto"/>
        </w:rPr>
      </w:pPr>
    </w:p>
    <w:p>
      <w:pPr>
        <w:ind w:left="640" w:hanging="315"/>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231F20"/>
        </w:rPr>
        <w:t>We have a history of losses, and we expect to incur net losses for the foreseeable future and may never achieve or sustain profitability.</w:t>
      </w:r>
    </w:p>
    <w:p>
      <w:pPr>
        <w:spacing w:after="0" w:line="70" w:lineRule="exact"/>
        <w:rPr>
          <w:rFonts w:ascii="Arial" w:cs="Arial" w:eastAsia="Arial" w:hAnsi="Arial"/>
          <w:sz w:val="17"/>
          <w:szCs w:val="17"/>
          <w:color w:val="auto"/>
        </w:rPr>
      </w:pPr>
    </w:p>
    <w:p>
      <w:pPr>
        <w:ind w:left="64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231F20"/>
        </w:rPr>
        <w:t>Our financial results currently depend mainly on sales of our Afirma and Decipher Prostate tests, and we will need to generate sufficient revenue from these and our other diagnostic tests to grow our business.</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If we are unable to grow sales of our portfolio of tests including Prosigna, Envisia, and Decipher Bladder, or we are unable to launch or commercialize our new tests, our business may suffer.</w:t>
      </w:r>
    </w:p>
    <w:p>
      <w:pPr>
        <w:spacing w:after="0" w:line="19" w:lineRule="exact"/>
        <w:rPr>
          <w:rFonts w:ascii="Arial" w:cs="Arial" w:eastAsia="Arial" w:hAnsi="Arial"/>
          <w:sz w:val="18"/>
          <w:szCs w:val="18"/>
          <w:color w:val="231F20"/>
        </w:rPr>
      </w:pPr>
    </w:p>
    <w:p>
      <w:pPr>
        <w:ind w:left="640" w:right="20" w:hanging="315"/>
        <w:spacing w:after="0" w:line="266" w:lineRule="auto"/>
        <w:tabs>
          <w:tab w:leader="none" w:pos="635"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We depend on a few payers for a significant portion of our revenue; if one or more significant payers stops providing reimbursement or decreases the amount of reimbursement for our tests our revenue could decline.</w:t>
      </w:r>
    </w:p>
    <w:p>
      <w:pPr>
        <w:spacing w:after="0" w:line="19" w:lineRule="exact"/>
        <w:rPr>
          <w:rFonts w:ascii="Arial" w:cs="Arial" w:eastAsia="Arial" w:hAnsi="Arial"/>
          <w:sz w:val="18"/>
          <w:szCs w:val="18"/>
          <w:color w:val="231F20"/>
        </w:rPr>
      </w:pPr>
    </w:p>
    <w:p>
      <w:pPr>
        <w:ind w:left="640" w:hanging="315"/>
        <w:spacing w:after="0" w:line="293" w:lineRule="auto"/>
        <w:tabs>
          <w:tab w:leader="none" w:pos="635"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 w:lineRule="exact"/>
        <w:rPr>
          <w:rFonts w:ascii="Arial" w:cs="Arial" w:eastAsia="Arial" w:hAnsi="Arial"/>
          <w:sz w:val="17"/>
          <w:szCs w:val="17"/>
          <w:color w:val="231F20"/>
        </w:rPr>
      </w:pPr>
    </w:p>
    <w:p>
      <w:pPr>
        <w:ind w:left="640" w:hanging="315"/>
        <w:spacing w:after="0" w:line="266" w:lineRule="auto"/>
        <w:tabs>
          <w:tab w:leader="none" w:pos="635"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We may experience limits on our revenue if physicians decide not to order our tests or if patients decide not to use our tests as a result of increased costs, fees or changing insurer policies.</w:t>
      </w:r>
    </w:p>
    <w:p>
      <w:pPr>
        <w:spacing w:after="0" w:line="19" w:lineRule="exact"/>
        <w:rPr>
          <w:rFonts w:ascii="Arial" w:cs="Arial" w:eastAsia="Arial" w:hAnsi="Arial"/>
          <w:sz w:val="18"/>
          <w:szCs w:val="18"/>
          <w:color w:val="231F20"/>
        </w:rPr>
      </w:pPr>
    </w:p>
    <w:p>
      <w:pPr>
        <w:ind w:left="640" w:hanging="315"/>
        <w:spacing w:after="0" w:line="266" w:lineRule="auto"/>
        <w:tabs>
          <w:tab w:leader="none" w:pos="635"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If we fail to comply with federal, state and foreign licensing requirements, we could lose the ability to perform our tests or experience disruptions to our business.</w:t>
      </w:r>
    </w:p>
    <w:p>
      <w:pPr>
        <w:spacing w:after="0" w:line="19" w:lineRule="exact"/>
        <w:rPr>
          <w:rFonts w:ascii="Arial" w:cs="Arial" w:eastAsia="Arial" w:hAnsi="Arial"/>
          <w:sz w:val="18"/>
          <w:szCs w:val="18"/>
          <w:color w:val="231F20"/>
        </w:rPr>
      </w:pPr>
    </w:p>
    <w:p>
      <w:pPr>
        <w:jc w:val="both"/>
        <w:ind w:left="640" w:hanging="315"/>
        <w:spacing w:after="0" w:line="256" w:lineRule="auto"/>
        <w:tabs>
          <w:tab w:leader="none" w:pos="635"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29" w:lineRule="exact"/>
        <w:rPr>
          <w:rFonts w:ascii="Arial" w:cs="Arial" w:eastAsia="Arial" w:hAnsi="Arial"/>
          <w:sz w:val="18"/>
          <w:szCs w:val="18"/>
          <w:color w:val="231F20"/>
        </w:rPr>
      </w:pPr>
    </w:p>
    <w:p>
      <w:pPr>
        <w:ind w:left="640" w:right="2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231F20"/>
        </w:rPr>
        <w:t xml:space="preserve">If our general strategy of seeking growth through acquisitions and collaborations is not successful, or if we do not successfully integrate </w:t>
      </w:r>
      <w:r>
        <w:rPr>
          <w:rFonts w:ascii="Arial" w:cs="Arial" w:eastAsia="Arial" w:hAnsi="Arial"/>
          <w:sz w:val="18"/>
          <w:szCs w:val="18"/>
          <w:color w:val="000000"/>
        </w:rPr>
        <w:t>companies</w:t>
      </w:r>
      <w:r>
        <w:rPr>
          <w:rFonts w:ascii="Arial" w:cs="Arial" w:eastAsia="Arial" w:hAnsi="Arial"/>
          <w:sz w:val="18"/>
          <w:szCs w:val="18"/>
          <w:color w:val="231F20"/>
        </w:rPr>
        <w:t xml:space="preserve"> </w:t>
      </w:r>
      <w:r>
        <w:rPr>
          <w:rFonts w:ascii="Arial" w:cs="Arial" w:eastAsia="Arial" w:hAnsi="Arial"/>
          <w:sz w:val="18"/>
          <w:szCs w:val="18"/>
          <w:color w:val="000000"/>
        </w:rPr>
        <w:t>or assets that we acquire into our business, our prospects and financial condition will suffer.</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success and international growth depend, in part, on our ability to adapt and manufacture select tests to be performed on multiple IVD platforms.</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revenue that we are expecting in our biopharma and other services business may not transpire</w:t>
      </w:r>
      <w:r>
        <w:rPr>
          <w:rFonts w:ascii="Arial" w:cs="Arial" w:eastAsia="Arial" w:hAnsi="Arial"/>
          <w:sz w:val="18"/>
          <w:szCs w:val="18"/>
          <w:b w:val="1"/>
          <w:bCs w:val="1"/>
          <w:i w:val="1"/>
          <w:iCs w:val="1"/>
          <w:color w:val="auto"/>
        </w:rPr>
        <w:t>.</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has had, and may continue to have, an adverse effect on certain of our businesses, results of operations and financial condition.</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231F20"/>
        </w:rPr>
        <w:t>We rely on sole suppliers for some of the reagents, equipment, and other materials used to perform our tests, and we may not be able to find replacements or transition to alternative suppliers, which may materially impact our ability to generate revenue.</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231F20"/>
        </w:rPr>
        <w:t>We depend on a specialized cytopathology practice to perform the cytopathology component of our Afirma test, and our ability to perform our diagnostic solution would be harmed if we were unable to secure a replacement.</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We may be unable to manage our future growth effectively, which could make it difficult to execute our business strategy.</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If we are unable to support demand for our tests, services or products, our business could suffer.</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231F20"/>
        </w:rPr>
        <w:t>Changes in healthcare policy, including legislation reforming the U.S. healthcare system, may have a material adverse effect on our financial condition and operations.</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Because of Medicare billing rules, we may not receive reimbursement for all tests provided to Medicare patients.</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FDA or foreign authorities were to begin regulating those of our tests that they do not currently regulate, we could incur substantial costs and delays associated with trying to obtain premarket clearance, approval or certification.</w:t>
      </w:r>
    </w:p>
    <w:p>
      <w:pPr>
        <w:spacing w:after="0" w:line="19" w:lineRule="exact"/>
        <w:rPr>
          <w:rFonts w:ascii="Arial" w:cs="Arial" w:eastAsia="Arial" w:hAnsi="Arial"/>
          <w:sz w:val="18"/>
          <w:szCs w:val="18"/>
          <w:color w:val="auto"/>
        </w:rPr>
      </w:pPr>
    </w:p>
    <w:p>
      <w:pPr>
        <w:ind w:left="640" w:right="20" w:hanging="315"/>
        <w:spacing w:after="0" w:line="296"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compete successfully, we may be unable to increase or sustain our revenue and/or achieve profitability.</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our senior management team, and the loss of one or more of our executive officers, or the inability to attract and retain highly-skilled employees or other key personnel, could adversely affect our business.</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Billing for our diagnostic tests is complex, and we must dedicate substantial time and resources to the billing process in order to collect cash and be paid.</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internal sales force is less successful than anticipated, our business expansion plans could suffer and our ability to generate revenue could be diminished.</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We must successfully integrate the HalioDx and Decipher Biosciences businesses to realize the financial goals that we currently ant</w:t>
      </w:r>
      <w:r>
        <w:rPr>
          <w:rFonts w:ascii="Arial" w:cs="Arial" w:eastAsia="Arial" w:hAnsi="Arial"/>
          <w:sz w:val="17"/>
          <w:szCs w:val="17"/>
          <w:color w:val="000000"/>
        </w:rPr>
        <w:t>icipate.</w:t>
      </w:r>
    </w:p>
    <w:p>
      <w:pPr>
        <w:spacing w:after="0" w:line="70" w:lineRule="exact"/>
        <w:rPr>
          <w:rFonts w:ascii="Arial" w:cs="Arial" w:eastAsia="Arial" w:hAnsi="Arial"/>
          <w:sz w:val="17"/>
          <w:szCs w:val="17"/>
          <w:color w:val="auto"/>
        </w:rPr>
      </w:pPr>
    </w:p>
    <w:p>
      <w:pPr>
        <w:ind w:left="640" w:hanging="315"/>
        <w:spacing w:after="0" w:line="26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Aspects of our international business expose us to business, personnel, regulatory, political, operational, financial, and economic risks associated with doing business outside of the United States.</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results may be adversely affected by unfavorable macroeconomic and market conditions.</w:t>
      </w:r>
    </w:p>
    <w:p>
      <w:pPr>
        <w:spacing w:after="0" w:line="58"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9" w:lineRule="exact"/>
        <w:rPr>
          <w:rFonts w:ascii="Arial" w:cs="Arial" w:eastAsia="Arial" w:hAnsi="Arial"/>
          <w:sz w:val="18"/>
          <w:szCs w:val="18"/>
          <w:color w:val="auto"/>
        </w:rPr>
      </w:pPr>
    </w:p>
    <w:p>
      <w:pPr>
        <w:ind w:left="640" w:hanging="315"/>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effectively our business would be harmed.</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involved in litigation related to intellectual property, which could be time-intensive and costly and may adversely affect our business, operating results or financial condition.</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Risks Related to Being a Public Compa</w:t>
      </w:r>
      <w:r>
        <w:rPr>
          <w:rFonts w:ascii="Arial" w:cs="Arial" w:eastAsia="Arial" w:hAnsi="Arial"/>
          <w:sz w:val="18"/>
          <w:szCs w:val="18"/>
          <w:color w:val="auto"/>
        </w:rPr>
        <w:t>ny</w:t>
      </w:r>
    </w:p>
    <w:p>
      <w:pPr>
        <w:spacing w:after="0" w:line="285" w:lineRule="exact"/>
        <w:rPr>
          <w:sz w:val="20"/>
          <w:szCs w:val="20"/>
          <w:color w:val="auto"/>
        </w:rPr>
      </w:pPr>
    </w:p>
    <w:p>
      <w:pPr>
        <w:ind w:left="640" w:hanging="315"/>
        <w:spacing w:after="0" w:line="296" w:lineRule="auto"/>
        <w:tabs>
          <w:tab w:leader="none" w:pos="635" w:val="left"/>
        </w:tabs>
        <w:numPr>
          <w:ilvl w:val="0"/>
          <w:numId w:val="9"/>
        </w:numPr>
        <w:rPr>
          <w:rFonts w:ascii="Arial" w:cs="Arial" w:eastAsia="Arial" w:hAnsi="Arial"/>
          <w:sz w:val="17"/>
          <w:szCs w:val="17"/>
          <w:color w:val="231F20"/>
        </w:rPr>
      </w:pPr>
      <w:r>
        <w:rPr>
          <w:rFonts w:ascii="Arial" w:cs="Arial" w:eastAsia="Arial" w:hAnsi="Arial"/>
          <w:sz w:val="17"/>
          <w:szCs w:val="17"/>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Risks Related to Our Common Stock</w:t>
      </w:r>
    </w:p>
    <w:p>
      <w:pPr>
        <w:spacing w:after="0" w:line="298" w:lineRule="exact"/>
        <w:rPr>
          <w:sz w:val="20"/>
          <w:szCs w:val="20"/>
          <w:color w:val="auto"/>
        </w:rPr>
      </w:pPr>
    </w:p>
    <w:p>
      <w:pPr>
        <w:ind w:left="640" w:hanging="315"/>
        <w:spacing w:after="0"/>
        <w:tabs>
          <w:tab w:leader="none" w:pos="64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Our stock price may be volatile, and you may not be able to sell shares of our common stock at or above the price you paid.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57"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We have incurred net losses since our inception. For the nine months ended September 30, 2023 and 2022, we had net losses of $46 million and $33 million, respectively. As of September 30, 2023, we had an accumulated deficit of $440 million. We expect to incur additional losses in the future, and we may never achieve revenue sufficient to offset our expenses. We have experienced and may continue to experience decreases in total test volume due to the impact of COVID-19, including as a result of additional COVID-19 variants. Additionally, ongoing widespread inflationary pressures in the U.S. and across global economies have resulted in higher costs for our raw materials, non-material costs, labor and other business costs, and significant increases in the future could adversely affect our results of operations. We expect to continue to devote substantially all of our resources to increase adoption of and reimbursement for our molecular diagnostic portfolio of tests, as well as the development of additional tests. We may never achieve or sustain profitability, and our failure to achieve and sustain profitability in the future could cause the market price of our common stock to decline.</w:t>
      </w:r>
    </w:p>
    <w:p>
      <w:pPr>
        <w:spacing w:after="0" w:line="200"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and Decipher Prostate tests, and we will need to generate sufficient revenue from these and our other diagnostic tests to grow our business.</w:t>
      </w:r>
    </w:p>
    <w:p>
      <w:pPr>
        <w:spacing w:after="0" w:line="206"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Once tests are clinically validated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Decipher Prostate tests, or develop and commercialize other tests, our revenue and our ability to achieve and sustain profitability would be impaired, and the market price of our common stock could decline.</w:t>
      </w:r>
    </w:p>
    <w:p>
      <w:pPr>
        <w:spacing w:after="0" w:line="200"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If we are unable to grow sales of our portfolio of tests including Prosigna, Envisia, and Decipher Bladder, or we are unable to launch or commercialize our new tests, our business may suffer.</w:t>
      </w:r>
    </w:p>
    <w:p>
      <w:pPr>
        <w:spacing w:after="0" w:line="206"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Although a number of our tests, such as Prosigna, Envisia, and Decipher Bladder, have not contributed significant revenue to date, we expect them to grow and become an increasingly important component of our portfolio, as well as our results of operations. We plan to introduce new tests going forward as well. There can be no assurance that we will be successful in our launch or commercialization of new tests, nor that physicians will request our new tests be performed in sufficient volumes for our revenue to meet our projections. Additionally, we anticipate expanding the reach of our tests to international markets; if our products are not widely adopted internationally, our business and results of operations may be adversely affected.</w:t>
      </w:r>
    </w:p>
    <w:p>
      <w:pPr>
        <w:spacing w:after="0" w:line="19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if one or more significant payers stops providing reimbursement or decreases the amount of reimbursement for our tests, our revenue could decline.</w:t>
      </w:r>
    </w:p>
    <w:p>
      <w:pPr>
        <w:spacing w:after="0" w:line="206"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Federal Medicare funding and state budgets are limited and have been placed under tremendous strain in recent years, which is likely to be further exacerbated as a result of reduced tax receipts and greater deficit spending as a result of the COVID-19 pandemic and the following economic downturn.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22"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Revenue for tests performed on patients covered by Medicare and UnitedHealthcare Group was 32% and 9%, respectively, of our revenue for the nine months ended September 30, 2023, compared with 31% and 10%, respectively, for the nine months ended September 30, 2022.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MolDX program, administered by Palmetto GBA, under a Local Coverage Determination, or LCD.</w:t>
      </w:r>
    </w:p>
    <w:p>
      <w:pPr>
        <w:spacing w:after="0" w:line="194"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The applicability of the payment rates based on 2017 reporting thus now extend through December 31, 2024. As a result of the transition from Afirma GEC to Afirma GSC, a new CPT Category I code (81546) was established for the Afirma classifier, effective January 1, 2021. This code went through the national payment determination process for Medicare in 2020, through which the Centers for Medicare &amp; Medicaid Services, or CMS, priced 81546 at the same rate of $3,600 as 81545. Since the Afirma GSC CPT code 81546 was newly issued in 2021, the first PAMA data reporting period for 81546 under the current triennial data reporting process is expected to be January 2027 through March 2027, resulting in a new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potential reimbursement rate effective January 1, 2028. There is no guarantee that the Afirma GSC Medicare rate will not be negatively impacted in future PAMA reporting cycles based on the reported weighted median of private commercial payers.</w:t>
      </w:r>
    </w:p>
    <w:p>
      <w:pPr>
        <w:spacing w:after="0" w:line="206"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in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6"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We submit claims to Medicare for Decipher Prostate Biopsy and Decipher Prostate RP using CPT code 81542. CMS assigned 81542 to the gapfilling process in 2020, under which the individual MACs set the payment rate for the test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81542 has been priced at $3,873 since January 1, 2021, based on CMS’ revision of the median of payment rates set by the MACs through the gapfilling process. Since the CPT code was issued in 2020, we expect the next PAMA reporting period to take place between January 2027 and March 2027, resulting in a potential new reimbursement rate effective January 1, 2028. There can be no assurance that the Medicare payment rates for Decipher Prostate Biopsy and Decipher Prostate RP will not decrease during a future reporting cycle under PAMA.</w:t>
      </w:r>
    </w:p>
    <w:p>
      <w:pPr>
        <w:spacing w:after="0" w:line="223"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An LCD was issued for Prosigna by Palmetto GBA in August 2015, which has been in effect since October 1, 2015. There can be no assurance that the Prosigna payment rate will not decrease during subsequent reporting cycles under PAMA.</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 LCD was issued by Noridian Healthcare Solutions to provide Medicare coverage for the Envisia Genomic Classifier on April 11, 2019.</w:t>
      </w:r>
    </w:p>
    <w:p>
      <w:pPr>
        <w:spacing w:after="0" w:line="257"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as defined under the ADLT regulations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Effective January 1, 2023, the Medicare payment rate for 81554 is $5,520. There can be no assurance that the Medicare payment rate for Envisia will not be reduced when it is set based on the volume-weighted median of private payer rates. Current ADLT PAMA regulations require us to report these private payer rates for Envisia, 81554, annually.</w:t>
      </w:r>
    </w:p>
    <w:p>
      <w:pPr>
        <w:spacing w:after="0" w:line="208"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15" w:lineRule="exact"/>
        <w:rPr>
          <w:sz w:val="20"/>
          <w:szCs w:val="20"/>
          <w:color w:val="auto"/>
        </w:rPr>
      </w:pPr>
    </w:p>
    <w:p>
      <w:pPr>
        <w:jc w:val="both"/>
        <w:ind w:firstLine="399"/>
        <w:spacing w:after="0" w:line="278" w:lineRule="auto"/>
        <w:rPr>
          <w:sz w:val="20"/>
          <w:szCs w:val="20"/>
          <w:color w:val="auto"/>
        </w:rPr>
      </w:pPr>
      <w:r>
        <w:rPr>
          <w:rFonts w:ascii="Arial" w:cs="Arial" w:eastAsia="Arial" w:hAnsi="Arial"/>
          <w:sz w:val="17"/>
          <w:szCs w:val="17"/>
          <w:color w:val="auto"/>
        </w:rPr>
        <w:t>We submit claims to Medicare for Decipher Bladder using CPT code 0016M. CMS assigned 0016M to the gapfilling process in 2021. Since January 1, 2022, the payment rate for 0016M has been $3,489.63, based on the median of payment rates set by the MACs through the gapfilling process. There is no assurance that the Medicare payment rate for Decipher Bladder will not decrease during a future reporting cycle under PAMA.</w:t>
      </w:r>
    </w:p>
    <w:p>
      <w:pPr>
        <w:spacing w:after="0" w:line="198"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 many private payers now require prior authorization for molecular diagnostic tests. Potential reductions in reimbursement rates or increases in the difficulty of achieving payment could have a negative effect on our revenue.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128"/>
        <w:spacing w:after="0" w:line="329"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60"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15" w:lineRule="exact"/>
        <w:rPr>
          <w:sz w:val="20"/>
          <w:szCs w:val="20"/>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45"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20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are an out-of-network provider with some commercial payers in the U.S.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21"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Decipher Prostate, Prosigna, Envisia and Decipher Bladder, as well as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45"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certain patients have been deferring elective procedures and medical visits as a result of the COVID-19 pandemic, and we have experienced, and expect to continue to experience, a reduction in patient demand or physician recommendations, which has and may continue to adversely affect our business.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Afirma genomic classifier is included in most physician practice guidelines in the United States for the assessment of patients with thyroid nodules.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However, historical practice recommended a full or partial thyroidectomy in cases where cytopathology results were indeterminate to confirm a diagnosis.</w:t>
      </w:r>
    </w:p>
    <w:p>
      <w:pPr>
        <w:spacing w:after="0" w:line="257"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 Subsequently, Decipher also received a “Level 1” evidence designation in the NCCN’s update to the 2023 prostate cancer guidelines.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are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spacing w:after="0" w:line="189" w:lineRule="exact"/>
        <w:rPr>
          <w:sz w:val="20"/>
          <w:szCs w:val="20"/>
          <w:color w:val="auto"/>
        </w:rPr>
      </w:pPr>
    </w:p>
    <w:p>
      <w:pPr>
        <w:jc w:val="both"/>
        <w:ind w:firstLine="399"/>
        <w:spacing w:after="0" w:line="329" w:lineRule="auto"/>
        <w:rPr>
          <w:sz w:val="20"/>
          <w:szCs w:val="20"/>
          <w:color w:val="auto"/>
        </w:rPr>
      </w:pPr>
      <w:r>
        <w:rPr>
          <w:rFonts w:ascii="Arial" w:cs="Arial" w:eastAsia="Arial" w:hAnsi="Arial"/>
          <w:sz w:val="16"/>
          <w:szCs w:val="16"/>
          <w:color w:val="auto"/>
        </w:rPr>
        <w:t>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globally.</w:t>
      </w:r>
    </w:p>
    <w:p>
      <w:pPr>
        <w:spacing w:after="0" w:line="160"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auto"/>
        </w:rPr>
        <w:t>Because our Afirma, Decipher Prostate Biopsy, Decipher Prostate RP, Envisia, and Decipher Bladder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We may experience limits on our revenue if patients decide not to use our tests as a result of increased costs, fees or changing insurer policies.</w:t>
      </w:r>
    </w:p>
    <w:p>
      <w:pPr>
        <w:spacing w:after="0" w:line="268"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In addition, rising interest rates and ongoing inflation in the U.S.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20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206"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94"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Envisia and Decipher Bladder tests. We will be required to obtain approval for other tests we may offer in the future. If we were to lose our CLIA certificate or California license for our South San Francisco or San Diego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it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subject to new approvals by regulatory bodies such as the New York State Department of Health, and we may not be able to offer our new tests until such approvals are received.</w:t>
      </w:r>
    </w:p>
    <w:p>
      <w:pPr>
        <w:spacing w:after="0" w:line="206" w:lineRule="exact"/>
        <w:rPr>
          <w:sz w:val="20"/>
          <w:szCs w:val="20"/>
          <w:color w:val="auto"/>
        </w:rPr>
      </w:pPr>
    </w:p>
    <w:p>
      <w:pPr>
        <w:jc w:val="both"/>
        <w:ind w:firstLine="128"/>
        <w:spacing w:after="0" w:line="391" w:lineRule="auto"/>
        <w:rPr>
          <w:sz w:val="20"/>
          <w:szCs w:val="20"/>
          <w:color w:val="auto"/>
        </w:rPr>
      </w:pPr>
      <w:r>
        <w:rPr>
          <w:rFonts w:ascii="Arial" w:cs="Arial" w:eastAsia="Arial" w:hAnsi="Arial"/>
          <w:sz w:val="14"/>
          <w:szCs w:val="14"/>
          <w:b w:val="1"/>
          <w:bCs w:val="1"/>
          <w:i w:val="1"/>
          <w:iCs w:val="1"/>
          <w:color w:val="auto"/>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127"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Our quarterly financial and operating results depend on sales of our products in the markets we operate and are sensitive to a number of factors, including patient and clinician demand, market conditions in the US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221" w:lineRule="exact"/>
        <w:rPr>
          <w:sz w:val="20"/>
          <w:szCs w:val="20"/>
          <w:color w:val="auto"/>
        </w:rPr>
      </w:pPr>
    </w:p>
    <w:p>
      <w:pPr>
        <w:ind w:left="1280" w:hanging="55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the necessary testing samples and related data;</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analytical and clinical validation studies, as well as clinical utility studies;</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funds;</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and scale-up our laboratory processes;</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and train our sales force;</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 acceptance from a large number of ordering clinicians;</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 acceptance from ordering laboratories; and</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seek and obtain regulatory clearances, approvals or certifications of our new solutions, as required by applicable regulatory bodies.</w:t>
      </w:r>
    </w:p>
    <w:p>
      <w:pPr>
        <w:spacing w:after="0" w:line="310"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This process involves a high degree of risk and may take up to several years or more. Our test development and commercialization efforts may be delayed or fail for many reasons, including:</w:t>
      </w:r>
    </w:p>
    <w:p>
      <w:pPr>
        <w:spacing w:after="0" w:line="206" w:lineRule="exact"/>
        <w:rPr>
          <w:sz w:val="20"/>
          <w:szCs w:val="20"/>
          <w:color w:val="auto"/>
        </w:rPr>
      </w:pPr>
    </w:p>
    <w:p>
      <w:pPr>
        <w:ind w:left="1280" w:hanging="556"/>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the test at the research or development stage;</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accessing suitable testing samples, especially testing samples with known clinical results;</w:t>
      </w:r>
    </w:p>
    <w:p>
      <w:pPr>
        <w:spacing w:after="0" w:line="58" w:lineRule="exact"/>
        <w:rPr>
          <w:rFonts w:ascii="Arial" w:cs="Arial" w:eastAsia="Arial" w:hAnsi="Arial"/>
          <w:sz w:val="18"/>
          <w:szCs w:val="18"/>
          <w:color w:val="auto"/>
        </w:rPr>
      </w:pPr>
    </w:p>
    <w:p>
      <w:pPr>
        <w:ind w:left="1280" w:hanging="556"/>
        <w:spacing w:after="0" w:line="266" w:lineRule="auto"/>
        <w:tabs>
          <w:tab w:leader="none" w:pos="1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analytical and clinical validation data to support the effectiveness of the test, or lack of clinical utility data to support the value of the test;</w:t>
      </w:r>
    </w:p>
    <w:p>
      <w:pPr>
        <w:spacing w:after="0" w:line="19" w:lineRule="exact"/>
        <w:rPr>
          <w:rFonts w:ascii="Arial" w:cs="Arial" w:eastAsia="Arial" w:hAnsi="Arial"/>
          <w:sz w:val="18"/>
          <w:szCs w:val="18"/>
          <w:color w:val="auto"/>
        </w:rPr>
      </w:pPr>
    </w:p>
    <w:p>
      <w:pPr>
        <w:ind w:left="1280" w:hanging="556"/>
        <w:spacing w:after="0"/>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resulting from the failure of third-party suppliers or contractors to meet their obligations in a timely and cost-effective manner;</w:t>
      </w:r>
    </w:p>
    <w:p>
      <w:pPr>
        <w:spacing w:after="0" w:line="70" w:lineRule="exact"/>
        <w:rPr>
          <w:rFonts w:ascii="Arial" w:cs="Arial" w:eastAsia="Arial" w:hAnsi="Arial"/>
          <w:sz w:val="17"/>
          <w:szCs w:val="17"/>
          <w:color w:val="auto"/>
        </w:rPr>
      </w:pPr>
    </w:p>
    <w:p>
      <w:pPr>
        <w:ind w:left="1280" w:hanging="556"/>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or maintain necessary clearances, approvals or certifications to market the test;</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constraints due to limited energy supply in Europe or other supply constraints; or</w:t>
      </w:r>
    </w:p>
    <w:p>
      <w:pPr>
        <w:spacing w:after="0" w:line="58" w:lineRule="exact"/>
        <w:rPr>
          <w:rFonts w:ascii="Arial" w:cs="Arial" w:eastAsia="Arial" w:hAnsi="Arial"/>
          <w:sz w:val="18"/>
          <w:szCs w:val="18"/>
          <w:color w:val="auto"/>
        </w:rPr>
      </w:pPr>
    </w:p>
    <w:p>
      <w:pPr>
        <w:ind w:left="1280" w:hanging="556"/>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commercial acceptance by patients, clinicians or third-party payers.</w:t>
      </w:r>
    </w:p>
    <w:p>
      <w:pPr>
        <w:spacing w:after="0" w:line="245"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laboratory 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not be able to obtain reimbursement for the test.</w:t>
      </w:r>
    </w:p>
    <w:p>
      <w:pPr>
        <w:spacing w:after="0" w:line="194"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if the U.S. dollar strengthens relative to the Euro, our results of operations may be adversely affected even where our underlying business is performing as anticipated. As a result,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18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206"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As an element of our growth strategy, we may pursue opportunities to license assets or purchase companies or assets that we believe would complement our current business or help us expand into new markets. For example, we acquired the nCounter Analysis System and Prosigna test from NanoString; we also acquired Decipher Biosciences and HalioDx.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8"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w:t>
      </w:r>
    </w:p>
    <w:p>
      <w:pPr>
        <w:spacing w:after="0" w:line="22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Our future success and international growth depend, in part, on our ability to adapt and manufacture select tests to be performed on multiple IVD platforms.</w:t>
      </w:r>
    </w:p>
    <w:p>
      <w:pPr>
        <w:spacing w:after="0" w:line="206"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Our strategy to expand into international markets depends on our ability to successfully adapt our menu of diagnostic tests on multiple in vitro diagnostic product, or IVD, platforms, and secure necessary regulatory approvals. Currently, the Prosigna breast cancer assay is the only commercially-available test on the nCounter Analysis System platform. If we are not able to adapt our current or future tests to be performed on the nCounter Analysis System or other IVD platforms or if our tests fail to be competitive against competing products in international markets, our prospects for growth could suffer. In addition, to the extent international markets have existing practices and standards of care that are different than those in the United States, we may face challenges with the adoption of the nCounter Analysis System or our tests in international markets. For commercialization of our tests on other IVD platforms, we will be dependent on third parties for the supply, support and clinical registration of their platforms.</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revenue that we are expecting in our biopharma and other services business may not transpire.</w:t>
      </w:r>
    </w:p>
    <w:p>
      <w:pPr>
        <w:spacing w:after="0" w:line="232"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We have previously entered into technology licensing, collaboration, and other services arrangements, such as our collaborations with Johnson &amp; Johnson in December 2018, with Acerta Pharma, the hematology research and development arm of AstraZeneca, in December 2019 and with CareDx in May 2020. With the acquisition of Decipher Biosciences and HalioDx, we continue to seek to expand the range of our biopharma services offerings to pharmaceutical partners with services such as clinically relevant biomarker identification, patient stratification for clinical trials, and development of companion diagnostics. The success of our biopharma services business depends in part on our ability to identify and successfully negotiate with appropriate pharma partners. We cannot guarantee that we will be successful in the identification of appropriate pharma partners or the successful and timely negotiation with such partners, or that existing partners will not terminate their agreements with us.</w:t>
      </w:r>
    </w:p>
    <w:p>
      <w:pPr>
        <w:spacing w:after="0" w:line="206"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The COVID-19 pandemic has had, and may continue to have, an adverse effect on certain of our businesses, results of operations and financial condition.</w:t>
      </w:r>
    </w:p>
    <w:p>
      <w:pPr>
        <w:spacing w:after="0" w:line="20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COVID-19 pandemic and the ongoing emergence of new variants has caused significant volatility in global financial markets. Public health problems resulting from COVID-19 and precautionary measures instituted by governments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The global COVID-19 pandemic continues to evolve with the emergence of new variants, and the uncertainty of COVID-19 (and other public health concerns) may require additional restrictions or a return to those previously lifted. Changes in our operations in response to COVID-19 or employee illnesses resulting from the pandemic may result in inefficiencies or delays, including in sales and product development efforts, timing to receive patient sample shipments and additional costs related to business continuity initiatives, that cannot be fully mitigated through succession planning, employees working remotely or teleconferencing technologies. To date, the Food and Drug Administration, or FDA, has approved several vaccines. Although vaccines are generally available in the United States and Europe, and certain countries in South America, Asia and Oceania,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or variants, which could negatively impact our volumes and revenue and limit our ability to reliably forecast our test volumes and levels of revenue.</w:t>
      </w:r>
    </w:p>
    <w:p>
      <w:pPr>
        <w:spacing w:after="0" w:line="201"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206" w:lineRule="exact"/>
        <w:rPr>
          <w:sz w:val="20"/>
          <w:szCs w:val="20"/>
          <w:color w:val="auto"/>
        </w:rPr>
      </w:pPr>
    </w:p>
    <w:p>
      <w:pPr>
        <w:ind w:left="640" w:hanging="31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of healthcare providers to deliver anticipated total test volumes due to temporary or permanent staff attrition.</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not be able to manage our business effectively due to lab or other key employees becoming ill, and/or being unable to travel to our facilities.</w:t>
      </w:r>
    </w:p>
    <w:p>
      <w:pPr>
        <w:spacing w:after="0" w:line="81" w:lineRule="exact"/>
        <w:rPr>
          <w:rFonts w:ascii="Arial" w:cs="Arial" w:eastAsia="Arial" w:hAnsi="Arial"/>
          <w:sz w:val="16"/>
          <w:szCs w:val="16"/>
          <w:color w:val="auto"/>
        </w:rPr>
      </w:pPr>
    </w:p>
    <w:p>
      <w:pPr>
        <w:ind w:left="640" w:hanging="315"/>
        <w:spacing w:after="0" w:line="26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and our customers, suppliers, third-party contract manufacturers, and collaboration partners may be prevented from operating worksites, including manufacturing facilities, due to employee illness, reluctance to appear at work or “stay-at-home” regulations.</w:t>
      </w:r>
    </w:p>
    <w:p>
      <w:pPr>
        <w:spacing w:after="0" w:line="19" w:lineRule="exact"/>
        <w:rPr>
          <w:rFonts w:ascii="Arial" w:cs="Arial" w:eastAsia="Arial" w:hAnsi="Arial"/>
          <w:sz w:val="18"/>
          <w:szCs w:val="18"/>
          <w:color w:val="auto"/>
        </w:rPr>
      </w:pPr>
    </w:p>
    <w:p>
      <w:pPr>
        <w:jc w:val="both"/>
        <w:ind w:left="640" w:hanging="315"/>
        <w:spacing w:after="0" w:line="286" w:lineRule="auto"/>
        <w:tabs>
          <w:tab w:leader="none" w:pos="6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reagents or supplies) and timely shipment of our products due to challenges in receiving reagents and supplies may impact our ability to perform our tests.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total test volumes or levels of revenue.</w:t>
      </w:r>
    </w:p>
    <w:p>
      <w:pPr>
        <w:spacing w:after="0" w:line="7" w:lineRule="exact"/>
        <w:rPr>
          <w:rFonts w:ascii="Arial" w:cs="Arial" w:eastAsia="Arial" w:hAnsi="Arial"/>
          <w:sz w:val="16"/>
          <w:szCs w:val="16"/>
          <w:color w:val="auto"/>
        </w:rPr>
      </w:pPr>
    </w:p>
    <w:p>
      <w:pPr>
        <w:ind w:left="640" w:hanging="315"/>
        <w:spacing w:after="0" w:line="26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patient demand for, or provider capacity to deliver, diagnostic testing and elective procedures generally (which may impact our ability to deliver to our revenue estimates).</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our clinical trials and studies due to temporary or permanent staff attrition at our investigator sites, or patient reticence to participate in clinical studies.</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of the operations of our third-party contract manufacturers and suppliers, which could impact our ability to purchase components at efficient prices and in sufficient amounts.</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need to raise capital, and if we raise capital by issuing equity securities, our common stock may be diluted.</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common stock may drop or remain volatile.</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incur significant employee health care costs under our insurance programs.</w:t>
      </w:r>
    </w:p>
    <w:p>
      <w:pPr>
        <w:spacing w:after="0" w:line="58" w:lineRule="exact"/>
        <w:rPr>
          <w:rFonts w:ascii="Arial" w:cs="Arial" w:eastAsia="Arial" w:hAnsi="Arial"/>
          <w:sz w:val="18"/>
          <w:szCs w:val="18"/>
          <w:color w:val="auto"/>
        </w:rPr>
      </w:pPr>
    </w:p>
    <w:p>
      <w:pPr>
        <w:ind w:left="640" w:right="20" w:hanging="315"/>
        <w:spacing w:after="0" w:line="266"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or delay of regulatory bodies to conduct inspections/surveys, review or clear/approve our regulatory filings and submissions, and perform other activities necessary for us to conduct our business.</w:t>
      </w:r>
    </w:p>
    <w:p>
      <w:pPr>
        <w:spacing w:after="0" w:line="73"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The extent of the impact of COVID-19 on our business and financial results will depend largely on future developments, including the deployment, efficacy, availability and utilization of vaccines, the emergence of new variant strains of COVID-19,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to perform our tests, and we may not be able to find replacements or transition to alternative suppliers, which may materially impact our ability to generate revenue.</w:t>
      </w:r>
    </w:p>
    <w:p>
      <w:pPr>
        <w:spacing w:after="0" w:line="20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rely on sole suppliers for critical supply of reagents, equipment and other materials and services that we use to perform our tests, to manufacture the nCounter Analysis System for diagnostic use and Prosigna test kits sold to customers. We also purchase components used in our sample collection kits from sole-source suppliers. Some of these items are unique to these suppliers and vendors and their inability to provide us with reagents that perform to specifications, could negatively impact our ability to provide timely response and reports to our customers and, as a result, may materially impact our ability to generate revenue.</w:t>
      </w:r>
    </w:p>
    <w:p>
      <w:pPr>
        <w:spacing w:after="0" w:line="221"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tests to physicians or deliver patient reports and we may incur higher one-time switching costs.</w:t>
      </w:r>
    </w:p>
    <w:p>
      <w:pPr>
        <w:spacing w:after="0" w:line="218"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We rely on NanoString for the supply of the nCounter Analysis System for diagnostic use and Prosigna test kits. As part of the HalioDx Acquisition we have begun to migrate manufacture of the test kits for the nCounter from NanoString to HalioDx. In the future, we may need to transition the manufacture of the nCounter Analysis System for diagnostic use from NanoString to Veracyte. While we are preparing for such transition, we cannot be certain that we will be successful in effectively manufacturing the system or acquiring or retaining the talent, skillset, or suppliers required to manufacture the system.</w:t>
      </w:r>
    </w:p>
    <w:p>
      <w:pPr>
        <w:spacing w:after="0" w:line="189"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Periodically, as a result of the COVID-19 pandemic and other challenges to global supply chains, we experienced supply chain disruptions in the supply of plastic materials used in the processing of samples, although this has not resulted in delays in our ability to timely return test results. Carriers responsible for transporting samples to us continue to operate at lower than usual capacity because of COVID-19, at times causing delays in the timeliness of our receipt of samples.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20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unable to secure a replacement.</w:t>
      </w:r>
    </w:p>
    <w:p>
      <w:pPr>
        <w:spacing w:after="0" w:line="20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rely on Thyroid Cytopathology Partners, or TCP, to provide cytopathology professional diagnoses on thyroid fine needle aspiration, or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2023, and automatically renews for successive one year terms unless either party terminates with twelve months notice.</w:t>
      </w:r>
    </w:p>
    <w:p>
      <w:pPr>
        <w:spacing w:after="0" w:line="221"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If TCP were unable to support our current cytology test volume or future increases in total cytology test volume or to provide the quality of services we require, or if we were unable to agree on commercial terms and our relationship with TCP were to terminate, our business could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or solution could be time consuming and would result in delays in processing Afirma tests until a replacement was fully integrated with our test processing operations.</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32"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are unable to support demand for our tests, services or products, our business could suffer.</w:t>
      </w:r>
    </w:p>
    <w:p>
      <w:pPr>
        <w:spacing w:after="0" w:line="245"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As demand for our tests, services and products grow, we will need to continue to scale our capacity and processing technology, expand customer service, billing and systems processes, enhance our internal quality assurance program and expand our manufacturing capacity. We will also need additional certified laboratory scientists as well as other scientific and technical personnel to process higher volumes. We cannot assure you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21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20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208"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05"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involved the use of a range of rates that fell between zero and 80% of the calculated California-specific Medicare rate and the calculation of a weighted average (based on units billed) of such rates. Effective for dates of service on or after July 1, 2022,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cap at 80% of the Medicare rate has been replaced with a cap at 100% of the lowest maximum allowance established by the federal Medicare program for the same or similar services.</w:t>
      </w:r>
    </w:p>
    <w:p>
      <w:pPr>
        <w:spacing w:after="0" w:line="206"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22"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18"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CMS bundles payments for many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spacing w:after="0" w:line="218"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There can be no assurance that the payment rate for Afirma or Prosigna will not decrease in the future or that the payment rates for Decipher Prostate Biopsy, Decipher Prostate RP or Decipher Bladder will not be adversely affected by the PAMA law and regulations.</w:t>
      </w:r>
    </w:p>
    <w:p>
      <w:pPr>
        <w:spacing w:after="0" w:line="205"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0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22"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cannot predict whether these revisions will delay future LCDs and result in impeded coverage for our test products, which could have a material negative impact on revenue.</w:t>
      </w:r>
    </w:p>
    <w:p>
      <w:pPr>
        <w:spacing w:after="0" w:line="206"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In December 2020, in its enactment of the CAA, Congress enacted the No Surprises Act. This law, which took effect on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have implemented the No Surprises Act through rulemakings issued on July 1, 2021, September 30, 2021, and August 19, 2022. The No Surprises Act, and regulations and subregulatory guidance promulgated thereunder, could limit our ability to achieve payment in full for our testing services.</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45"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spacing w:after="0" w:line="215"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Effective January 1,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Afirma, Decipher Prostate Biopsy, Decipher Prostate RP,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0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20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In the CY 2020 Hospital Outpatient Prospective Payment System Proposed Rule, CMS solicited comments on potential revisions to these billing rules that could have impacted our ability to bill Medicare directly for our Afirma, Decipher Prostate Biopsy, Decipher Prostate RP,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18"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In addition, we must maintain CLIA compliance and certification to sell our tests and be eligible to bill for diagnostic services provided to Medicare beneficiaries.</w:t>
      </w:r>
    </w:p>
    <w:p>
      <w:pPr>
        <w:spacing w:after="0" w:line="206"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If the FDA or foreign authorities were to begin regulating those of our tests that they do not currently regulate, we could incur substantial costs and delays associated with trying to obtain premarket clearance, approval or certification.</w:t>
      </w:r>
    </w:p>
    <w:p>
      <w:pPr>
        <w:spacing w:after="0" w:line="20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concerning LDTs. While the FDA has maintained its authority to regulate LDTs, it has generally exercised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We believe that the Afirma, Decipher Prostate Biopsy, Decipher Prostate RP, Envisia, and Decipher Bladder classifiers, have been developed and are performed in a manner consistent with the FDA’s enforcement discretion policy concerning LDTs.</w:t>
      </w:r>
    </w:p>
    <w:p>
      <w:pPr>
        <w:spacing w:after="0" w:line="208"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On October 3, 2023, the FDA issued a notice proposing to amend its regulations to make explicit that IVDs are devices under the Federal Food, Drug, and Cosmetic Act (FDC Act), including when the manufacturer of the IVD is a laboratory. In conjunction with this proposed amendment, the FDA proposed to phase out its general enforcement discretion approach for LDTs so that IVDs manufactured by a laboratory would generally fall under the same enforcement approach as other IVDs. If the proposed rule is finalized as it is currently drafted, the FDA will gradually end its general enforcement discretion approach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five stages over a four-year period. Each stage of the proposed phaseout period would subject LDTs to a set of regulatory requirements. For example, the first stage of the phaseout would require LDT developers to comply with medical device reporting requirements and correction and reporting requirements within one year after the FDA publishes the final phaseout policy. LDTs that are considered higher risk IVDs would be subject to premarket review requirements within three and a half years, and LDTs that are considered moderate or low risk IVDs would be subject to premarket submission requirements within four years after FDA publishes the final phaseout policy. While the enforcement policy is phased out, the FDA could still decide to pursue enforcement action at any time against LDTs that it deems to be violative of its regulations when appropriate. We cannot predict when, or if, the proposed rule will be finalized and, if it is, whether any substantial changes will be made to the rule.</w:t>
      </w:r>
    </w:p>
    <w:p>
      <w:pPr>
        <w:spacing w:after="0" w:line="206"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If the FDA were to determine that Afirma, Decipher Prostate Biopsy, Decipher Prostate RP, Envisia and Decipher Bladder classifiers are not within the scope of FDA's enforcement discretion policy for LDTs for any reason, including new rules, regulations, policies or guidance, or due to changes in statute, our tests may become subject to extensive FDA requirements, or our business may otherwise be adversely affected. If the FDA were to disagree with our LDT status or modify its approach to regulating LDTs as currently proposed or otherwise, we could experience reduced revenue or increased costs, which could adversely affect our business, prospects, results of operations and financial condition.</w:t>
      </w:r>
    </w:p>
    <w:p>
      <w:pPr>
        <w:spacing w:after="0" w:line="208"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introduced in the House of Representatives in March 2023. As proposed, the bill would create a precertification program for lower risk tests not otherwise required to go through premarket review. It would grandfather certain existing tests from some requirements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208"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w:t>
      </w:r>
    </w:p>
    <w:p>
      <w:pPr>
        <w:spacing w:after="0" w:line="221"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7"/>
          <w:szCs w:val="17"/>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While it is possible that our Afirma, Decipher Prostate Biopsy, Decipher Prostate RP, Envisia, and Decipher Bladder classifiers, would be “grandfathered” and therefore exempted from some new regulatory requirements, FDA’s proposed rule does not include a grandfathering approach. There can be no assurance of what the FDA might ultimately require if it finalizes the proposed rule, issues a revised rule, or if legislative reforms are enacted.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future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3" w:lineRule="auto"/>
        <w:rPr>
          <w:sz w:val="20"/>
          <w:szCs w:val="20"/>
          <w:color w:val="auto"/>
        </w:rPr>
      </w:pPr>
      <w:r>
        <w:rPr>
          <w:rFonts w:ascii="Arial" w:cs="Arial" w:eastAsia="Arial" w:hAnsi="Arial"/>
          <w:sz w:val="17"/>
          <w:szCs w:val="17"/>
          <w:color w:val="auto"/>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medical device, or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the FDA to investigate our purchase and use of supplier products and for the Agency to question whether or not Veracyte has violated the FDC Act.</w:t>
      </w:r>
    </w:p>
    <w:p>
      <w:pPr>
        <w:spacing w:after="0" w:line="21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spacing w:after="0" w:line="215" w:lineRule="exact"/>
        <w:rPr>
          <w:sz w:val="20"/>
          <w:szCs w:val="20"/>
          <w:color w:val="auto"/>
        </w:rPr>
      </w:pPr>
    </w:p>
    <w:p>
      <w:pPr>
        <w:jc w:val="both"/>
        <w:ind w:firstLine="128"/>
        <w:spacing w:after="0" w:line="329" w:lineRule="auto"/>
        <w:rPr>
          <w:sz w:val="20"/>
          <w:szCs w:val="20"/>
          <w:color w:val="auto"/>
        </w:rPr>
      </w:pPr>
      <w:r>
        <w:rPr>
          <w:rFonts w:ascii="Arial" w:cs="Arial" w:eastAsia="Arial" w:hAnsi="Arial"/>
          <w:sz w:val="16"/>
          <w:szCs w:val="16"/>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60"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rather than through a PMA for class I or class II devices if the 510(k) pathway is not available. If the FDA finalizes the proposed rule to regulate LDTs as medical devices as it is currently drafted, we will need to obtain the appropriate marketing clearance, approval, or authorization for each or our tests that currently offered as LDTs in accordance with the timelines provided in the final rule.</w:t>
      </w:r>
    </w:p>
    <w:p>
      <w:pPr>
        <w:spacing w:after="0" w:line="20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In September 2013, Prosigna was granted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18"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19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there is no assurance that we would be able to obtain clearance or approval for any of our diagnostic devices in development as a companion diagnostic device or that any such clearance or approval will occur without significant delay.</w:t>
      </w:r>
    </w:p>
    <w:p>
      <w:pPr>
        <w:spacing w:after="0" w:line="206"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Any medical device product for which we obtain marketing authorization, including any tests that are currently offered as LDTs,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If the FDA finalizes its proposed rule to regulate LDTs as medical devices as it is currently drafted, these regulatory requirements will become applicable to our tests that are currently offered as LDTs in stages, including any applicable premarket approval, clearance, or authorization requirements.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510(k) clearance, or De Novo authorization approval from the FDA and are therefore supplementing our operational capabilities to manage the more complex processes needed to obtain and maintain marketing authorization.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198"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208"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01"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21"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11"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 will remain valid until June 30, 2030. Manufacturers may choose to use the UKCA mark on a voluntary basis until June 30, 2030.</w:t>
      </w:r>
    </w:p>
    <w:p>
      <w:pPr>
        <w:spacing w:after="0" w:line="195"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For IVD medical devices, the regime is expected to come into force in July 2030,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223"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2030, subject to validity on the certificate. For medical devices, including IVD MDs, placed on the market in Great Britain after this period, the UKCA marking will be mandatory and subject to positive review and issuance of a certificate by an accredited Authorized Body. In contrast, UKCA marking and certificates issued by UK notified regulatory bodies are not yet recognized on the EU market.</w:t>
      </w:r>
    </w:p>
    <w:p>
      <w:pPr>
        <w:spacing w:after="0" w:line="222"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22"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A mutual recognition agreement (MRA) aligning IVD regulations between the European Union and Switzerland has officially expired following the In Vitro Diagnostic Medical Devices Regulation’s (IVDR) May 26, 2022 date of application, impacting certification and authorized representation requirements for manufacturers. The Swiss government has issued its own Ordinance on In Vitro Diagnostic Medical Devices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modifications may have an effect on the way we intend to conduct our business in these countries.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128"/>
        <w:spacing w:after="0" w:line="256" w:lineRule="auto"/>
        <w:rPr>
          <w:sz w:val="20"/>
          <w:szCs w:val="20"/>
          <w:color w:val="auto"/>
        </w:rPr>
      </w:pPr>
      <w:r>
        <w:rPr>
          <w:rFonts w:ascii="Arial" w:cs="Arial" w:eastAsia="Arial" w:hAnsi="Arial"/>
          <w:sz w:val="18"/>
          <w:szCs w:val="18"/>
          <w:b w:val="1"/>
          <w:bCs w:val="1"/>
          <w:i w:val="1"/>
          <w:iCs w:val="1"/>
          <w:color w:val="auto"/>
        </w:rPr>
        <w:t>If we are unable to obtain marketing authorizations or certifications, approvals, clearances or certifications to market Prosigna or our other assays on the nCounter Analysis System or other IVD platforms in additional countries or if regulatory limitations are placed on our diagnostic kit products, our business and growth will be harmed.</w:t>
      </w:r>
    </w:p>
    <w:p>
      <w:pPr>
        <w:spacing w:after="0" w:line="215"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 We cannot guarantee that the regulatory authorization or certification for Prosigna will be granted or, if granted, will not be revoked, which could adversely impact our business, financial condition, and operations.</w:t>
      </w:r>
    </w:p>
    <w:p>
      <w:pPr>
        <w:spacing w:after="0" w:line="204"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06"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19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22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206"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the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spacing w:after="0" w:line="197"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Prosigna is our only test that will require recertification. Moreover, complying with the stricter regulatory requirements of the IVDR, including with respect to clinical evaluation requirements, quality systems, and post-market surveillance, may require us to incur significant expenditures. Failure to meet these requirements could adversely impact our business in the EU and EEA and other regions that tie their product registrations or regulations to the EU requirements.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The IVDR became applicable five years after publication on May 26, 2022 and once applicable to a particular product, the IVDR will among other things:</w:t>
      </w:r>
    </w:p>
    <w:p>
      <w:pPr>
        <w:spacing w:after="0" w:line="206" w:lineRule="exact"/>
        <w:rPr>
          <w:sz w:val="20"/>
          <w:szCs w:val="20"/>
          <w:color w:val="auto"/>
        </w:rPr>
      </w:pPr>
    </w:p>
    <w:p>
      <w:pPr>
        <w:ind w:left="640" w:hanging="31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explicit provisions on importers’ and distributors’ obligations and responsibilities;</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an obligation to identify a responsible person who is ultimately responsible for all aspects of compliance with the requirements of the new regulation;</w:t>
      </w:r>
    </w:p>
    <w:p>
      <w:pPr>
        <w:spacing w:after="0" w:line="19"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 up a central database (Eudamed) to provide patients, healthcare professionals and the public with comprehensive information on products available in the EU;</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recourse for damage caused by a defective device; and</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that may have to undergo an additional check by experts before they are placed on the market.</w:t>
      </w:r>
    </w:p>
    <w:p>
      <w:pPr>
        <w:spacing w:after="0" w:line="20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221"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the FDA has issued a proposed rule to revise the QSR to more closely align with ISO 13485:2016 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the FDA or global regulatory authority action in any of these areas could significantly increase our expenses and limit our revenue and profitability.</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and/or achieve profitability.</w:t>
      </w:r>
    </w:p>
    <w:p>
      <w:pPr>
        <w:spacing w:after="0" w:line="245"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operate in a highly competitive market. For our Afirma genomic classifier we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21"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Our Decipher Prostate test faces competition from Myriad Genetics and MDx Health, which offer genomic testing for prognostic purposes within localized prostate cancer. Additionally, traditional methods used by pathologists and clinicians to estimate risk of disease progression pose competitive threats to our business in addition to new technologies such as artificial intelligence and digital pathology.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spacing w:after="0" w:line="191"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We believe our primary competition in pulmonology with our Envisia classifiers will similarly come from traditional methods used by physicians to diagnose the related diseases. For the Percepta Nasal Swab test, we expect competition from</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215" w:lineRule="exact"/>
        <w:rPr>
          <w:sz w:val="20"/>
          <w:szCs w:val="20"/>
          <w:color w:val="auto"/>
        </w:rPr>
      </w:pPr>
    </w:p>
    <w:p>
      <w:pPr>
        <w:jc w:val="both"/>
        <w:ind w:right="20" w:firstLine="399"/>
        <w:spacing w:after="0" w:line="266" w:lineRule="auto"/>
        <w:rPr>
          <w:sz w:val="20"/>
          <w:szCs w:val="20"/>
          <w:color w:val="auto"/>
        </w:rPr>
      </w:pPr>
      <w:r>
        <w:rPr>
          <w:rFonts w:ascii="Arial" w:cs="Arial" w:eastAsia="Arial" w:hAnsi="Arial"/>
          <w:sz w:val="18"/>
          <w:szCs w:val="18"/>
          <w:color w:val="auto"/>
        </w:rPr>
        <w:t>As we expand our portfolio of tests, we may also face competition from companies informing treatment decisions such as Guardant Health or Foundation Medicine, Inc. Competition could also emerge using alternative samples, such as blood, urine or sputum.</w:t>
      </w:r>
    </w:p>
    <w:p>
      <w:pPr>
        <w:spacing w:after="0" w:line="206"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Quest Diagnostics,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 and we also may face competition from competitors of our biopharma services such as Neogenomics, Adaptive, Tempus and Akoya.</w:t>
      </w:r>
    </w:p>
    <w:p>
      <w:pPr>
        <w:spacing w:after="0" w:line="208"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15"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206"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products and services, we will face many of these same competitive risks.</w:t>
      </w:r>
    </w:p>
    <w:p>
      <w:pPr>
        <w:spacing w:after="0" w:line="193" w:lineRule="exact"/>
        <w:rPr>
          <w:sz w:val="20"/>
          <w:szCs w:val="20"/>
          <w:color w:val="auto"/>
        </w:rPr>
      </w:pPr>
    </w:p>
    <w:p>
      <w:pPr>
        <w:jc w:val="both"/>
        <w:ind w:firstLine="128"/>
        <w:spacing w:after="0" w:line="250" w:lineRule="auto"/>
        <w:rPr>
          <w:sz w:val="20"/>
          <w:szCs w:val="20"/>
          <w:color w:val="auto"/>
        </w:rPr>
      </w:pPr>
      <w:r>
        <w:rPr>
          <w:rFonts w:ascii="Arial" w:cs="Arial" w:eastAsia="Arial" w:hAnsi="Arial"/>
          <w:sz w:val="18"/>
          <w:szCs w:val="18"/>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220" w:lineRule="exact"/>
        <w:rPr>
          <w:sz w:val="20"/>
          <w:szCs w:val="20"/>
          <w:color w:val="auto"/>
        </w:rPr>
      </w:pPr>
    </w:p>
    <w:p>
      <w:pPr>
        <w:jc w:val="both"/>
        <w:ind w:firstLine="399"/>
        <w:spacing w:after="0" w:line="278" w:lineRule="auto"/>
        <w:rPr>
          <w:sz w:val="20"/>
          <w:szCs w:val="20"/>
          <w:color w:val="auto"/>
        </w:rPr>
      </w:pPr>
      <w:r>
        <w:rPr>
          <w:rFonts w:ascii="Arial" w:cs="Arial" w:eastAsia="Arial" w:hAnsi="Arial"/>
          <w:sz w:val="17"/>
          <w:szCs w:val="17"/>
          <w:color w:val="auto"/>
        </w:rPr>
        <w:t>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19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w:t>
      </w:r>
    </w:p>
    <w:p>
      <w:pPr>
        <w:spacing w:after="0" w:line="22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w:t>
      </w:r>
    </w:p>
    <w:p>
      <w:pPr>
        <w:spacing w:after="0" w:line="215"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w:t>
      </w:r>
    </w:p>
    <w:p>
      <w:pPr>
        <w:spacing w:after="0" w:line="221"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Finally, we rely, in part, on equity awards to compensate and incentivize our employees to drive our further growth. As the equity capital markets have been highly volatile in recent periods and the price of our common stock has declined, certain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206"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in order to collect cash and be paid.</w:t>
      </w:r>
    </w:p>
    <w:p>
      <w:pPr>
        <w:spacing w:after="0" w:line="206"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45" w:lineRule="exact"/>
        <w:rPr>
          <w:sz w:val="20"/>
          <w:szCs w:val="20"/>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4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payers, such as Medicare and Medicaid, including requirements to have an active CLIA certificate;</w:t>
      </w:r>
    </w:p>
    <w:p>
      <w:pPr>
        <w:spacing w:after="0" w:line="20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 and other government payers;</w:t>
      </w:r>
    </w:p>
    <w:p>
      <w:pPr>
        <w:spacing w:after="0" w:line="24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4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20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4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payers may argue technical contract noncompliance and withhold payment;</w:t>
      </w:r>
    </w:p>
    <w:p>
      <w:pPr>
        <w:spacing w:after="0" w:line="24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4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45" w:lineRule="exact"/>
        <w:rPr>
          <w:rFonts w:ascii="Arial" w:cs="Arial" w:eastAsia="Arial" w:hAnsi="Arial"/>
          <w:sz w:val="18"/>
          <w:szCs w:val="18"/>
          <w:color w:val="auto"/>
        </w:rPr>
      </w:pPr>
    </w:p>
    <w:p>
      <w:pPr>
        <w:ind w:left="640" w:hanging="31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45"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use standard industry billing codes, known as CPT codes, to bill for our tests, including cytopathology. Through December 31, 2020, we used the CPT code 81545 to bill for our Afirma classifier. Effective January 1, 2021, we began using the new CPT code 81546 to bill for our Afirma classifier, and code 81545 was retired. Effective January 1, 2020, we began using CPT code 81542 to bill for Decipher Prostate Biopsy and Decipher Prostate RP tests. Effective January 1, 2021, we began using the new CPT code 81554 to bill for our Envisia classifier. Effective October 1, 2020, we began using CPT code 0016M to bill for our Decipher Bladder test.</w:t>
      </w:r>
    </w:p>
    <w:p>
      <w:pPr>
        <w:spacing w:after="0" w:line="221"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22" w:lineRule="exact"/>
        <w:rPr>
          <w:sz w:val="20"/>
          <w:szCs w:val="20"/>
          <w:color w:val="auto"/>
        </w:rPr>
      </w:pPr>
    </w:p>
    <w:p>
      <w:pPr>
        <w:jc w:val="both"/>
        <w:ind w:firstLine="399"/>
        <w:spacing w:after="0" w:line="329"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subsequent updates, such coding policy changes may negatively affect our total revenue and cash flow.</w:t>
      </w:r>
    </w:p>
    <w:p>
      <w:pPr>
        <w:spacing w:after="0" w:line="222"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68"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6" w:lineRule="exact"/>
        <w:rPr>
          <w:sz w:val="20"/>
          <w:szCs w:val="20"/>
          <w:color w:val="auto"/>
        </w:rPr>
      </w:pPr>
    </w:p>
    <w:p>
      <w:pPr>
        <w:jc w:val="both"/>
        <w:ind w:firstLine="128"/>
        <w:spacing w:after="0" w:line="256"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215" w:lineRule="exact"/>
        <w:rPr>
          <w:sz w:val="20"/>
          <w:szCs w:val="20"/>
          <w:color w:val="auto"/>
        </w:rPr>
      </w:pPr>
    </w:p>
    <w:p>
      <w:pPr>
        <w:jc w:val="both"/>
        <w:ind w:firstLine="402"/>
        <w:spacing w:after="0" w:line="250" w:lineRule="auto"/>
        <w:rPr>
          <w:sz w:val="20"/>
          <w:szCs w:val="20"/>
          <w:color w:val="auto"/>
        </w:rPr>
      </w:pPr>
      <w:r>
        <w:rPr>
          <w:rFonts w:ascii="Arial" w:cs="Arial" w:eastAsia="Arial" w:hAnsi="Arial"/>
          <w:sz w:val="18"/>
          <w:szCs w:val="18"/>
          <w:color w:val="auto"/>
        </w:rPr>
        <w:t>If our internal sales force is not successful or new additions to our sales team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subsequent molecular diagnostic tests and products, thereby hindering the desired expansion of our business. We have growing, however limited, historical experience forecasting the direct sales of our molecular diagnostics tests and products. Our ability to produce total test volumes that meet customer demand is dependent upon our ability to forecast accurately and plan production capacities accordingly.</w:t>
      </w:r>
    </w:p>
    <w:p>
      <w:pPr>
        <w:spacing w:after="0" w:line="222" w:lineRule="exact"/>
        <w:rPr>
          <w:sz w:val="20"/>
          <w:szCs w:val="20"/>
          <w:color w:val="auto"/>
        </w:rPr>
      </w:pPr>
    </w:p>
    <w:p>
      <w:pPr>
        <w:ind w:right="180" w:firstLine="128"/>
        <w:spacing w:after="0" w:line="250"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220"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as publicly announced, the commercialization of our tests may be delayed or may not occur at all and, as a result, our business will suffer and our stock price may decline.</w:t>
      </w:r>
    </w:p>
    <w:p>
      <w:pPr>
        <w:spacing w:after="0" w:line="221"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utility studies that meet individual payer evidence requirements to obtain reimbursement. Even after launching new products, we must complete additional studies that meet the clinical evidence required by individual payers to obtain reimbursement.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Moreover, we may experience delays in the development and introduction of new products due to the effects of the COVID-19 pandemic and the emergence of new variants.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order to develop and commercialize diagnostic tests to be run in our CLIA lab, we need to:</w:t>
      </w:r>
    </w:p>
    <w:p>
      <w:pPr>
        <w:spacing w:after="0" w:line="245" w:lineRule="exact"/>
        <w:rPr>
          <w:sz w:val="20"/>
          <w:szCs w:val="20"/>
          <w:color w:val="auto"/>
        </w:rPr>
      </w:pPr>
    </w:p>
    <w:p>
      <w:pPr>
        <w:ind w:left="640" w:hanging="31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the commercial, regulatory, and compliance infrastructure to market and sell new products.</w:t>
      </w:r>
    </w:p>
    <w:p>
      <w:pPr>
        <w:spacing w:after="0" w:line="245"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Our product development process involves a high degree of risk and may take several years. Our test and product development efforts may fail for many reasons, including:</w:t>
      </w:r>
    </w:p>
    <w:p>
      <w:pPr>
        <w:spacing w:after="0" w:line="206" w:lineRule="exact"/>
        <w:rPr>
          <w:sz w:val="20"/>
          <w:szCs w:val="20"/>
          <w:color w:val="auto"/>
        </w:rPr>
      </w:pPr>
    </w:p>
    <w:p>
      <w:pPr>
        <w:ind w:left="640" w:hanging="315"/>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inability to secure sufficient numbers of samples at an acceptable cost and on an acceptable timeframe to conduct analytical and clinical studies; or</w:t>
      </w:r>
    </w:p>
    <w:p>
      <w:pPr>
        <w:spacing w:after="0" w:line="81" w:lineRule="exact"/>
        <w:rPr>
          <w:rFonts w:ascii="Arial" w:cs="Arial" w:eastAsia="Arial" w:hAnsi="Arial"/>
          <w:sz w:val="16"/>
          <w:szCs w:val="16"/>
          <w:color w:val="auto"/>
        </w:rPr>
      </w:pPr>
    </w:p>
    <w:p>
      <w:pPr>
        <w:ind w:left="640" w:hanging="315"/>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45"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spacing w:after="0" w:line="225" w:lineRule="exact"/>
        <w:rPr>
          <w:sz w:val="20"/>
          <w:szCs w:val="20"/>
          <w:color w:val="auto"/>
        </w:rPr>
      </w:pPr>
    </w:p>
    <w:p>
      <w:pPr>
        <w:jc w:val="both"/>
        <w:ind w:right="20" w:firstLine="128"/>
        <w:spacing w:after="0" w:line="266"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20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2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206"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206" w:lineRule="exact"/>
        <w:rPr>
          <w:sz w:val="20"/>
          <w:szCs w:val="20"/>
          <w:color w:val="auto"/>
        </w:rPr>
      </w:pPr>
    </w:p>
    <w:p>
      <w:pPr>
        <w:jc w:val="both"/>
        <w:ind w:left="640" w:hanging="315"/>
        <w:spacing w:after="0" w:line="269"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07" w:lineRule="exact"/>
        <w:rPr>
          <w:rFonts w:ascii="Arial" w:cs="Arial" w:eastAsia="Arial" w:hAnsi="Arial"/>
          <w:sz w:val="17"/>
          <w:szCs w:val="17"/>
          <w:color w:val="auto"/>
        </w:rPr>
      </w:pPr>
    </w:p>
    <w:p>
      <w:pPr>
        <w:ind w:left="640" w:hanging="31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 including requirements to have an active CLIA certificate;</w:t>
      </w:r>
    </w:p>
    <w:p>
      <w:pPr>
        <w:spacing w:after="0" w:line="245"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40" w:hanging="315"/>
        <w:spacing w:after="0" w:line="25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215" w:lineRule="exact"/>
        <w:rPr>
          <w:rFonts w:ascii="Arial" w:cs="Arial" w:eastAsia="Arial" w:hAnsi="Arial"/>
          <w:sz w:val="18"/>
          <w:szCs w:val="18"/>
          <w:color w:val="auto"/>
        </w:rPr>
      </w:pPr>
    </w:p>
    <w:p>
      <w:pPr>
        <w:jc w:val="both"/>
        <w:ind w:left="640" w:hanging="315"/>
        <w:spacing w:after="0" w:line="253"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17" w:lineRule="exact"/>
        <w:rPr>
          <w:rFonts w:ascii="Arial" w:cs="Arial" w:eastAsia="Arial" w:hAnsi="Arial"/>
          <w:sz w:val="18"/>
          <w:szCs w:val="18"/>
          <w:color w:val="auto"/>
        </w:rPr>
      </w:pPr>
    </w:p>
    <w:p>
      <w:pPr>
        <w:jc w:val="both"/>
        <w:ind w:left="640" w:hanging="315"/>
        <w:spacing w:after="0" w:line="27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98" w:lineRule="exact"/>
        <w:rPr>
          <w:rFonts w:ascii="Arial" w:cs="Arial" w:eastAsia="Arial" w:hAnsi="Arial"/>
          <w:sz w:val="17"/>
          <w:szCs w:val="17"/>
          <w:color w:val="auto"/>
        </w:rPr>
      </w:pPr>
    </w:p>
    <w:p>
      <w:pPr>
        <w:ind w:left="640" w:hanging="315"/>
        <w:spacing w:after="0" w:line="26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205" w:lineRule="exact"/>
        <w:rPr>
          <w:rFonts w:ascii="Arial" w:cs="Arial" w:eastAsia="Arial" w:hAnsi="Arial"/>
          <w:sz w:val="18"/>
          <w:szCs w:val="18"/>
          <w:color w:val="auto"/>
        </w:rPr>
      </w:pPr>
    </w:p>
    <w:p>
      <w:pPr>
        <w:jc w:val="both"/>
        <w:ind w:left="640" w:hanging="315"/>
        <w:spacing w:after="0" w:line="253"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spacing w:after="0" w:line="217"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1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20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205"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215"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15"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215"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4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205"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enforcing our intellectual property rights; and</w:t>
      </w:r>
    </w:p>
    <w:p>
      <w:pPr>
        <w:spacing w:after="0" w:line="245" w:lineRule="exact"/>
        <w:rPr>
          <w:rFonts w:ascii="Arial" w:cs="Arial" w:eastAsia="Arial" w:hAnsi="Arial"/>
          <w:sz w:val="18"/>
          <w:szCs w:val="18"/>
          <w:color w:val="auto"/>
        </w:rPr>
      </w:pPr>
    </w:p>
    <w:p>
      <w:pPr>
        <w:ind w:left="640" w:hanging="31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laws and regulations equivalent to the above.</w:t>
      </w:r>
    </w:p>
    <w:p>
      <w:pPr>
        <w:spacing w:after="0" w:line="245"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3"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(including physicians and labs),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96"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189"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and we cannot ensure that all our employees, agents, contractors, vendors, licensees, partners or collaborators will comply, or have historically complied, with all applicable laws and regulations.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45"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We must successfully integrate the HalioDx and Decipher Biosciences businesses to realize the financial goals that we currently anticipate.</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Risks we face in connection with the ongoing integration of HalioDx and Decipher Biosciences include:</w:t>
      </w:r>
    </w:p>
    <w:p>
      <w:pPr>
        <w:spacing w:after="0" w:line="165"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difficulties managing acquired products and tests or retaining key personnel from the acquired businesses;</w:t>
      </w:r>
    </w:p>
    <w:p>
      <w:pPr>
        <w:spacing w:after="0" w:line="165" w:lineRule="exact"/>
        <w:rPr>
          <w:rFonts w:ascii="Arial" w:cs="Arial" w:eastAsia="Arial" w:hAnsi="Arial"/>
          <w:sz w:val="18"/>
          <w:szCs w:val="18"/>
          <w:color w:val="auto"/>
        </w:rPr>
      </w:pPr>
    </w:p>
    <w:p>
      <w:pPr>
        <w:jc w:val="both"/>
        <w:ind w:left="640" w:hanging="315"/>
        <w:spacing w:after="0" w:line="253"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37" w:lineRule="exact"/>
        <w:rPr>
          <w:rFonts w:ascii="Arial" w:cs="Arial" w:eastAsia="Arial" w:hAnsi="Arial"/>
          <w:sz w:val="18"/>
          <w:szCs w:val="18"/>
          <w:color w:val="auto"/>
        </w:rPr>
      </w:pPr>
    </w:p>
    <w:p>
      <w:pPr>
        <w:jc w:val="both"/>
        <w:ind w:left="640" w:hanging="315"/>
        <w:spacing w:after="0" w:line="253"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termination or modification of which may be costly or disruptive to our business; (iii) unfavorable accounting treatment as a result of the acquired businesses' practices; and (iv) intellectual property claims or disputes;</w:t>
      </w:r>
    </w:p>
    <w:p>
      <w:pPr>
        <w:spacing w:after="0" w:line="126" w:lineRule="exact"/>
        <w:rPr>
          <w:sz w:val="20"/>
          <w:szCs w:val="20"/>
          <w:color w:val="auto"/>
        </w:rPr>
      </w:pPr>
    </w:p>
    <w:p>
      <w:pPr>
        <w:jc w:val="both"/>
        <w:ind w:left="640" w:hanging="315"/>
        <w:spacing w:after="0" w:line="249"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the acquisitions, neither HalioDx nor Decipher Biosciences were required to maintain an internal control infrastructure that would meet the standards of a public company, including the requirements of the Sarbanes-Oxley Act of 2002. During 2022, we integrated the operations of HalioDx and Decipher Biosciences into our internal control structure and implemented additional internal controls where needed. As we continue to integrate and improve the operations of HalioDx and Decipher Biosciences we may need to implement additional controls.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spacing w:after="0" w:line="14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a failure of development activities on behalf of a HalioDx customer where HalioDx bears development risk resulting in a refund of development fees;</w:t>
      </w:r>
    </w:p>
    <w:p>
      <w:pPr>
        <w:spacing w:after="0" w:line="126"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 including rolling blackouts due to energy shortages in Europe;</w:t>
      </w:r>
    </w:p>
    <w:p>
      <w:pPr>
        <w:spacing w:after="0" w:line="13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realize the anticipated accretion to our gross margins as a result of transitioning manufacturing of test kits to HalioDx;</w:t>
      </w:r>
    </w:p>
    <w:p>
      <w:pPr>
        <w:spacing w:after="0" w:line="16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disagreements with the French employee work council or French union; and</w:t>
      </w:r>
    </w:p>
    <w:p>
      <w:pPr>
        <w:spacing w:after="0" w:line="165" w:lineRule="exact"/>
        <w:rPr>
          <w:rFonts w:ascii="Arial" w:cs="Arial" w:eastAsia="Arial" w:hAnsi="Arial"/>
          <w:sz w:val="18"/>
          <w:szCs w:val="18"/>
          <w:color w:val="auto"/>
        </w:rPr>
      </w:pPr>
    </w:p>
    <w:p>
      <w:pPr>
        <w:jc w:val="both"/>
        <w:ind w:left="640" w:hanging="315"/>
        <w:spacing w:after="0" w:line="278"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have failed to identify or assess the magnitude of certain liabilities, shortcomings or other circumstances prior to acquiring either of the acquired businesses, which could result in unexpected litigation or regulatory exposure, unfavorable accounting or tax treatment, a diversion of management’s attention and resources, and other adverse effects on our business, financial condition, and operating results.</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are exposed to risks associated with transactions denominated in foreign currency.</w:t>
      </w:r>
    </w:p>
    <w:p>
      <w:pPr>
        <w:spacing w:after="0" w:line="245"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08"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20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Doing business internationally involves a number of risks, including:</w:t>
      </w:r>
    </w:p>
    <w:p>
      <w:pPr>
        <w:spacing w:after="0" w:line="218" w:lineRule="exact"/>
        <w:rPr>
          <w:sz w:val="20"/>
          <w:szCs w:val="20"/>
          <w:color w:val="auto"/>
        </w:rPr>
      </w:pPr>
    </w:p>
    <w:p>
      <w:pPr>
        <w:ind w:left="640" w:hanging="315"/>
        <w:spacing w:after="0" w:line="266"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20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maintaining the manufacturing output we anticipate at the Marseille, France facility as a result of rolling blackouts due to energy shortages in Europe resulting from the Russian invasion of Ukraine;</w:t>
      </w:r>
    </w:p>
    <w:p>
      <w:pPr>
        <w:spacing w:after="0" w:line="205" w:lineRule="exact"/>
        <w:rPr>
          <w:rFonts w:ascii="Arial" w:cs="Arial" w:eastAsia="Arial" w:hAnsi="Arial"/>
          <w:sz w:val="18"/>
          <w:szCs w:val="18"/>
          <w:color w:val="auto"/>
        </w:rPr>
      </w:pPr>
    </w:p>
    <w:p>
      <w:pPr>
        <w:ind w:left="640" w:hanging="31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to obtain regulatory approvals or certifications where required for the use of our solutions in various countries;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6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 including payers mandating additional evidence requirements for reimbursement consideration;</w:t>
      </w:r>
    </w:p>
    <w:p>
      <w:pPr>
        <w:spacing w:after="0" w:line="205"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4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management of supplies, sample logistics, billing and promotional activities;</w:t>
      </w:r>
    </w:p>
    <w:p>
      <w:pPr>
        <w:spacing w:after="0" w:line="205"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4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205"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political unrest and other regional conflicts, outbreak of disease, including COVID-19, boycotts, curtailment of trade and other business restrictions (including as a direct or indirect result of the conflict in Ukraine); and</w:t>
      </w:r>
    </w:p>
    <w:p>
      <w:pPr>
        <w:spacing w:after="0" w:line="215" w:lineRule="exact"/>
        <w:rPr>
          <w:rFonts w:ascii="Arial" w:cs="Arial" w:eastAsia="Arial" w:hAnsi="Arial"/>
          <w:sz w:val="18"/>
          <w:szCs w:val="18"/>
          <w:color w:val="auto"/>
        </w:rPr>
      </w:pPr>
    </w:p>
    <w:p>
      <w:pPr>
        <w:ind w:left="640" w:right="20" w:hanging="315"/>
        <w:spacing w:after="0" w:line="266"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6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operating results may be adversely affected by unfavorable macroeconomic and market conditions.</w:t>
      </w:r>
    </w:p>
    <w:p>
      <w:pPr>
        <w:spacing w:after="0" w:line="245"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Our business or financial results may be adversely impacted by uncertain economic conditions, including: the impact of the COVID-19 pandemic, turmoil in the global banking and finance system, adverse changes in interest rates, foreign currency exchange rates, tax laws or tax rates; inflation; a recession;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U.S. and those in Europe, have experienced and continue to experience uncertain economic conditions, including increased inflation and interest rates, resulting from global as well as local factors. For example, the short and long-term implications of the military conflict between Russia and Ukraine are difficult to predict at this time, including as it relates to our site in Marseille, France. The impact to Ukraine as well as actions taken by other countries, including new and stricter sanctions imposed by the U.S.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 Additionally, financial pressures may cause government or other third-party payers to more aggressively seek cost containment measures in healthcare and other settings.</w:t>
      </w:r>
    </w:p>
    <w:p>
      <w:pPr>
        <w:spacing w:after="0" w:line="201"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as result of a global pandemic such as the COVID-19 pandemic or otherwise,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96"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20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215"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4" w:lineRule="exact"/>
        <w:rPr>
          <w:sz w:val="20"/>
          <w:szCs w:val="20"/>
          <w:color w:val="auto"/>
        </w:rPr>
      </w:pPr>
    </w:p>
    <w:p>
      <w:pPr>
        <w:ind w:right="60" w:firstLine="128"/>
        <w:spacing w:after="0" w:line="266" w:lineRule="auto"/>
        <w:rPr>
          <w:sz w:val="20"/>
          <w:szCs w:val="20"/>
          <w:color w:val="auto"/>
        </w:rPr>
      </w:pPr>
      <w:r>
        <w:rPr>
          <w:rFonts w:ascii="Arial" w:cs="Arial" w:eastAsia="Arial" w:hAnsi="Arial"/>
          <w:sz w:val="18"/>
          <w:szCs w:val="18"/>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206" w:lineRule="exact"/>
        <w:rPr>
          <w:sz w:val="20"/>
          <w:szCs w:val="20"/>
          <w:color w:val="auto"/>
        </w:rPr>
      </w:pPr>
    </w:p>
    <w:p>
      <w:pPr>
        <w:jc w:val="both"/>
        <w:ind w:firstLine="399"/>
        <w:spacing w:after="0" w:line="280" w:lineRule="auto"/>
        <w:rPr>
          <w:sz w:val="20"/>
          <w:szCs w:val="20"/>
          <w:color w:val="auto"/>
        </w:rPr>
      </w:pPr>
      <w:r>
        <w:rPr>
          <w:rFonts w:ascii="Arial" w:cs="Arial" w:eastAsia="Arial" w:hAnsi="Arial"/>
          <w:sz w:val="16"/>
          <w:szCs w:val="16"/>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w:t>
      </w:r>
    </w:p>
    <w:p>
      <w:pPr>
        <w:spacing w:after="0" w:line="203"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223"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Our business and the operations of our laboratories are subject to the risk of disruptions caused by pandemics, political events, war, terrorism, earthquakes, fire, power outages, severe weather, floods, and other catastrophic events.</w:t>
      </w:r>
    </w:p>
    <w:p>
      <w:pPr>
        <w:spacing w:after="0" w:line="206"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War, terrorism, geopolitical uncertainties, including any developments or consequences of regional conflicts globally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may continue to have, a negative effect on consumer confidence and spending, and other impacts, which could adversely affect our business.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In addition, we perform all of the Afirma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manufacturing facility in Marseille, France, produces many of our Prosigna tests, as well as products for our IVD manufacturing business, and is subject to the risk of power outages resulting from constrained European energy supply.</w:t>
      </w:r>
    </w:p>
    <w:p>
      <w:pPr>
        <w:spacing w:after="0" w:line="208"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auto"/>
        </w:rPr>
        <w:t>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6" w:lineRule="exact"/>
        <w:rPr>
          <w:sz w:val="20"/>
          <w:szCs w:val="20"/>
          <w:color w:val="auto"/>
        </w:rPr>
      </w:pPr>
    </w:p>
    <w:p>
      <w:pPr>
        <w:jc w:val="both"/>
        <w:ind w:right="20" w:firstLine="128"/>
        <w:spacing w:after="0" w:line="266"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206" w:lineRule="exact"/>
        <w:rPr>
          <w:sz w:val="20"/>
          <w:szCs w:val="20"/>
          <w:color w:val="auto"/>
        </w:rPr>
      </w:pPr>
    </w:p>
    <w:p>
      <w:pPr>
        <w:jc w:val="both"/>
        <w:ind w:firstLine="399"/>
        <w:spacing w:after="0" w:line="280" w:lineRule="auto"/>
        <w:rPr>
          <w:sz w:val="20"/>
          <w:szCs w:val="20"/>
          <w:color w:val="auto"/>
        </w:rPr>
      </w:pPr>
      <w:r>
        <w:rPr>
          <w:rFonts w:ascii="Arial" w:cs="Arial" w:eastAsia="Arial" w:hAnsi="Arial"/>
          <w:sz w:val="16"/>
          <w:szCs w:val="16"/>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companies have been highly volatile as a result of the COVID-19 pandemic,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07"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7"/>
          <w:szCs w:val="17"/>
          <w:color w:val="auto"/>
        </w:rPr>
        <w:t>Moreover, on March 10, 2023, SVB was closed by the California Department of Financial Protection &amp; Innovation, and the FDIC was named as Receiver. At the time of closing on March 10, 2023, we had cash and cash equivalents and short-term investments at SVB or under SVB management. While the majority of these assets were not restricted by the FDIC action to take control of SVB as most of our cash and cash equivalents and short-term investments resided in a custodial account with a third-party bank for which SVB acted as advisor and the FDIC has taken steps to make whole all depositors of SVB,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 which could have a material adverse effect on our business and financial condition. Moreover, events such as the closure of SVB, in addition to other global macroeconomic conditions, may cause further turbulence and uncertainty in the capital markets.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128"/>
        <w:spacing w:after="0" w:line="256" w:lineRule="auto"/>
        <w:rPr>
          <w:sz w:val="20"/>
          <w:szCs w:val="20"/>
          <w:color w:val="auto"/>
        </w:rPr>
      </w:pPr>
      <w:r>
        <w:rPr>
          <w:rFonts w:ascii="Arial" w:cs="Arial" w:eastAsia="Arial" w:hAnsi="Arial"/>
          <w:sz w:val="18"/>
          <w:szCs w:val="18"/>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15"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cloud-based systems during the COVID-19 pandemic,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00"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an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198"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January 11, 2023. The Biden Administration lifted the PHE declaration on May 11, 2023.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most significantly in the form of amendments and expansions pursuant to the California Privacy Rights Act adopted by ballot measure in November 2020,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198"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206"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1"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 The EU Commission announced in December 2022 that it had begun the process of adopting an adequacy decision that would apply to the United States based on an executive order issued by President Biden in October 2022; even if the EU Commission approves the adequacy decisions, however, it is widely expected that the new data transfer framework may be challenged before the CJEU.</w:t>
      </w:r>
    </w:p>
    <w:p>
      <w:pPr>
        <w:spacing w:after="0" w:line="198"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were required to be migrated to the revised SCCs by December 27, 2022. We were required to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200" w:lineRule="exact"/>
        <w:rPr>
          <w:sz w:val="20"/>
          <w:szCs w:val="20"/>
          <w:color w:val="auto"/>
        </w:rPr>
      </w:pPr>
    </w:p>
    <w:p>
      <w:pPr>
        <w:jc w:val="both"/>
        <w:ind w:firstLine="399"/>
        <w:spacing w:after="0" w:line="284" w:lineRule="auto"/>
        <w:rPr>
          <w:sz w:val="20"/>
          <w:szCs w:val="20"/>
          <w:color w:val="auto"/>
        </w:rPr>
      </w:pPr>
      <w:r>
        <w:rPr>
          <w:rFonts w:ascii="Arial" w:cs="Arial" w:eastAsia="Arial" w:hAnsi="Arial"/>
          <w:sz w:val="16"/>
          <w:szCs w:val="16"/>
          <w:color w:val="auto"/>
        </w:rPr>
        <w:t>Following the United Kingdom’s withdrawal from the EEA and the EU, and the expiry of the transition period, companies processing the information of EU data subjects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00"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225"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is expected to increase data breach litigation. The CCPA and CPRA may increase our compliance costs and potential liability. Following the lead of California, several other states, including Colorado, Utah, Virginia and Connecticut have each enacted laws similar to the CCPA/CPRA and other states are considering enacting privacy laws as well. The multiple layers of privacy law within the United States could increase our potential liability, increase our compliance costs,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15" w:lineRule="exact"/>
        <w:rPr>
          <w:sz w:val="20"/>
          <w:szCs w:val="20"/>
          <w:color w:val="auto"/>
        </w:rPr>
      </w:pPr>
      <w:r>
        <w:rPr>
          <w:rFonts w:ascii="Arial" w:cs="Arial" w:eastAsia="Arial" w:hAnsi="Arial"/>
          <w:sz w:val="16"/>
          <w:szCs w:val="16"/>
          <w:color w:val="auto"/>
        </w:rPr>
        <w:t>Other countries outside of the United States and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and effective November 1, 2021 was China’s Personal Information Protection Law (</w:t>
      </w:r>
      <w:r>
        <w:rPr>
          <w:rFonts w:ascii="SimSun" w:cs="SimSun" w:eastAsia="SimSun" w:hAnsi="SimSun"/>
          <w:sz w:val="16"/>
          <w:szCs w:val="16"/>
          <w:color w:val="auto"/>
        </w:rPr>
        <w:t>个人信息保护法</w:t>
      </w:r>
      <w:r>
        <w:rPr>
          <w:rFonts w:ascii="Arial" w:cs="Arial" w:eastAsia="Arial" w:hAnsi="Arial"/>
          <w:sz w:val="16"/>
          <w:szCs w:val="16"/>
          <w:color w:val="auto"/>
        </w:rPr>
        <w:t>, PIPL), both of which broadly regulate the processing of personal information and impose compliance obligations and penalties comparable to those of the GDPR.</w:t>
      </w:r>
    </w:p>
    <w:p>
      <w:pPr>
        <w:spacing w:after="0" w:line="230"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57"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45"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4" w:lineRule="exact"/>
        <w:rPr>
          <w:sz w:val="20"/>
          <w:szCs w:val="20"/>
          <w:color w:val="auto"/>
        </w:rPr>
      </w:pPr>
    </w:p>
    <w:p>
      <w:pPr>
        <w:jc w:val="both"/>
        <w:ind w:firstLine="399"/>
        <w:spacing w:after="0" w:line="329"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w:t>
      </w:r>
    </w:p>
    <w:p>
      <w:pPr>
        <w:spacing w:after="0" w:line="160"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06"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4"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would be considered natural laws. Accordingly, the evolving case law in the United States may adversely affect our ability to obtain patents and may facilitate third-party challenges to any owned and licensed patents.</w:t>
      </w:r>
    </w:p>
    <w:p>
      <w:pPr>
        <w:spacing w:after="0" w:line="206"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21"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15"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222" w:lineRule="exact"/>
        <w:rPr>
          <w:sz w:val="20"/>
          <w:szCs w:val="20"/>
          <w:color w:val="auto"/>
        </w:rPr>
      </w:pPr>
    </w:p>
    <w:p>
      <w:pPr>
        <w:jc w:val="both"/>
        <w:ind w:firstLine="399"/>
        <w:spacing w:after="0" w:line="278"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time-consuming, and the outcome would be unpredictable. In addition, courts outside the United States may be less willing to protect trade secrets.</w:t>
      </w:r>
    </w:p>
    <w:p>
      <w:pPr>
        <w:spacing w:after="0" w:line="198"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1"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221"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08" w:lineRule="exact"/>
        <w:rPr>
          <w:sz w:val="20"/>
          <w:szCs w:val="20"/>
          <w:color w:val="auto"/>
        </w:rPr>
      </w:pPr>
    </w:p>
    <w:p>
      <w:pPr>
        <w:jc w:val="both"/>
        <w:ind w:firstLine="399"/>
        <w:spacing w:after="0" w:line="303"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20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18"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could experience significant costs and management distraction.</w:t>
      </w:r>
    </w:p>
    <w:p>
      <w:pPr>
        <w:spacing w:after="0" w:line="206"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206" w:lineRule="exact"/>
        <w:rPr>
          <w:sz w:val="20"/>
          <w:szCs w:val="20"/>
          <w:color w:val="auto"/>
        </w:rPr>
      </w:pPr>
    </w:p>
    <w:p>
      <w:pPr>
        <w:jc w:val="both"/>
        <w:ind w:firstLine="399"/>
        <w:spacing w:after="0" w:line="280"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03"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51"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45" w:lineRule="exact"/>
        <w:rPr>
          <w:sz w:val="20"/>
          <w:szCs w:val="20"/>
          <w:color w:val="auto"/>
        </w:rPr>
      </w:pPr>
    </w:p>
    <w:p>
      <w:pPr>
        <w:jc w:val="both"/>
        <w:ind w:firstLine="399"/>
        <w:spacing w:after="0" w:line="249" w:lineRule="auto"/>
        <w:rPr>
          <w:sz w:val="20"/>
          <w:szCs w:val="20"/>
          <w:color w:val="auto"/>
        </w:rPr>
      </w:pPr>
      <w:r>
        <w:rPr>
          <w:rFonts w:ascii="Arial" w:cs="Arial" w:eastAsia="Arial" w:hAnsi="Arial"/>
          <w:sz w:val="18"/>
          <w:szCs w:val="18"/>
          <w:color w:val="auto"/>
        </w:rPr>
        <w:t>We have incurred net losses since our inception and may never achieve profitability. As of December 31, 2022, we had net operating loss, or NOL, carryforwards of approximately $402.0 million, $78.8 million and $126.1 million available to reduce future taxable income, if any, for federal, California and other state income tax purposes, respectively. The U.S. federal NOL carryforwards will begin to expire in 2031 while for state purposes, the NOL carryforwards begin to expire in 2023. In addition, as of December 31, 2022, we had foreign net operating loss carryforwards of approximately $69.9 million and $44.2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w:t>
      </w:r>
    </w:p>
    <w:p>
      <w:pPr>
        <w:spacing w:after="0" w:line="221"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08" w:lineRule="exact"/>
        <w:rPr>
          <w:sz w:val="20"/>
          <w:szCs w:val="20"/>
          <w:color w:val="auto"/>
        </w:rPr>
      </w:pPr>
    </w:p>
    <w:p>
      <w:pPr>
        <w:jc w:val="both"/>
        <w:ind w:firstLine="399"/>
        <w:spacing w:after="0" w:line="267" w:lineRule="auto"/>
        <w:rPr>
          <w:sz w:val="20"/>
          <w:szCs w:val="20"/>
          <w:color w:val="auto"/>
        </w:rPr>
      </w:pPr>
      <w:r>
        <w:rPr>
          <w:rFonts w:ascii="Arial" w:cs="Arial" w:eastAsia="Arial" w:hAnsi="Arial"/>
          <w:sz w:val="17"/>
          <w:szCs w:val="17"/>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w:t>
      </w:r>
    </w:p>
    <w:p>
      <w:pPr>
        <w:spacing w:after="0" w:line="206" w:lineRule="exact"/>
        <w:rPr>
          <w:sz w:val="20"/>
          <w:szCs w:val="20"/>
          <w:color w:val="auto"/>
        </w:rPr>
      </w:pPr>
    </w:p>
    <w:p>
      <w:pPr>
        <w:jc w:val="both"/>
        <w:ind w:firstLine="399"/>
        <w:spacing w:after="0" w:line="253" w:lineRule="auto"/>
        <w:rPr>
          <w:sz w:val="20"/>
          <w:szCs w:val="20"/>
          <w:color w:val="auto"/>
        </w:rPr>
      </w:pPr>
      <w:r>
        <w:rPr>
          <w:rFonts w:ascii="Arial" w:cs="Arial" w:eastAsia="Arial" w:hAnsi="Arial"/>
          <w:sz w:val="18"/>
          <w:szCs w:val="18"/>
          <w:color w:val="auto"/>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spacing w:after="0" w:line="218"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Impairment in the value of our goodwill or other intangible assets could have a material adverse effect on our operating results and financial condition.</w:t>
      </w:r>
    </w:p>
    <w:p>
      <w:pPr>
        <w:spacing w:after="0" w:line="291"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Our effective tax rate may fluctuate and we may incur obligations in tax jurisdictions in excess of amounts that have been accrued.</w:t>
      </w:r>
    </w:p>
    <w:p>
      <w:pPr>
        <w:spacing w:after="0" w:line="243"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spacing w:after="0" w:line="197"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93"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8" w:lineRule="exact"/>
        <w:rPr>
          <w:sz w:val="20"/>
          <w:szCs w:val="20"/>
          <w:color w:val="auto"/>
        </w:rPr>
      </w:pPr>
    </w:p>
    <w:p>
      <w:pPr>
        <w:jc w:val="both"/>
        <w:ind w:firstLine="128"/>
        <w:spacing w:after="0" w:line="250" w:lineRule="auto"/>
        <w:rPr>
          <w:sz w:val="20"/>
          <w:szCs w:val="20"/>
          <w:color w:val="auto"/>
        </w:rPr>
      </w:pPr>
      <w:r>
        <w:rPr>
          <w:rFonts w:ascii="Arial" w:cs="Arial" w:eastAsia="Arial" w:hAnsi="Arial"/>
          <w:sz w:val="18"/>
          <w:szCs w:val="18"/>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220" w:lineRule="exact"/>
        <w:rPr>
          <w:sz w:val="20"/>
          <w:szCs w:val="20"/>
          <w:color w:val="auto"/>
        </w:rPr>
      </w:pPr>
    </w:p>
    <w:p>
      <w:pPr>
        <w:jc w:val="both"/>
        <w:ind w:firstLine="399"/>
        <w:spacing w:after="0" w:line="263"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51"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206"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15" w:lineRule="exact"/>
        <w:rPr>
          <w:sz w:val="20"/>
          <w:szCs w:val="20"/>
          <w:color w:val="auto"/>
        </w:rPr>
      </w:pPr>
    </w:p>
    <w:p>
      <w:pPr>
        <w:jc w:val="both"/>
        <w:ind w:right="20" w:firstLine="128"/>
        <w:spacing w:after="0" w:line="296"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3"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05"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8" w:lineRule="exact"/>
        <w:rPr>
          <w:sz w:val="20"/>
          <w:szCs w:val="20"/>
          <w:color w:val="auto"/>
        </w:rPr>
      </w:pPr>
    </w:p>
    <w:p>
      <w:pPr>
        <w:jc w:val="both"/>
        <w:ind w:right="20" w:firstLine="128"/>
        <w:spacing w:after="0" w:line="266"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206" w:lineRule="exact"/>
        <w:rPr>
          <w:sz w:val="20"/>
          <w:szCs w:val="20"/>
          <w:color w:val="auto"/>
        </w:rPr>
      </w:pPr>
    </w:p>
    <w:p>
      <w:pPr>
        <w:jc w:val="both"/>
        <w:ind w:firstLine="399"/>
        <w:spacing w:after="0" w:line="272" w:lineRule="auto"/>
        <w:rPr>
          <w:sz w:val="20"/>
          <w:szCs w:val="20"/>
          <w:color w:val="auto"/>
        </w:rPr>
      </w:pPr>
      <w:r>
        <w:rPr>
          <w:rFonts w:ascii="Arial" w:cs="Arial" w:eastAsia="Arial" w:hAnsi="Arial"/>
          <w:sz w:val="17"/>
          <w:szCs w:val="17"/>
          <w:color w:val="auto"/>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204"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Risks Related to Our Common Stock</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45" w:lineRule="exact"/>
        <w:rPr>
          <w:sz w:val="20"/>
          <w:szCs w:val="20"/>
          <w:color w:val="auto"/>
        </w:rPr>
      </w:pPr>
    </w:p>
    <w:p>
      <w:pPr>
        <w:jc w:val="both"/>
        <w:ind w:firstLine="399"/>
        <w:spacing w:after="0" w:line="266"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206" w:lineRule="exact"/>
        <w:rPr>
          <w:sz w:val="20"/>
          <w:szCs w:val="20"/>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global macroeconomic impact of the COVID-19 outbreak and the emergence of new variants, rising interest rates or inflationary pressures;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58"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 including the effect of additional equity we or our competitors issue as consideration for such acquisitions;</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instability in the global banking system;</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including inflation and changes in interest rates, and slow or negative growth of our markets.</w:t>
      </w:r>
    </w:p>
    <w:p>
      <w:pPr>
        <w:spacing w:after="0" w:line="298" w:lineRule="exact"/>
        <w:rPr>
          <w:sz w:val="20"/>
          <w:szCs w:val="20"/>
          <w:color w:val="auto"/>
        </w:rPr>
      </w:pPr>
    </w:p>
    <w:p>
      <w:pPr>
        <w:jc w:val="both"/>
        <w:ind w:firstLine="399"/>
        <w:spacing w:after="0" w:line="250"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22" w:lineRule="exact"/>
        <w:rPr>
          <w:sz w:val="20"/>
          <w:szCs w:val="20"/>
          <w:color w:val="auto"/>
        </w:rPr>
      </w:pPr>
    </w:p>
    <w:p>
      <w:pPr>
        <w:jc w:val="both"/>
        <w:ind w:firstLine="128"/>
        <w:spacing w:after="0" w:line="266"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206" w:lineRule="exact"/>
        <w:rPr>
          <w:sz w:val="20"/>
          <w:szCs w:val="20"/>
          <w:color w:val="auto"/>
        </w:rPr>
      </w:pPr>
    </w:p>
    <w:p>
      <w:pPr>
        <w:jc w:val="both"/>
        <w:ind w:firstLine="399"/>
        <w:spacing w:after="0" w:line="296"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83" w:lineRule="exact"/>
        <w:rPr>
          <w:sz w:val="20"/>
          <w:szCs w:val="20"/>
          <w:color w:val="auto"/>
        </w:rPr>
      </w:pPr>
    </w:p>
    <w:p>
      <w:pPr>
        <w:ind w:left="640" w:hanging="315"/>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 million shares of undesignated preferred stock;</w:t>
      </w:r>
    </w:p>
    <w:p>
      <w:pPr>
        <w:spacing w:after="0" w:line="70" w:lineRule="exact"/>
        <w:rPr>
          <w:rFonts w:ascii="Arial" w:cs="Arial" w:eastAsia="Arial" w:hAnsi="Arial"/>
          <w:sz w:val="17"/>
          <w:szCs w:val="17"/>
          <w:color w:val="auto"/>
        </w:rPr>
      </w:pPr>
    </w:p>
    <w:p>
      <w:pPr>
        <w:ind w:left="640" w:hanging="315"/>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70" w:lineRule="exact"/>
        <w:rPr>
          <w:rFonts w:ascii="Arial" w:cs="Arial" w:eastAsia="Arial" w:hAnsi="Arial"/>
          <w:sz w:val="17"/>
          <w:szCs w:val="17"/>
          <w:color w:val="auto"/>
        </w:rPr>
      </w:pPr>
    </w:p>
    <w:p>
      <w:pPr>
        <w:ind w:left="640" w:hanging="315"/>
        <w:spacing w:after="0" w:line="26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9"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the 2024 Class, 2025 Class and 2026 Class, with each class serving staggered three-year terms until the annual meeting of stockholders to be held in 2024, after which all directors, other than those in the 2025 Class and the 2026 Class, will serve for a term of one year;</w:t>
      </w:r>
    </w:p>
    <w:p>
      <w:pPr>
        <w:spacing w:after="0" w:line="2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directors serving in a class of directors for a term expiring at the third annual meeting of stockholders following the election of such class may be removed only for cause;</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45" w:lineRule="exact"/>
        <w:rPr>
          <w:sz w:val="20"/>
          <w:szCs w:val="20"/>
          <w:color w:val="auto"/>
        </w:rPr>
      </w:pPr>
    </w:p>
    <w:p>
      <w:pPr>
        <w:ind w:firstLine="399"/>
        <w:spacing w:after="0" w:line="266"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45" w:lineRule="exact"/>
        <w:rPr>
          <w:sz w:val="20"/>
          <w:szCs w:val="20"/>
          <w:color w:val="auto"/>
        </w:rPr>
      </w:pPr>
    </w:p>
    <w:p>
      <w:pPr>
        <w:jc w:val="both"/>
        <w:ind w:firstLine="399"/>
        <w:spacing w:after="0" w:line="269"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4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2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w w:val="88"/>
              </w:rPr>
              <w:t>Incorporated by Reference</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3"/>
        </w:trPr>
        <w:tc>
          <w:tcPr>
            <w:tcW w:w="1240" w:type="dxa"/>
            <w:vAlign w:val="bottom"/>
            <w:gridSpan w:val="7"/>
            <w:vMerge w:val="continue"/>
          </w:tcPr>
          <w:p>
            <w:pPr>
              <w:spacing w:after="0"/>
              <w:rPr>
                <w:sz w:val="13"/>
                <w:szCs w:val="13"/>
                <w:color w:val="auto"/>
              </w:rPr>
            </w:pPr>
          </w:p>
        </w:tc>
        <w:tc>
          <w:tcPr>
            <w:tcW w:w="2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4560" w:type="dxa"/>
            <w:vAlign w:val="bottom"/>
            <w:tcBorders>
              <w:bottom w:val="single" w:sz="8" w:color="auto"/>
            </w:tcBorders>
            <w:gridSpan w:val="10"/>
          </w:tcPr>
          <w:p>
            <w:pPr>
              <w:ind w:left="184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20"/>
                <w:szCs w:val="20"/>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File No.</w:t>
            </w:r>
          </w:p>
        </w:tc>
        <w:tc>
          <w:tcPr>
            <w:tcW w:w="120" w:type="dxa"/>
            <w:vAlign w:val="bottom"/>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Filing Date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406"/>
        </w:trPr>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200" w:type="dxa"/>
            <w:vAlign w:val="bottom"/>
          </w:tcPr>
          <w:p>
            <w:pPr>
              <w:spacing w:after="0"/>
              <w:rPr>
                <w:sz w:val="24"/>
                <w:szCs w:val="24"/>
                <w:color w:val="auto"/>
              </w:rPr>
            </w:pPr>
          </w:p>
        </w:tc>
        <w:tc>
          <w:tcPr>
            <w:tcW w:w="4660" w:type="dxa"/>
            <w:vAlign w:val="bottom"/>
            <w:gridSpan w:val="11"/>
          </w:tcPr>
          <w:p>
            <w:pPr>
              <w:spacing w:after="0"/>
              <w:rPr>
                <w:sz w:val="20"/>
                <w:szCs w:val="20"/>
                <w:color w:val="auto"/>
              </w:rPr>
            </w:pPr>
            <w:r>
              <w:rPr>
                <w:rFonts w:ascii="Arial" w:cs="Arial" w:eastAsia="Arial" w:hAnsi="Arial"/>
                <w:sz w:val="18"/>
                <w:szCs w:val="18"/>
                <w:color w:val="0000FF"/>
              </w:rPr>
              <w:t>Advisor Agreement, effective September 4, 2023, by and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60" w:type="dxa"/>
            <w:vAlign w:val="bottom"/>
            <w:tcBorders>
              <w:top w:val="single" w:sz="8" w:color="0000FF"/>
            </w:tcBorders>
            <w:gridSpan w:val="3"/>
          </w:tcPr>
          <w:p>
            <w:pPr>
              <w:spacing w:after="0" w:line="153" w:lineRule="exact"/>
              <w:rPr>
                <w:sz w:val="20"/>
                <w:szCs w:val="20"/>
                <w:color w:val="auto"/>
              </w:rPr>
            </w:pPr>
            <w:r>
              <w:rPr>
                <w:rFonts w:ascii="Arial" w:cs="Arial" w:eastAsia="Arial" w:hAnsi="Arial"/>
                <w:sz w:val="17"/>
                <w:szCs w:val="17"/>
                <w:color w:val="0000FF"/>
              </w:rPr>
              <w:t>between Tina S. Nova and the Registrant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40" w:type="dxa"/>
            <w:vAlign w:val="bottom"/>
            <w:gridSpan w:val="3"/>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60" w:type="dxa"/>
            <w:vAlign w:val="bottom"/>
            <w:gridSpan w:val="11"/>
          </w:tcPr>
          <w:p>
            <w:pPr>
              <w:spacing w:after="0"/>
              <w:rPr>
                <w:sz w:val="20"/>
                <w:szCs w:val="20"/>
                <w:color w:val="auto"/>
              </w:rPr>
            </w:pPr>
            <w:r>
              <w:rPr>
                <w:rFonts w:ascii="Arial" w:cs="Arial" w:eastAsia="Arial" w:hAnsi="Arial"/>
                <w:sz w:val="18"/>
                <w:szCs w:val="18"/>
                <w:color w:val="0000FF"/>
                <w:w w:val="97"/>
              </w:rPr>
              <w:t>Certification of Principal Executive Officer pursuant to Rules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60" w:type="dxa"/>
            <w:vAlign w:val="bottom"/>
            <w:gridSpan w:val="11"/>
          </w:tcPr>
          <w:p>
            <w:pPr>
              <w:spacing w:after="0" w:line="153" w:lineRule="exact"/>
              <w:rPr>
                <w:sz w:val="20"/>
                <w:szCs w:val="20"/>
                <w:color w:val="auto"/>
              </w:rPr>
            </w:pPr>
            <w:r>
              <w:rPr>
                <w:rFonts w:ascii="Arial" w:cs="Arial" w:eastAsia="Arial" w:hAnsi="Arial"/>
                <w:sz w:val="17"/>
                <w:szCs w:val="17"/>
                <w:color w:val="0000FF"/>
                <w:w w:val="97"/>
              </w:rPr>
              <w:t>13a-14(a)/15d-14(a), as adopted pursuant to Section 302 of 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Borders>
              <w:top w:val="single" w:sz="8" w:color="0000FF"/>
              <w:bottom w:val="single" w:sz="8" w:color="0000FF"/>
            </w:tcBorders>
          </w:tcPr>
          <w:p>
            <w:pPr>
              <w:spacing w:after="0" w:line="166" w:lineRule="exact"/>
              <w:rPr>
                <w:sz w:val="20"/>
                <w:szCs w:val="20"/>
                <w:color w:val="auto"/>
              </w:rPr>
            </w:pPr>
            <w:r>
              <w:rPr>
                <w:rFonts w:ascii="Arial" w:cs="Arial" w:eastAsia="Arial" w:hAnsi="Arial"/>
                <w:sz w:val="18"/>
                <w:szCs w:val="18"/>
                <w:color w:val="0000FF"/>
                <w:w w:val="89"/>
              </w:rPr>
              <w:t>Sarbanes-Oxley Act of 2002</w:t>
            </w:r>
          </w:p>
        </w:tc>
        <w:tc>
          <w:tcPr>
            <w:tcW w:w="2420" w:type="dxa"/>
            <w:vAlign w:val="bottom"/>
            <w:tcBorders>
              <w:top w:val="single" w:sz="8" w:color="0000FF"/>
            </w:tcBorders>
            <w:gridSpan w:val="7"/>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200" w:type="dxa"/>
            <w:vAlign w:val="bottom"/>
          </w:tcPr>
          <w:p>
            <w:pPr>
              <w:spacing w:after="0"/>
              <w:rPr>
                <w:sz w:val="17"/>
                <w:szCs w:val="17"/>
                <w:color w:val="auto"/>
              </w:rPr>
            </w:pPr>
          </w:p>
        </w:tc>
        <w:tc>
          <w:tcPr>
            <w:tcW w:w="466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Rule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60" w:type="dxa"/>
            <w:vAlign w:val="bottom"/>
            <w:tcBorders>
              <w:top w:val="single" w:sz="8" w:color="0000FF"/>
            </w:tcBorders>
            <w:gridSpan w:val="6"/>
          </w:tcPr>
          <w:p>
            <w:pPr>
              <w:spacing w:after="0" w:line="153" w:lineRule="exact"/>
              <w:rPr>
                <w:sz w:val="20"/>
                <w:szCs w:val="20"/>
                <w:color w:val="auto"/>
              </w:rPr>
            </w:pPr>
            <w:r>
              <w:rPr>
                <w:rFonts w:ascii="Arial" w:cs="Arial" w:eastAsia="Arial" w:hAnsi="Arial"/>
                <w:sz w:val="17"/>
                <w:szCs w:val="17"/>
                <w:color w:val="0000FF"/>
                <w:w w:val="94"/>
              </w:rPr>
              <w:t>13a-14(a)/15d-14(a), as adopted pursuant to Section 302 of</w:t>
            </w:r>
          </w:p>
        </w:tc>
        <w:tc>
          <w:tcPr>
            <w:tcW w:w="400" w:type="dxa"/>
            <w:vAlign w:val="bottom"/>
            <w:gridSpan w:val="5"/>
          </w:tcPr>
          <w:p>
            <w:pPr>
              <w:spacing w:after="0" w:line="153" w:lineRule="exact"/>
              <w:rPr>
                <w:sz w:val="20"/>
                <w:szCs w:val="20"/>
                <w:color w:val="auto"/>
              </w:rPr>
            </w:pPr>
            <w:r>
              <w:rPr>
                <w:rFonts w:ascii="Arial" w:cs="Arial" w:eastAsia="Arial" w:hAnsi="Arial"/>
                <w:sz w:val="17"/>
                <w:szCs w:val="17"/>
                <w:color w:val="0000FF"/>
              </w:rPr>
              <w:t>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Borders>
              <w:top w:val="single" w:sz="8" w:color="0000FF"/>
              <w:bottom w:val="single" w:sz="8" w:color="0000FF"/>
            </w:tcBorders>
          </w:tcPr>
          <w:p>
            <w:pPr>
              <w:spacing w:after="0" w:line="166" w:lineRule="exact"/>
              <w:rPr>
                <w:sz w:val="20"/>
                <w:szCs w:val="20"/>
                <w:color w:val="auto"/>
              </w:rPr>
            </w:pPr>
            <w:r>
              <w:rPr>
                <w:rFonts w:ascii="Arial" w:cs="Arial" w:eastAsia="Arial" w:hAnsi="Arial"/>
                <w:sz w:val="18"/>
                <w:szCs w:val="18"/>
                <w:color w:val="0000FF"/>
                <w:w w:val="89"/>
              </w:rPr>
              <w:t>Sarbanes-Oxley Act of 2002</w:t>
            </w:r>
          </w:p>
        </w:tc>
        <w:tc>
          <w:tcPr>
            <w:tcW w:w="2420" w:type="dxa"/>
            <w:vAlign w:val="bottom"/>
            <w:tcBorders>
              <w:top w:val="single" w:sz="8" w:color="0000FF"/>
            </w:tcBorders>
            <w:gridSpan w:val="7"/>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200" w:type="dxa"/>
            <w:vAlign w:val="bottom"/>
          </w:tcPr>
          <w:p>
            <w:pPr>
              <w:spacing w:after="0"/>
              <w:rPr>
                <w:sz w:val="17"/>
                <w:szCs w:val="17"/>
                <w:color w:val="auto"/>
              </w:rPr>
            </w:pPr>
          </w:p>
        </w:tc>
        <w:tc>
          <w:tcPr>
            <w:tcW w:w="466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18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40" w:type="dxa"/>
            <w:vAlign w:val="bottom"/>
            <w:tcBorders>
              <w:top w:val="single" w:sz="8" w:color="0000FF"/>
            </w:tcBorders>
            <w:gridSpan w:val="5"/>
          </w:tcPr>
          <w:p>
            <w:pPr>
              <w:spacing w:after="0" w:line="153" w:lineRule="exact"/>
              <w:rPr>
                <w:sz w:val="20"/>
                <w:szCs w:val="20"/>
                <w:color w:val="auto"/>
              </w:rPr>
            </w:pPr>
            <w:r>
              <w:rPr>
                <w:rFonts w:ascii="Arial" w:cs="Arial" w:eastAsia="Arial" w:hAnsi="Arial"/>
                <w:sz w:val="17"/>
                <w:szCs w:val="17"/>
                <w:color w:val="0000FF"/>
                <w:w w:val="96"/>
              </w:rPr>
              <w:t>U.S.C. § 1350 (Section 906 of the Sarbanes-Oxley Act of</w:t>
            </w:r>
          </w:p>
        </w:tc>
        <w:tc>
          <w:tcPr>
            <w:tcW w:w="520" w:type="dxa"/>
            <w:vAlign w:val="bottom"/>
            <w:gridSpan w:val="6"/>
          </w:tcPr>
          <w:p>
            <w:pPr>
              <w:jc w:val="right"/>
              <w:ind w:right="120"/>
              <w:spacing w:after="0" w:line="153" w:lineRule="exact"/>
              <w:rPr>
                <w:sz w:val="20"/>
                <w:szCs w:val="20"/>
                <w:color w:val="auto"/>
              </w:rPr>
            </w:pPr>
            <w:r>
              <w:rPr>
                <w:rFonts w:ascii="Arial" w:cs="Arial" w:eastAsia="Arial" w:hAnsi="Arial"/>
                <w:sz w:val="17"/>
                <w:szCs w:val="17"/>
                <w:color w:val="0000FF"/>
                <w:w w:val="87"/>
              </w:rPr>
              <w:t>2002)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200" w:type="dxa"/>
            <w:vAlign w:val="bottom"/>
          </w:tcPr>
          <w:p>
            <w:pPr>
              <w:spacing w:after="0"/>
              <w:rPr>
                <w:sz w:val="19"/>
                <w:szCs w:val="19"/>
                <w:color w:val="auto"/>
              </w:rPr>
            </w:pPr>
          </w:p>
        </w:tc>
        <w:tc>
          <w:tcPr>
            <w:tcW w:w="45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Certification of Principal Financial Officer pursuant to 18</w:t>
            </w:r>
          </w:p>
        </w:tc>
        <w:tc>
          <w:tcPr>
            <w:tcW w:w="12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00" w:type="dxa"/>
            <w:vAlign w:val="bottom"/>
            <w:tcBorders>
              <w:top w:val="single" w:sz="8" w:color="0000FF"/>
            </w:tcBorders>
            <w:gridSpan w:val="4"/>
          </w:tcPr>
          <w:p>
            <w:pPr>
              <w:spacing w:after="0" w:line="153" w:lineRule="exact"/>
              <w:rPr>
                <w:sz w:val="20"/>
                <w:szCs w:val="20"/>
                <w:color w:val="auto"/>
              </w:rPr>
            </w:pPr>
            <w:r>
              <w:rPr>
                <w:rFonts w:ascii="Arial" w:cs="Arial" w:eastAsia="Arial" w:hAnsi="Arial"/>
                <w:sz w:val="17"/>
                <w:szCs w:val="17"/>
                <w:color w:val="0000FF"/>
                <w:w w:val="95"/>
              </w:rPr>
              <w:t>U.S.C. § 1350 (Section 906 of the Sarbanes-Oxley Act of</w:t>
            </w:r>
          </w:p>
        </w:tc>
        <w:tc>
          <w:tcPr>
            <w:tcW w:w="560" w:type="dxa"/>
            <w:vAlign w:val="bottom"/>
            <w:gridSpan w:val="7"/>
          </w:tcPr>
          <w:p>
            <w:pPr>
              <w:jc w:val="right"/>
              <w:ind w:right="120"/>
              <w:spacing w:after="0" w:line="153" w:lineRule="exact"/>
              <w:rPr>
                <w:sz w:val="20"/>
                <w:szCs w:val="20"/>
                <w:color w:val="auto"/>
              </w:rPr>
            </w:pPr>
            <w:r>
              <w:rPr>
                <w:rFonts w:ascii="Arial" w:cs="Arial" w:eastAsia="Arial" w:hAnsi="Arial"/>
                <w:sz w:val="17"/>
                <w:szCs w:val="17"/>
                <w:color w:val="0000FF"/>
                <w:w w:val="96"/>
              </w:rPr>
              <w:t>2002)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40" w:type="dxa"/>
            <w:vAlign w:val="bottom"/>
            <w:gridSpan w:val="7"/>
          </w:tcPr>
          <w:p>
            <w:pPr>
              <w:jc w:val="right"/>
              <w:ind w:right="220"/>
              <w:spacing w:after="0"/>
              <w:rPr>
                <w:sz w:val="20"/>
                <w:szCs w:val="20"/>
                <w:color w:val="auto"/>
              </w:rPr>
            </w:pPr>
            <w:r>
              <w:rPr>
                <w:rFonts w:ascii="Arial" w:cs="Arial" w:eastAsia="Arial" w:hAnsi="Arial"/>
                <w:sz w:val="18"/>
                <w:szCs w:val="18"/>
                <w:color w:val="auto"/>
              </w:rPr>
              <w:t>101.INS</w:t>
            </w:r>
          </w:p>
        </w:tc>
        <w:tc>
          <w:tcPr>
            <w:tcW w:w="45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91"/>
              </w:rPr>
              <w:t>Inline XBRL Instance Document - the instance document does</w:t>
            </w:r>
          </w:p>
        </w:tc>
        <w:tc>
          <w:tcPr>
            <w:tcW w:w="1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11"/>
          </w:tcPr>
          <w:p>
            <w:pPr>
              <w:spacing w:after="0" w:line="186" w:lineRule="exact"/>
              <w:rPr>
                <w:sz w:val="20"/>
                <w:szCs w:val="20"/>
                <w:color w:val="auto"/>
              </w:rPr>
            </w:pPr>
            <w:r>
              <w:rPr>
                <w:rFonts w:ascii="Arial" w:cs="Arial" w:eastAsia="Arial" w:hAnsi="Arial"/>
                <w:sz w:val="18"/>
                <w:szCs w:val="18"/>
                <w:color w:val="auto"/>
                <w:w w:val="95"/>
              </w:rPr>
              <w:t>not appear in the Interactive Data File because its XBRL tags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60" w:type="dxa"/>
            <w:vAlign w:val="bottom"/>
            <w:gridSpan w:val="11"/>
          </w:tcPr>
          <w:p>
            <w:pPr>
              <w:spacing w:after="0"/>
              <w:rPr>
                <w:sz w:val="20"/>
                <w:szCs w:val="20"/>
                <w:color w:val="auto"/>
              </w:rPr>
            </w:pPr>
            <w:r>
              <w:rPr>
                <w:rFonts w:ascii="Arial" w:cs="Arial" w:eastAsia="Arial" w:hAnsi="Arial"/>
                <w:sz w:val="18"/>
                <w:szCs w:val="18"/>
                <w:color w:val="auto"/>
              </w:rPr>
              <w:t>are embedded within the Inline XBRL</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40" w:type="dxa"/>
            <w:vAlign w:val="bottom"/>
            <w:gridSpan w:val="7"/>
          </w:tcPr>
          <w:p>
            <w:pPr>
              <w:jc w:val="right"/>
              <w:ind w:right="220"/>
              <w:spacing w:after="0"/>
              <w:rPr>
                <w:sz w:val="20"/>
                <w:szCs w:val="20"/>
                <w:color w:val="auto"/>
              </w:rPr>
            </w:pPr>
            <w:r>
              <w:rPr>
                <w:rFonts w:ascii="Arial" w:cs="Arial" w:eastAsia="Arial" w:hAnsi="Arial"/>
                <w:sz w:val="18"/>
                <w:szCs w:val="18"/>
                <w:color w:val="auto"/>
              </w:rPr>
              <w:t>101.SCH</w:t>
            </w:r>
          </w:p>
        </w:tc>
        <w:tc>
          <w:tcPr>
            <w:tcW w:w="46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6"/>
        </w:trPr>
        <w:tc>
          <w:tcPr>
            <w:tcW w:w="1240" w:type="dxa"/>
            <w:vAlign w:val="bottom"/>
            <w:gridSpan w:val="7"/>
          </w:tcPr>
          <w:p>
            <w:pPr>
              <w:jc w:val="right"/>
              <w:ind w:right="220"/>
              <w:spacing w:after="0"/>
              <w:rPr>
                <w:sz w:val="20"/>
                <w:szCs w:val="20"/>
                <w:color w:val="auto"/>
              </w:rPr>
            </w:pPr>
            <w:r>
              <w:rPr>
                <w:rFonts w:ascii="Arial" w:cs="Arial" w:eastAsia="Arial" w:hAnsi="Arial"/>
                <w:sz w:val="18"/>
                <w:szCs w:val="18"/>
                <w:color w:val="auto"/>
              </w:rPr>
              <w:t>101.CAL</w:t>
            </w:r>
          </w:p>
        </w:tc>
        <w:tc>
          <w:tcPr>
            <w:tcW w:w="466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6"/>
        </w:trPr>
        <w:tc>
          <w:tcPr>
            <w:tcW w:w="1240" w:type="dxa"/>
            <w:vAlign w:val="bottom"/>
            <w:gridSpan w:val="7"/>
          </w:tcPr>
          <w:p>
            <w:pPr>
              <w:jc w:val="right"/>
              <w:ind w:right="220"/>
              <w:spacing w:after="0"/>
              <w:rPr>
                <w:sz w:val="20"/>
                <w:szCs w:val="20"/>
                <w:color w:val="auto"/>
              </w:rPr>
            </w:pPr>
            <w:r>
              <w:rPr>
                <w:rFonts w:ascii="Arial" w:cs="Arial" w:eastAsia="Arial" w:hAnsi="Arial"/>
                <w:sz w:val="18"/>
                <w:szCs w:val="18"/>
                <w:color w:val="auto"/>
              </w:rPr>
              <w:t>101.DEF</w:t>
            </w:r>
          </w:p>
        </w:tc>
        <w:tc>
          <w:tcPr>
            <w:tcW w:w="466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6"/>
        </w:trPr>
        <w:tc>
          <w:tcPr>
            <w:tcW w:w="1240" w:type="dxa"/>
            <w:vAlign w:val="bottom"/>
            <w:gridSpan w:val="7"/>
          </w:tcPr>
          <w:p>
            <w:pPr>
              <w:jc w:val="right"/>
              <w:ind w:right="220"/>
              <w:spacing w:after="0"/>
              <w:rPr>
                <w:sz w:val="20"/>
                <w:szCs w:val="20"/>
                <w:color w:val="auto"/>
              </w:rPr>
            </w:pPr>
            <w:r>
              <w:rPr>
                <w:rFonts w:ascii="Arial" w:cs="Arial" w:eastAsia="Arial" w:hAnsi="Arial"/>
                <w:sz w:val="18"/>
                <w:szCs w:val="18"/>
                <w:color w:val="auto"/>
              </w:rPr>
              <w:t>101.LAB</w:t>
            </w:r>
          </w:p>
        </w:tc>
        <w:tc>
          <w:tcPr>
            <w:tcW w:w="466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6"/>
        </w:trPr>
        <w:tc>
          <w:tcPr>
            <w:tcW w:w="1240" w:type="dxa"/>
            <w:vAlign w:val="bottom"/>
            <w:gridSpan w:val="7"/>
          </w:tcPr>
          <w:p>
            <w:pPr>
              <w:jc w:val="right"/>
              <w:ind w:right="220"/>
              <w:spacing w:after="0"/>
              <w:rPr>
                <w:sz w:val="20"/>
                <w:szCs w:val="20"/>
                <w:color w:val="auto"/>
              </w:rPr>
            </w:pPr>
            <w:r>
              <w:rPr>
                <w:rFonts w:ascii="Arial" w:cs="Arial" w:eastAsia="Arial" w:hAnsi="Arial"/>
                <w:sz w:val="18"/>
                <w:szCs w:val="18"/>
                <w:color w:val="auto"/>
              </w:rPr>
              <w:t>101.PRE</w:t>
            </w:r>
          </w:p>
        </w:tc>
        <w:tc>
          <w:tcPr>
            <w:tcW w:w="466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851"/>
        </w:trPr>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gridSpan w:val="9"/>
          </w:tcPr>
          <w:p>
            <w:pPr>
              <w:ind w:left="430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00" w:type="dxa"/>
            <w:vAlign w:val="bottom"/>
          </w:tcPr>
          <w:p>
            <w:pPr>
              <w:jc w:val="right"/>
              <w:ind w:right="51"/>
              <w:spacing w:after="0"/>
              <w:rPr>
                <w:sz w:val="20"/>
                <w:szCs w:val="20"/>
                <w:color w:val="auto"/>
              </w:rPr>
            </w:pPr>
            <w:r>
              <w:rPr>
                <w:rFonts w:ascii="Arial" w:cs="Arial" w:eastAsia="Arial" w:hAnsi="Arial"/>
                <w:sz w:val="18"/>
                <w:szCs w:val="18"/>
                <w:color w:val="auto"/>
                <w:w w:val="79"/>
              </w:rPr>
              <w:t>104</w:t>
            </w:r>
          </w:p>
        </w:tc>
        <w:tc>
          <w:tcPr>
            <w:tcW w:w="7040" w:type="dxa"/>
            <w:vAlign w:val="bottom"/>
          </w:tcPr>
          <w:p>
            <w:pPr>
              <w:ind w:left="140"/>
              <w:spacing w:after="0"/>
              <w:rPr>
                <w:sz w:val="20"/>
                <w:szCs w:val="20"/>
                <w:color w:val="auto"/>
              </w:rPr>
            </w:pPr>
            <w:r>
              <w:rPr>
                <w:rFonts w:ascii="Arial" w:cs="Arial" w:eastAsia="Arial" w:hAnsi="Arial"/>
                <w:sz w:val="18"/>
                <w:szCs w:val="18"/>
                <w:color w:val="auto"/>
              </w:rPr>
              <w:t>Cover Page Interactive Data File (embedded within the Inline</w:t>
            </w:r>
          </w:p>
        </w:tc>
        <w:tc>
          <w:tcPr>
            <w:tcW w:w="2660" w:type="dxa"/>
            <w:vAlign w:val="bottom"/>
          </w:tcPr>
          <w:p>
            <w:pPr>
              <w:ind w:left="2540"/>
              <w:spacing w:after="0"/>
              <w:rPr>
                <w:sz w:val="20"/>
                <w:szCs w:val="20"/>
                <w:color w:val="auto"/>
              </w:rPr>
            </w:pPr>
            <w:r>
              <w:rPr>
                <w:rFonts w:ascii="Arial" w:cs="Arial" w:eastAsia="Arial" w:hAnsi="Arial"/>
                <w:sz w:val="18"/>
                <w:szCs w:val="18"/>
                <w:color w:val="auto"/>
                <w:w w:val="82"/>
              </w:rPr>
              <w:t>X</w:t>
            </w:r>
          </w:p>
        </w:tc>
      </w:tr>
      <w:tr>
        <w:trPr>
          <w:trHeight w:val="224"/>
        </w:trPr>
        <w:tc>
          <w:tcPr>
            <w:tcW w:w="400" w:type="dxa"/>
            <w:vAlign w:val="bottom"/>
          </w:tcPr>
          <w:p>
            <w:pPr>
              <w:spacing w:after="0"/>
              <w:rPr>
                <w:sz w:val="19"/>
                <w:szCs w:val="19"/>
                <w:color w:val="auto"/>
              </w:rPr>
            </w:pPr>
          </w:p>
        </w:tc>
        <w:tc>
          <w:tcPr>
            <w:tcW w:w="7040" w:type="dxa"/>
            <w:vAlign w:val="bottom"/>
          </w:tcPr>
          <w:p>
            <w:pPr>
              <w:ind w:left="140"/>
              <w:spacing w:after="0"/>
              <w:rPr>
                <w:sz w:val="20"/>
                <w:szCs w:val="20"/>
                <w:color w:val="auto"/>
              </w:rPr>
            </w:pPr>
            <w:r>
              <w:rPr>
                <w:rFonts w:ascii="Arial" w:cs="Arial" w:eastAsia="Arial" w:hAnsi="Arial"/>
                <w:sz w:val="18"/>
                <w:szCs w:val="18"/>
                <w:color w:val="auto"/>
              </w:rPr>
              <w:t>XBRL and contained in Exhibit 101)</w:t>
            </w:r>
          </w:p>
        </w:tc>
        <w:tc>
          <w:tcPr>
            <w:tcW w:w="2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153035</wp:posOffset>
            </wp:positionV>
            <wp:extent cx="6502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315" w:lineRule="exact"/>
        <w:rPr>
          <w:sz w:val="20"/>
          <w:szCs w:val="20"/>
          <w:color w:val="auto"/>
        </w:rPr>
      </w:pPr>
    </w:p>
    <w:p>
      <w:pPr>
        <w:ind w:left="1240" w:hanging="1216"/>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9" w:lineRule="exact"/>
        <w:rPr>
          <w:sz w:val="20"/>
          <w:szCs w:val="20"/>
          <w:color w:val="auto"/>
        </w:rPr>
      </w:pPr>
    </w:p>
    <w:p>
      <w:pPr>
        <w:jc w:val="both"/>
        <w:ind w:left="1240" w:hanging="1216"/>
        <w:spacing w:after="0" w:line="219"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 w:lineRule="exact"/>
        <w:rPr>
          <w:sz w:val="20"/>
          <w:szCs w:val="20"/>
          <w:color w:val="auto"/>
        </w:rPr>
      </w:pPr>
    </w:p>
    <w:p>
      <w:pPr>
        <w:ind w:left="1240" w:hanging="1216"/>
        <w:spacing w:after="0" w:line="230"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Schedules omitted pursuant to Item 601 of Regulation S-K. The Registrant agrees to furnish supplementally a copy of any omitted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75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November 8, 2023</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36830</wp:posOffset>
            </wp:positionV>
            <wp:extent cx="19500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Rebecca Chambers</w:t>
      </w:r>
    </w:p>
    <w:p>
      <w:pPr>
        <w:ind w:left="604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August 7, 2023</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auto"/>
        </w:rPr>
        <w:t>Via Email</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Tina Nova, PhD</w:t>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u w:val="single" w:color="auto"/>
          <w:color w:val="auto"/>
        </w:rPr>
        <w:t>Advisory Services to Veracyte, Inc.</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Dear Tina:</w:t>
      </w:r>
    </w:p>
    <w:p>
      <w:pPr>
        <w:spacing w:after="0" w:line="207" w:lineRule="exact"/>
        <w:rPr>
          <w:sz w:val="20"/>
          <w:szCs w:val="20"/>
          <w:color w:val="auto"/>
        </w:rPr>
      </w:pPr>
    </w:p>
    <w:p>
      <w:pPr>
        <w:jc w:val="both"/>
        <w:ind w:firstLine="221"/>
        <w:spacing w:after="0" w:line="245"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to confirm our understanding with respect to your service to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as an advisor of the Company. The Company looks forward to a continued mutually beneficial association with you on the following terms, which are hereby made effective as of September 4, 2023, the date on which you will no longer provide services as General Manager, Urology to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Company and the first date on which you begin providing advisory services to the Company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p>
    <w:p>
      <w:pPr>
        <w:spacing w:after="0" w:line="204" w:lineRule="exact"/>
        <w:rPr>
          <w:sz w:val="20"/>
          <w:szCs w:val="20"/>
          <w:color w:val="auto"/>
        </w:rPr>
      </w:pPr>
    </w:p>
    <w:p>
      <w:pPr>
        <w:jc w:val="both"/>
        <w:ind w:firstLine="724"/>
        <w:spacing w:after="0" w:line="222" w:lineRule="auto"/>
        <w:tabs>
          <w:tab w:leader="none" w:pos="1099"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Advisory Services</w:t>
      </w:r>
      <w:r>
        <w:rPr>
          <w:rFonts w:ascii="Arial" w:cs="Arial" w:eastAsia="Arial" w:hAnsi="Arial"/>
          <w:sz w:val="19"/>
          <w:szCs w:val="19"/>
          <w:color w:val="auto"/>
        </w:rPr>
        <w:t>. From time to time, I, or other members of the Company’s management of the Company, may contact you to consult with you regarding the Company’s business. You agree to be available, for up to forty (40) hours per month, for consultations by telephone, videoconference, email or, subject to mutual convenience, in person, to advise on matters related to the Company’s business, strategy, competitive dynamics and industry technology developments (the “</w:t>
      </w:r>
      <w:r>
        <w:rPr>
          <w:rFonts w:ascii="Arial" w:cs="Arial" w:eastAsia="Arial" w:hAnsi="Arial"/>
          <w:sz w:val="19"/>
          <w:szCs w:val="19"/>
          <w:b w:val="1"/>
          <w:bCs w:val="1"/>
          <w:i w:val="1"/>
          <w:iCs w:val="1"/>
          <w:color w:val="auto"/>
        </w:rPr>
        <w:t>Advisory Services</w:t>
      </w:r>
      <w:r>
        <w:rPr>
          <w:rFonts w:ascii="Arial" w:cs="Arial" w:eastAsia="Arial" w:hAnsi="Arial"/>
          <w:sz w:val="19"/>
          <w:szCs w:val="19"/>
          <w:color w:val="auto"/>
        </w:rPr>
        <w:t xml:space="preserve">”). You will provide the Advisory Services from September 4, 2023 through September 4, 2024, unless terminated earlier by either you or the Company as provided below in </w:t>
      </w:r>
      <w:r>
        <w:rPr>
          <w:rFonts w:ascii="Arial" w:cs="Arial" w:eastAsia="Arial" w:hAnsi="Arial"/>
          <w:sz w:val="19"/>
          <w:szCs w:val="19"/>
          <w:u w:val="single" w:color="auto"/>
          <w:color w:val="auto"/>
        </w:rPr>
        <w:t>Section 10</w:t>
      </w:r>
      <w:r>
        <w:rPr>
          <w:rFonts w:ascii="Arial" w:cs="Arial" w:eastAsia="Arial" w:hAnsi="Arial"/>
          <w:sz w:val="19"/>
          <w:szCs w:val="19"/>
          <w:color w:val="auto"/>
        </w:rPr>
        <w:t>. You and the Company, including the Board of Directors or the Compensation Committee of the Board of Directors, agree to evaluate the working relationship on a periodic basis, with at least a formal review on or around March 4, 2024 (six months from the Effective Date of this Agreement).</w:t>
      </w:r>
    </w:p>
    <w:p>
      <w:pPr>
        <w:spacing w:after="0" w:line="151" w:lineRule="exact"/>
        <w:rPr>
          <w:rFonts w:ascii="Arial" w:cs="Arial" w:eastAsia="Arial" w:hAnsi="Arial"/>
          <w:sz w:val="19"/>
          <w:szCs w:val="19"/>
          <w:color w:val="auto"/>
        </w:rPr>
      </w:pPr>
    </w:p>
    <w:p>
      <w:pPr>
        <w:ind w:left="980" w:hanging="335"/>
        <w:spacing w:after="0"/>
        <w:tabs>
          <w:tab w:leader="none" w:pos="98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ind w:left="1300" w:hanging="336"/>
        <w:spacing w:after="0"/>
        <w:tabs>
          <w:tab w:leader="none" w:pos="1300" w:val="left"/>
        </w:tabs>
        <w:numPr>
          <w:ilvl w:val="2"/>
          <w:numId w:val="32"/>
        </w:numPr>
        <w:rPr>
          <w:rFonts w:ascii="Arial" w:cs="Arial" w:eastAsia="Arial" w:hAnsi="Arial"/>
          <w:sz w:val="19"/>
          <w:szCs w:val="19"/>
          <w:color w:val="auto"/>
        </w:rPr>
      </w:pPr>
      <w:r>
        <w:rPr>
          <w:rFonts w:ascii="Arial" w:cs="Arial" w:eastAsia="Arial" w:hAnsi="Arial"/>
          <w:sz w:val="19"/>
          <w:szCs w:val="19"/>
          <w:color w:val="auto"/>
        </w:rPr>
        <w:t>The Company agrees to pay you $10,000 per month for your Advisory Services hereunder.</w:t>
      </w:r>
    </w:p>
    <w:p>
      <w:pPr>
        <w:spacing w:after="0" w:line="180" w:lineRule="exact"/>
        <w:rPr>
          <w:rFonts w:ascii="Arial" w:cs="Arial" w:eastAsia="Arial" w:hAnsi="Arial"/>
          <w:sz w:val="19"/>
          <w:szCs w:val="19"/>
          <w:color w:val="auto"/>
        </w:rPr>
      </w:pPr>
    </w:p>
    <w:p>
      <w:pPr>
        <w:ind w:left="1300" w:hanging="336"/>
        <w:spacing w:after="0"/>
        <w:tabs>
          <w:tab w:leader="none" w:pos="1300" w:val="left"/>
        </w:tabs>
        <w:numPr>
          <w:ilvl w:val="2"/>
          <w:numId w:val="32"/>
        </w:numPr>
        <w:rPr>
          <w:rFonts w:ascii="Arial" w:cs="Arial" w:eastAsia="Arial" w:hAnsi="Arial"/>
          <w:sz w:val="19"/>
          <w:szCs w:val="19"/>
          <w:color w:val="auto"/>
        </w:rPr>
      </w:pPr>
      <w:r>
        <w:rPr>
          <w:rFonts w:ascii="Arial" w:cs="Arial" w:eastAsia="Arial" w:hAnsi="Arial"/>
          <w:sz w:val="19"/>
          <w:szCs w:val="19"/>
          <w:color w:val="auto"/>
        </w:rPr>
        <w:t>Equity Awards.</w:t>
      </w:r>
    </w:p>
    <w:p>
      <w:pPr>
        <w:spacing w:after="0" w:line="193" w:lineRule="exact"/>
        <w:rPr>
          <w:rFonts w:ascii="Arial" w:cs="Arial" w:eastAsia="Arial" w:hAnsi="Arial"/>
          <w:sz w:val="19"/>
          <w:szCs w:val="19"/>
          <w:color w:val="auto"/>
        </w:rPr>
      </w:pPr>
    </w:p>
    <w:p>
      <w:pPr>
        <w:jc w:val="both"/>
        <w:ind w:firstLine="1283"/>
        <w:spacing w:after="0" w:line="220" w:lineRule="auto"/>
        <w:tabs>
          <w:tab w:leader="none" w:pos="1597" w:val="left"/>
        </w:tabs>
        <w:numPr>
          <w:ilvl w:val="3"/>
          <w:numId w:val="32"/>
        </w:numPr>
        <w:rPr>
          <w:rFonts w:ascii="Arial" w:cs="Arial" w:eastAsia="Arial" w:hAnsi="Arial"/>
          <w:sz w:val="19"/>
          <w:szCs w:val="19"/>
          <w:color w:val="auto"/>
        </w:rPr>
      </w:pPr>
      <w:r>
        <w:rPr>
          <w:rFonts w:ascii="Arial" w:cs="Arial" w:eastAsia="Arial" w:hAnsi="Arial"/>
          <w:sz w:val="19"/>
          <w:szCs w:val="19"/>
          <w:color w:val="auto"/>
        </w:rPr>
        <w:t>Your stock options to acquire shares of the Company’s common stock (the “</w:t>
      </w:r>
      <w:r>
        <w:rPr>
          <w:rFonts w:ascii="Arial" w:cs="Arial" w:eastAsia="Arial" w:hAnsi="Arial"/>
          <w:sz w:val="19"/>
          <w:szCs w:val="19"/>
          <w:b w:val="1"/>
          <w:bCs w:val="1"/>
          <w:i w:val="1"/>
          <w:iCs w:val="1"/>
          <w:color w:val="auto"/>
        </w:rPr>
        <w:t>Options</w:t>
      </w:r>
      <w:r>
        <w:rPr>
          <w:rFonts w:ascii="Arial" w:cs="Arial" w:eastAsia="Arial" w:hAnsi="Arial"/>
          <w:sz w:val="19"/>
          <w:szCs w:val="19"/>
          <w:color w:val="auto"/>
        </w:rPr>
        <w:t>”), time-based restricted stock units to acquire shares of the Company’s common stock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and performance-based restricted stock units to acquires shares of the Company’s common stock granted in 2022 (the “</w:t>
      </w:r>
      <w:r>
        <w:rPr>
          <w:rFonts w:ascii="Arial" w:cs="Arial" w:eastAsia="Arial" w:hAnsi="Arial"/>
          <w:sz w:val="19"/>
          <w:szCs w:val="19"/>
          <w:b w:val="1"/>
          <w:bCs w:val="1"/>
          <w:i w:val="1"/>
          <w:iCs w:val="1"/>
          <w:color w:val="auto"/>
        </w:rPr>
        <w:t>2022 PSUs</w:t>
      </w:r>
      <w:r>
        <w:rPr>
          <w:rFonts w:ascii="Arial" w:cs="Arial" w:eastAsia="Arial" w:hAnsi="Arial"/>
          <w:sz w:val="19"/>
          <w:szCs w:val="19"/>
          <w:color w:val="auto"/>
        </w:rPr>
        <w:t>” and together with the Options and RSUs, the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that are outstanding as of the Effective Date (as set forth in the attached Exhibit 1) will continue to vest (or remain eligible to be achieved and vest, with respect to the 2022 PSUs), pursuant to the terms and conditions of the respective award agreements and the Company’s 2013 Stock Incentive Plan (the “</w:t>
      </w:r>
      <w:r>
        <w:rPr>
          <w:rFonts w:ascii="Arial" w:cs="Arial" w:eastAsia="Arial" w:hAnsi="Arial"/>
          <w:sz w:val="19"/>
          <w:szCs w:val="19"/>
          <w:b w:val="1"/>
          <w:bCs w:val="1"/>
          <w:i w:val="1"/>
          <w:iCs w:val="1"/>
          <w:color w:val="auto"/>
        </w:rPr>
        <w:t>2013</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or any other applicable Company equity incentive plan, subject to your continued Service (as defined in the 2013 Plan). For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avoidance of doubt, your Advisory Services shall be deemed to constitute “Service” under all of your Equity Awards pursuant to the terms and conditions of the applicable award agreements. The number of shares subject to your Equity Awards and the number of shares eligible to vest have been communicated to you.</w:t>
      </w:r>
    </w:p>
    <w:p>
      <w:pPr>
        <w:spacing w:after="0" w:line="165" w:lineRule="exact"/>
        <w:rPr>
          <w:rFonts w:ascii="Arial" w:cs="Arial" w:eastAsia="Arial" w:hAnsi="Arial"/>
          <w:sz w:val="19"/>
          <w:szCs w:val="19"/>
          <w:color w:val="auto"/>
        </w:rPr>
      </w:pPr>
    </w:p>
    <w:p>
      <w:pPr>
        <w:ind w:firstLine="1283"/>
        <w:spacing w:after="0" w:line="251" w:lineRule="auto"/>
        <w:tabs>
          <w:tab w:leader="none" w:pos="1647" w:val="left"/>
        </w:tabs>
        <w:numPr>
          <w:ilvl w:val="3"/>
          <w:numId w:val="32"/>
        </w:numPr>
        <w:rPr>
          <w:rFonts w:ascii="Arial" w:cs="Arial" w:eastAsia="Arial" w:hAnsi="Arial"/>
          <w:sz w:val="19"/>
          <w:szCs w:val="19"/>
          <w:color w:val="auto"/>
        </w:rPr>
      </w:pPr>
      <w:r>
        <w:rPr>
          <w:rFonts w:ascii="Arial" w:cs="Arial" w:eastAsia="Arial" w:hAnsi="Arial"/>
          <w:sz w:val="19"/>
          <w:szCs w:val="19"/>
          <w:color w:val="auto"/>
        </w:rPr>
        <w:t>As of the final day of your Advisory Services, any portion of your Equity Awards that have not then vested by their terms shall automatically terminate and be forfeited.</w:t>
      </w:r>
    </w:p>
    <w:p>
      <w:pPr>
        <w:spacing w:after="0" w:line="141" w:lineRule="exact"/>
        <w:rPr>
          <w:rFonts w:ascii="Arial" w:cs="Arial" w:eastAsia="Arial" w:hAnsi="Arial"/>
          <w:sz w:val="19"/>
          <w:szCs w:val="19"/>
          <w:color w:val="auto"/>
        </w:rPr>
      </w:pPr>
    </w:p>
    <w:p>
      <w:pPr>
        <w:ind w:left="1680" w:hanging="397"/>
        <w:spacing w:after="0"/>
        <w:tabs>
          <w:tab w:leader="none" w:pos="1680" w:val="left"/>
        </w:tabs>
        <w:numPr>
          <w:ilvl w:val="3"/>
          <w:numId w:val="32"/>
        </w:numPr>
        <w:rPr>
          <w:rFonts w:ascii="Arial" w:cs="Arial" w:eastAsia="Arial" w:hAnsi="Arial"/>
          <w:sz w:val="19"/>
          <w:szCs w:val="19"/>
          <w:color w:val="auto"/>
        </w:rPr>
      </w:pPr>
      <w:r>
        <w:rPr>
          <w:rFonts w:ascii="Arial" w:cs="Arial" w:eastAsia="Arial" w:hAnsi="Arial"/>
          <w:sz w:val="19"/>
          <w:szCs w:val="19"/>
          <w:color w:val="auto"/>
        </w:rPr>
        <w:t>You will not be entitled to receive any additional equity awards from the Company.</w:t>
      </w:r>
    </w:p>
    <w:p>
      <w:pPr>
        <w:spacing w:after="0" w:line="193" w:lineRule="exact"/>
        <w:rPr>
          <w:rFonts w:ascii="Arial" w:cs="Arial" w:eastAsia="Arial" w:hAnsi="Arial"/>
          <w:sz w:val="19"/>
          <w:szCs w:val="19"/>
          <w:color w:val="auto"/>
        </w:rPr>
      </w:pPr>
    </w:p>
    <w:p>
      <w:pPr>
        <w:ind w:firstLine="645"/>
        <w:spacing w:after="0" w:line="251" w:lineRule="auto"/>
        <w:tabs>
          <w:tab w:leader="none" w:pos="979"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Reimbursement of Expenses</w:t>
      </w:r>
      <w:r>
        <w:rPr>
          <w:rFonts w:ascii="Arial" w:cs="Arial" w:eastAsia="Arial" w:hAnsi="Arial"/>
          <w:sz w:val="19"/>
          <w:szCs w:val="19"/>
          <w:color w:val="auto"/>
        </w:rPr>
        <w:t>. The Company will reimburse you for reasonable out-of-pocket expenses that you incur in connection with your Advisory Services under this Agreement,</w:t>
      </w:r>
    </w:p>
    <w:p>
      <w:pPr>
        <w:sectPr>
          <w:pgSz w:w="11900" w:h="16838" w:orient="portrait"/>
          <w:cols w:equalWidth="0" w:num="1">
            <w:col w:w="11240"/>
          </w:cols>
          <w:pgMar w:left="320" w:top="100" w:right="339" w:bottom="1440" w:gutter="0" w:footer="0" w:header="0"/>
        </w:sectPr>
      </w:pPr>
    </w:p>
    <w:bookmarkStart w:id="76" w:name="page77"/>
    <w:bookmarkEnd w:id="76"/>
    <w:p>
      <w:pPr>
        <w:spacing w:after="0" w:line="251" w:lineRule="auto"/>
        <w:rPr>
          <w:sz w:val="20"/>
          <w:szCs w:val="20"/>
          <w:color w:val="auto"/>
        </w:rPr>
      </w:pPr>
      <w:r>
        <w:rPr>
          <w:rFonts w:ascii="Arial" w:cs="Arial" w:eastAsia="Arial" w:hAnsi="Arial"/>
          <w:sz w:val="19"/>
          <w:szCs w:val="19"/>
          <w:color w:val="auto"/>
        </w:rPr>
        <w:t>including conference, travel, and lodging expenses, provided that the Chief Executive Officer of the Company approves any such expenses in advance.</w:t>
      </w:r>
    </w:p>
    <w:p>
      <w:pPr>
        <w:spacing w:after="0" w:line="141" w:lineRule="exact"/>
        <w:rPr>
          <w:sz w:val="20"/>
          <w:szCs w:val="20"/>
          <w:color w:val="auto"/>
        </w:rPr>
      </w:pPr>
    </w:p>
    <w:p>
      <w:pPr>
        <w:jc w:val="both"/>
        <w:ind w:firstLine="645"/>
        <w:spacing w:after="0" w:line="232" w:lineRule="auto"/>
        <w:tabs>
          <w:tab w:leader="none" w:pos="10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Your relationship with the Company will be that of an independent contractor, and you will not be an agent, employee or representative of the Company. You understand that you will have no authority to enter into contracts or create obligations on behalf of the Company. Accordingly, you acknowledge that you will not be eligible for any employee benefits, and that the Company will not make any tax withholdings on your behalf. In the event you receive compensation from the Company in connection with your Advisory Services under this Agreement, you agree that you are obligated to report any such compensation as income, and you agree to pay all withholding taxes, social security, workers’ compensation, unemployment and disability insurance or similar items required by any government agency. You agree to indemnify and hold the Company harmless from and against all damages, liabilities, losses, penalties, fines, expenses and costs (including reasonable fees and expenses of attorneys and other professionals) arising out of or relating to any obligation imposed by law on the Company to pay any withholding taxes, social security, unemployment or disability insurance or similar items in connection with any compensation received by you pursuant to this Agreement.</w:t>
      </w:r>
    </w:p>
    <w:p>
      <w:pPr>
        <w:spacing w:after="0" w:line="166" w:lineRule="exact"/>
        <w:rPr>
          <w:rFonts w:ascii="Arial" w:cs="Arial" w:eastAsia="Arial" w:hAnsi="Arial"/>
          <w:sz w:val="18"/>
          <w:szCs w:val="18"/>
          <w:color w:val="auto"/>
        </w:rPr>
      </w:pPr>
    </w:p>
    <w:p>
      <w:pPr>
        <w:jc w:val="both"/>
        <w:ind w:firstLine="645"/>
        <w:spacing w:after="0" w:line="232" w:lineRule="auto"/>
        <w:tabs>
          <w:tab w:leader="none" w:pos="113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Property of the Company</w:t>
      </w:r>
      <w:r>
        <w:rPr>
          <w:rFonts w:ascii="Arial" w:cs="Arial" w:eastAsia="Arial" w:hAnsi="Arial"/>
          <w:sz w:val="18"/>
          <w:szCs w:val="18"/>
          <w:color w:val="auto"/>
        </w:rPr>
        <w:t>. For purposes of this Agreement, “</w:t>
      </w:r>
      <w:r>
        <w:rPr>
          <w:rFonts w:ascii="Arial" w:cs="Arial" w:eastAsia="Arial" w:hAnsi="Arial"/>
          <w:sz w:val="18"/>
          <w:szCs w:val="18"/>
          <w:b w:val="1"/>
          <w:bCs w:val="1"/>
          <w:i w:val="1"/>
          <w:iCs w:val="1"/>
          <w:color w:val="auto"/>
        </w:rPr>
        <w:t>Designs and Materials</w:t>
      </w:r>
      <w:r>
        <w:rPr>
          <w:rFonts w:ascii="Arial" w:cs="Arial" w:eastAsia="Arial" w:hAnsi="Arial"/>
          <w:sz w:val="18"/>
          <w:szCs w:val="18"/>
          <w:color w:val="auto"/>
        </w:rPr>
        <w:t>” shall mean all designs, discoveries, inventions, products, computer programs, procedures, improvements, developments, drawings, notes, documents, information and materials made, conceived or developed by you alone or with others that result from or that are made, conceived or developed in connection with the Advisory Services you provide to the Company pursuant to this Agreement. You hereby irrevocably transfer and assign to the Company any and all of your right, title and interest in and to Designs and Materials, including but not limited to all copyrights, patent rights, trade secrets, trademarks and moral rights. You agree: (a) to disclose promptly in writing to the Company all Designs and Materials; (b) to cooperate with and assist the Company to apply for, and to execute any applications and/or assignments to obtain, any patent, copyright, trademark or other legal protection for Designs and Materials in the Company’s name as the Company deems appropriate; and (c) to otherwise treat all Designs and Materials as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as defined below.</w:t>
      </w:r>
    </w:p>
    <w:p>
      <w:pPr>
        <w:spacing w:after="0" w:line="167" w:lineRule="exact"/>
        <w:rPr>
          <w:rFonts w:ascii="Arial" w:cs="Arial" w:eastAsia="Arial" w:hAnsi="Arial"/>
          <w:sz w:val="18"/>
          <w:szCs w:val="18"/>
          <w:color w:val="auto"/>
        </w:rPr>
      </w:pPr>
    </w:p>
    <w:p>
      <w:pPr>
        <w:jc w:val="both"/>
        <w:ind w:firstLine="645"/>
        <w:spacing w:after="0" w:line="229" w:lineRule="auto"/>
        <w:tabs>
          <w:tab w:leader="none" w:pos="10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You acknowledge and agree that you continue to be bound by the At-Will Employment, Confidential Information and Invention Assignment and Arbitration Agreement previously entered into by and between you and the Company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You recognize that, in the course of performing the Advisory Services under this Agreement, you will acquire information and materials from the Company and knowledge about information of a confidential or secret nature concerning the Company, including without limitation, knowledge about the Company’s business, products and planned products, marketing plans, financial information, forecasts, personnel, customers, clients, suppliers, experimental work and programming techniques. All such knowledge, information and materials acquired, the existence, terms and conditions of this Agreement, and all Designs and Materials, are and will be the trade secrets and confidential and proprietary information of the Company (collectively, the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Confidential Information will not include, however, any information which is or becomes part of the public domain through no fault of yours or that the Company regularly gives to third parties without restriction on use or disclosure. You agree to hold all such Confidential Information in strict confidence, not to disclose it to others or use it in any way, commercially or otherwise (including without limitation lecturing upon or publishing articles concerning Confidential Information), except in performing your obligations under this Agreement, and not to allow any unauthorized person access to it. You agree to return to the Company promptly upon request, and in any event after termination or expiration of this Agreement, any and all records, paper, media or other embodiment containing any Confidential Information. Nothing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otherwise in this Agreement shall limit or restrict in any way your immunity from liability for disclosing Company’s trade secrets as specifically permitted by 18 U.S. Code Section 1833, the pertinent provisions of which are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645"/>
        <w:spacing w:after="0" w:line="254" w:lineRule="auto"/>
        <w:tabs>
          <w:tab w:leader="none" w:pos="103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Conflicts of Interest</w:t>
      </w:r>
      <w:r>
        <w:rPr>
          <w:rFonts w:ascii="Arial" w:cs="Arial" w:eastAsia="Arial" w:hAnsi="Arial"/>
          <w:sz w:val="18"/>
          <w:szCs w:val="18"/>
          <w:color w:val="auto"/>
        </w:rPr>
        <w:t>. You hereby represent that the obligations contemplated hereby do not, in any way, conflict with any other agreement and/or commitment on your part. You agree to inform the Company promptly and in writing if any such conflict arises. You agree that you will not disclose to the Company any proprietary information that you currently have obtained, or may obtain in the future,</w:t>
      </w:r>
    </w:p>
    <w:p>
      <w:pPr>
        <w:sectPr>
          <w:pgSz w:w="11900" w:h="16838" w:orient="portrait"/>
          <w:cols w:equalWidth="0" w:num="1">
            <w:col w:w="11240"/>
          </w:cols>
          <w:pgMar w:left="320" w:top="138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from any other individual or organization. During the period you are providing Advisory Services pursuant to this Agreement, you agree that</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you will at all times devote your best efforts to the interests of the Company, and will not, without my prior written consent, engage in, or encourage or assist others to engage in, any other service, employment or activity, including board memberships, that (a) would divert from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Company any business opportunity in which the Company can reasonably be expected to have an interest, (b) would directly compete with, or</w:t>
      </w:r>
    </w:p>
    <w:p>
      <w:pPr>
        <w:spacing w:after="0" w:line="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involve preparation to compete with, the current or future business of the Company, or (c) would otherwise conflict with the Company’s interests or could cause a disruption of its operation or prospects. Furthermore, prior to engaging in a potentially conflicting activity pursuant 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foregoing, you agree to provide me with a written request for its approval, to which I shall promptly reply.</w:t>
      </w:r>
    </w:p>
    <w:p>
      <w:pPr>
        <w:spacing w:after="0" w:line="178" w:lineRule="exact"/>
        <w:rPr>
          <w:sz w:val="20"/>
          <w:szCs w:val="20"/>
          <w:color w:val="auto"/>
        </w:rPr>
      </w:pPr>
    </w:p>
    <w:p>
      <w:pPr>
        <w:jc w:val="both"/>
        <w:ind w:firstLine="645"/>
        <w:spacing w:after="0" w:line="231" w:lineRule="auto"/>
        <w:tabs>
          <w:tab w:leader="none" w:pos="1112"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Company Policies; Code of Conduct</w:t>
      </w:r>
      <w:r>
        <w:rPr>
          <w:rFonts w:ascii="Arial" w:cs="Arial" w:eastAsia="Arial" w:hAnsi="Arial"/>
          <w:sz w:val="19"/>
          <w:szCs w:val="19"/>
          <w:color w:val="auto"/>
        </w:rPr>
        <w:t>. You hereby acknowledge and agree to comply with all applicable Company policies, including, but not limited to, the Company’s Code of Business Conduct and Ethics as applicable to you during the period you provide the Advisory Services to the Company, including, without limitation, with respect to conflicts of interest.</w:t>
      </w:r>
    </w:p>
    <w:p>
      <w:pPr>
        <w:spacing w:after="0" w:line="166" w:lineRule="exact"/>
        <w:rPr>
          <w:rFonts w:ascii="Arial" w:cs="Arial" w:eastAsia="Arial" w:hAnsi="Arial"/>
          <w:sz w:val="19"/>
          <w:szCs w:val="19"/>
          <w:color w:val="auto"/>
        </w:rPr>
      </w:pPr>
    </w:p>
    <w:p>
      <w:pPr>
        <w:jc w:val="both"/>
        <w:ind w:firstLine="645"/>
        <w:spacing w:after="0" w:line="231" w:lineRule="auto"/>
        <w:tabs>
          <w:tab w:leader="none" w:pos="100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in which you provide Advisory Services to the Company pursuant to this Agreement and for a one-year period following the termination of this Agreement, you will not directly or indirectly solicit away any employees or consultants of the Company for your benefit or for the benefit of any other person or entity.</w:t>
      </w:r>
    </w:p>
    <w:p>
      <w:pPr>
        <w:spacing w:after="0" w:line="166" w:lineRule="exact"/>
        <w:rPr>
          <w:rFonts w:ascii="Arial" w:cs="Arial" w:eastAsia="Arial" w:hAnsi="Arial"/>
          <w:sz w:val="19"/>
          <w:szCs w:val="19"/>
          <w:color w:val="auto"/>
        </w:rPr>
      </w:pPr>
    </w:p>
    <w:p>
      <w:pPr>
        <w:jc w:val="both"/>
        <w:ind w:firstLine="645"/>
        <w:spacing w:after="0" w:line="228" w:lineRule="auto"/>
        <w:tabs>
          <w:tab w:leader="none" w:pos="111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This Agreement will commence on the Effective Date and continue until September 4, 2024, at which time it will automatically expire, unless terminated earlier in accordance with the terms of this Agreement. Either party may terminate this Agreement and your Advisory Services for any reason upon ten (10) days written notice. The provisions of </w:t>
      </w:r>
      <w:r>
        <w:rPr>
          <w:rFonts w:ascii="Arial" w:cs="Arial" w:eastAsia="Arial" w:hAnsi="Arial"/>
          <w:sz w:val="19"/>
          <w:szCs w:val="19"/>
          <w:u w:val="single" w:color="auto"/>
          <w:color w:val="auto"/>
        </w:rPr>
        <w:t>Sections 4, 5, 6, 9, 10, 11 and 12</w:t>
      </w:r>
      <w:r>
        <w:rPr>
          <w:rFonts w:ascii="Arial" w:cs="Arial" w:eastAsia="Arial" w:hAnsi="Arial"/>
          <w:sz w:val="19"/>
          <w:szCs w:val="19"/>
          <w:color w:val="auto"/>
        </w:rPr>
        <w:t xml:space="preserve"> of this Agreement will survive any expiration or termination of this Agreement.</w:t>
      </w:r>
    </w:p>
    <w:p>
      <w:pPr>
        <w:spacing w:after="0" w:line="153" w:lineRule="exact"/>
        <w:rPr>
          <w:rFonts w:ascii="Arial" w:cs="Arial" w:eastAsia="Arial" w:hAnsi="Arial"/>
          <w:sz w:val="19"/>
          <w:szCs w:val="19"/>
          <w:color w:val="auto"/>
        </w:rPr>
      </w:pPr>
    </w:p>
    <w:p>
      <w:pPr>
        <w:jc w:val="both"/>
        <w:ind w:firstLine="645"/>
        <w:spacing w:after="0" w:line="234" w:lineRule="auto"/>
        <w:tabs>
          <w:tab w:leader="none" w:pos="109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applicable Equity Award Agreements, the Notice of Extension of Exercise Period for Certain Options dated January 25, 2022 (the “</w:t>
      </w:r>
      <w:r>
        <w:rPr>
          <w:rFonts w:ascii="Arial" w:cs="Arial" w:eastAsia="Arial" w:hAnsi="Arial"/>
          <w:sz w:val="18"/>
          <w:szCs w:val="18"/>
          <w:b w:val="1"/>
          <w:bCs w:val="1"/>
          <w:i w:val="1"/>
          <w:iCs w:val="1"/>
          <w:color w:val="auto"/>
        </w:rPr>
        <w:t>Extended PTEP Notice</w:t>
      </w:r>
      <w:r>
        <w:rPr>
          <w:rFonts w:ascii="Arial" w:cs="Arial" w:eastAsia="Arial" w:hAnsi="Arial"/>
          <w:sz w:val="18"/>
          <w:szCs w:val="18"/>
          <w:color w:val="auto"/>
        </w:rPr>
        <w:t>”) and the Confidentiality Agreement) constitutes the complete and exclusive understanding and agreement between you and the Company and supersedes all prior understanding and agreements, whether written or oral, with respect to the subject matter hereof. You and the Company acknowledge and agree that the Change of Control and Severance Agreement between you and the Company dated February 2, 2021, terminated in its entirety on February 2, 2022, and has no force or effect, and your Change of Control and Severance Agreement between you and the Company dated April 6, 2022 expires as of the Transition Date and will have no further force or effect.</w:t>
      </w:r>
    </w:p>
    <w:p>
      <w:pPr>
        <w:spacing w:after="0" w:line="169" w:lineRule="exact"/>
        <w:rPr>
          <w:rFonts w:ascii="Arial" w:cs="Arial" w:eastAsia="Arial" w:hAnsi="Arial"/>
          <w:sz w:val="18"/>
          <w:szCs w:val="18"/>
          <w:color w:val="auto"/>
        </w:rPr>
      </w:pPr>
    </w:p>
    <w:p>
      <w:pPr>
        <w:jc w:val="both"/>
        <w:ind w:firstLine="645"/>
        <w:spacing w:after="0" w:line="220" w:lineRule="auto"/>
        <w:tabs>
          <w:tab w:leader="none" w:pos="117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terms contained in this Agreement are subject to interpretation under the laws of the State of California, without giving effect to that body of laws pertaining to conflict of laws, and can be amended only in writing and by joint agreement of both you and the Company. If any provision of this Agreement is determined by any court or arbitrator of competent jurisdiction to be invalid, illegal or unenforceable in any respect, such provision will be enforced to the maximum extent possible given the intent of the parties hereto. If such provision cannot be so enforced, such provision shall be stricken from this Agreement and the remainder of this Agreement shall be enforced as if such invalid, illegal or unenforceable provision had (to the extent not enforceable) never been contained in the Agreement. This Agreement may be executed in two or more counterparts, including by electronic signature transmission, with the same force and effect as if each of the signatories had executed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Signature Page to Letter Agreement for Advisory Services Follows</w:t>
      </w:r>
      <w:r>
        <w:rPr>
          <w:rFonts w:ascii="Arial" w:cs="Arial" w:eastAsia="Arial" w:hAnsi="Arial"/>
          <w:sz w:val="19"/>
          <w:szCs w:val="19"/>
          <w:color w:val="auto"/>
        </w:rPr>
        <w:t>]</w:t>
      </w:r>
    </w:p>
    <w:p>
      <w:pPr>
        <w:sectPr>
          <w:pgSz w:w="11900" w:h="16838" w:orient="portrait"/>
          <w:cols w:equalWidth="0" w:num="1">
            <w:col w:w="11240"/>
          </w:cols>
          <w:pgMar w:left="320" w:top="1386" w:right="339" w:bottom="1440" w:gutter="0" w:footer="0" w:header="0"/>
        </w:sectPr>
      </w:pPr>
    </w:p>
    <w:bookmarkStart w:id="78" w:name="page79"/>
    <w:bookmarkEnd w:id="78"/>
    <w:p>
      <w:pPr>
        <w:ind w:firstLine="638"/>
        <w:spacing w:after="0" w:line="251" w:lineRule="auto"/>
        <w:rPr>
          <w:sz w:val="20"/>
          <w:szCs w:val="20"/>
          <w:color w:val="auto"/>
        </w:rPr>
      </w:pPr>
      <w:r>
        <w:rPr>
          <w:rFonts w:ascii="Arial" w:cs="Arial" w:eastAsia="Arial" w:hAnsi="Arial"/>
          <w:sz w:val="19"/>
          <w:szCs w:val="19"/>
          <w:color w:val="auto"/>
        </w:rPr>
        <w:t>If the foregoing represents your understanding of your role as an advisor to the Company, please sign below and return the executed Agreement to me.</w:t>
      </w:r>
    </w:p>
    <w:p>
      <w:pPr>
        <w:spacing w:after="0" w:line="16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Very truly yours,</w:t>
      </w:r>
    </w:p>
    <w:p>
      <w:pPr>
        <w:spacing w:after="0" w:line="180" w:lineRule="exact"/>
        <w:rPr>
          <w:sz w:val="20"/>
          <w:szCs w:val="20"/>
          <w:color w:val="auto"/>
        </w:rPr>
      </w:pPr>
    </w:p>
    <w:p>
      <w:pPr>
        <w:ind w:left="4480"/>
        <w:spacing w:after="0"/>
        <w:rPr>
          <w:sz w:val="20"/>
          <w:szCs w:val="20"/>
          <w:color w:val="auto"/>
        </w:rPr>
      </w:pPr>
      <w:r>
        <w:rPr>
          <w:rFonts w:ascii="Arial" w:cs="Arial" w:eastAsia="Arial" w:hAnsi="Arial"/>
          <w:sz w:val="19"/>
          <w:szCs w:val="19"/>
          <w:color w:val="auto"/>
        </w:rPr>
        <w:t>VERACYTE, INC.</w:t>
      </w:r>
    </w:p>
    <w:p>
      <w:pPr>
        <w:spacing w:after="0" w:line="200" w:lineRule="exact"/>
        <w:rPr>
          <w:sz w:val="20"/>
          <w:szCs w:val="20"/>
          <w:color w:val="auto"/>
        </w:rPr>
      </w:pPr>
    </w:p>
    <w:p>
      <w:pPr>
        <w:spacing w:after="0" w:line="243" w:lineRule="exact"/>
        <w:rPr>
          <w:sz w:val="20"/>
          <w:szCs w:val="20"/>
          <w:color w:val="auto"/>
        </w:rPr>
      </w:pPr>
    </w:p>
    <w:p>
      <w:pPr>
        <w:ind w:left="4480"/>
        <w:spacing w:after="0"/>
        <w:tabs>
          <w:tab w:leader="none" w:pos="4980" w:val="left"/>
        </w:tabs>
        <w:rPr>
          <w:sz w:val="20"/>
          <w:szCs w:val="20"/>
          <w:color w:val="auto"/>
        </w:rPr>
      </w:pPr>
      <w:r>
        <w:rPr>
          <w:rFonts w:ascii="Arial" w:cs="Arial" w:eastAsia="Arial" w:hAnsi="Arial"/>
          <w:sz w:val="19"/>
          <w:szCs w:val="19"/>
          <w:color w:val="auto"/>
        </w:rPr>
        <w:t>By:</w:t>
        <w:tab/>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-6985</wp:posOffset>
            </wp:positionV>
            <wp:extent cx="13061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4880"/>
        <w:spacing w:after="0" w:line="219" w:lineRule="auto"/>
        <w:rPr>
          <w:sz w:val="20"/>
          <w:szCs w:val="20"/>
          <w:color w:val="auto"/>
        </w:rPr>
      </w:pPr>
      <w:r>
        <w:rPr>
          <w:rFonts w:ascii="Arial" w:cs="Arial" w:eastAsia="Arial" w:hAnsi="Arial"/>
          <w:sz w:val="19"/>
          <w:szCs w:val="19"/>
          <w:color w:val="auto"/>
        </w:rPr>
        <w:t>Marc Stapley</w:t>
      </w:r>
    </w:p>
    <w:p>
      <w:pPr>
        <w:ind w:left="4880"/>
        <w:spacing w:after="0" w:line="204" w:lineRule="auto"/>
        <w:rPr>
          <w:sz w:val="20"/>
          <w:szCs w:val="20"/>
          <w:color w:val="auto"/>
        </w:rPr>
      </w:pPr>
      <w:r>
        <w:rPr>
          <w:rFonts w:ascii="Arial" w:cs="Arial" w:eastAsia="Arial" w:hAnsi="Arial"/>
          <w:sz w:val="19"/>
          <w:szCs w:val="19"/>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AGREED AND CONSENTED TO:</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 Tina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2877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9"/>
          <w:szCs w:val="19"/>
          <w:color w:val="auto"/>
        </w:rPr>
        <w:t>Tina Nova, PhD</w:t>
      </w:r>
    </w:p>
    <w:p>
      <w:pPr>
        <w:sectPr>
          <w:pgSz w:w="11900" w:h="16838" w:orient="portrait"/>
          <w:cols w:equalWidth="0" w:num="1">
            <w:col w:w="11240"/>
          </w:cols>
          <w:pgMar w:left="320" w:top="1386"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September 30, 2023;</w:t>
      </w:r>
    </w:p>
    <w:p>
      <w:pPr>
        <w:spacing w:after="0" w:line="218" w:lineRule="exact"/>
        <w:rPr>
          <w:rFonts w:ascii="Arial" w:cs="Arial" w:eastAsia="Arial" w:hAnsi="Arial"/>
          <w:sz w:val="18"/>
          <w:szCs w:val="18"/>
          <w:color w:val="auto"/>
        </w:rPr>
      </w:pPr>
    </w:p>
    <w:p>
      <w:pPr>
        <w:ind w:right="200" w:firstLine="764"/>
        <w:spacing w:after="0" w:line="256" w:lineRule="auto"/>
        <w:tabs>
          <w:tab w:leader="none" w:pos="1422"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340" w:firstLine="764"/>
        <w:spacing w:after="0" w:line="296" w:lineRule="auto"/>
        <w:tabs>
          <w:tab w:leader="none" w:pos="1422"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160" w:firstLine="764"/>
        <w:spacing w:after="0" w:line="256" w:lineRule="auto"/>
        <w:tabs>
          <w:tab w:leader="none" w:pos="142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right="180" w:firstLine="1442"/>
        <w:spacing w:after="0" w:line="256" w:lineRule="auto"/>
        <w:tabs>
          <w:tab w:leader="none" w:pos="20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right="140" w:firstLine="1442"/>
        <w:spacing w:after="0" w:line="256" w:lineRule="auto"/>
        <w:tabs>
          <w:tab w:leader="none" w:pos="20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320" w:firstLine="1442"/>
        <w:spacing w:after="0" w:line="410" w:lineRule="auto"/>
        <w:tabs>
          <w:tab w:leader="none" w:pos="2061" w:val="left"/>
        </w:tabs>
        <w:numPr>
          <w:ilvl w:val="1"/>
          <w:numId w:val="3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4"/>
          <w:szCs w:val="14"/>
          <w:color w:val="auto"/>
        </w:rPr>
      </w:pPr>
    </w:p>
    <w:p>
      <w:pPr>
        <w:ind w:right="140" w:firstLine="1442"/>
        <w:spacing w:after="0" w:line="256" w:lineRule="auto"/>
        <w:tabs>
          <w:tab w:leader="none" w:pos="20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right="380" w:firstLine="764"/>
        <w:spacing w:after="0" w:line="329" w:lineRule="auto"/>
        <w:tabs>
          <w:tab w:leader="none" w:pos="142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right="100" w:firstLine="1442"/>
        <w:spacing w:after="0" w:line="296" w:lineRule="auto"/>
        <w:tabs>
          <w:tab w:leader="none" w:pos="206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right="100" w:firstLine="1442"/>
        <w:spacing w:after="0" w:line="266" w:lineRule="auto"/>
        <w:tabs>
          <w:tab w:leader="none" w:pos="20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20"/>
        <w:spacing w:after="0"/>
        <w:tabs>
          <w:tab w:leader="none" w:pos="2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28575</wp:posOffset>
            </wp:positionV>
            <wp:extent cx="19500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Marc Stapley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79"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September 30, 2023;</w:t>
      </w:r>
    </w:p>
    <w:p>
      <w:pPr>
        <w:spacing w:after="0" w:line="218" w:lineRule="exact"/>
        <w:rPr>
          <w:rFonts w:ascii="Arial" w:cs="Arial" w:eastAsia="Arial" w:hAnsi="Arial"/>
          <w:sz w:val="18"/>
          <w:szCs w:val="18"/>
          <w:color w:val="auto"/>
        </w:rPr>
      </w:pPr>
    </w:p>
    <w:p>
      <w:pPr>
        <w:ind w:right="140" w:firstLine="764"/>
        <w:spacing w:after="0" w:line="256" w:lineRule="auto"/>
        <w:tabs>
          <w:tab w:leader="none" w:pos="14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300" w:firstLine="764"/>
        <w:spacing w:after="0" w:line="296" w:lineRule="auto"/>
        <w:tabs>
          <w:tab w:leader="none" w:pos="1467"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jc w:val="both"/>
        <w:ind w:right="160" w:firstLine="764"/>
        <w:spacing w:after="0" w:line="256" w:lineRule="auto"/>
        <w:tabs>
          <w:tab w:leader="none" w:pos="14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right="120" w:firstLine="1442"/>
        <w:spacing w:after="0" w:line="256" w:lineRule="auto"/>
        <w:tabs>
          <w:tab w:leader="none" w:pos="21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right="140" w:firstLine="1442"/>
        <w:spacing w:after="0" w:line="256"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right="220" w:firstLine="1442"/>
        <w:spacing w:after="0" w:line="410" w:lineRule="auto"/>
        <w:tabs>
          <w:tab w:leader="none" w:pos="2150"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4"/>
          <w:szCs w:val="14"/>
          <w:color w:val="auto"/>
        </w:rPr>
      </w:pPr>
    </w:p>
    <w:p>
      <w:pPr>
        <w:ind w:right="140" w:firstLine="1442"/>
        <w:spacing w:after="0" w:line="256"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right="340" w:firstLine="764"/>
        <w:spacing w:after="0" w:line="329" w:lineRule="auto"/>
        <w:tabs>
          <w:tab w:leader="none" w:pos="146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firstLine="1442"/>
        <w:spacing w:after="0" w:line="296" w:lineRule="auto"/>
        <w:tabs>
          <w:tab w:leader="none" w:pos="215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right="20" w:firstLine="1442"/>
        <w:spacing w:after="0" w:line="266" w:lineRule="auto"/>
        <w:tabs>
          <w:tab w:leader="none" w:pos="2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20"/>
        <w:spacing w:after="0"/>
        <w:tabs>
          <w:tab w:leader="none" w:pos="2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28575</wp:posOffset>
            </wp:positionV>
            <wp:extent cx="24822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Rebecca Chambers</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79"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240" w:firstLine="758"/>
        <w:spacing w:after="0" w:line="278"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September 30,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2" w:lineRule="exact"/>
        <w:rPr>
          <w:sz w:val="20"/>
          <w:szCs w:val="20"/>
          <w:color w:val="auto"/>
        </w:rPr>
      </w:pPr>
    </w:p>
    <w:p>
      <w:pPr>
        <w:ind w:left="1440" w:hanging="317"/>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5" w:lineRule="exact"/>
        <w:rPr>
          <w:rFonts w:ascii="Arial" w:cs="Arial" w:eastAsia="Arial" w:hAnsi="Arial"/>
          <w:sz w:val="18"/>
          <w:szCs w:val="18"/>
          <w:color w:val="auto"/>
        </w:rPr>
      </w:pPr>
    </w:p>
    <w:p>
      <w:pPr>
        <w:ind w:left="1440" w:right="280" w:hanging="317"/>
        <w:spacing w:after="0" w:line="266" w:lineRule="auto"/>
        <w:tabs>
          <w:tab w:leader="none" w:pos="14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0" w:lineRule="exact"/>
        <w:rPr>
          <w:sz w:val="20"/>
          <w:szCs w:val="20"/>
          <w:color w:val="auto"/>
        </w:rPr>
      </w:pPr>
    </w:p>
    <w:p>
      <w:pPr>
        <w:ind w:left="20"/>
        <w:spacing w:after="0"/>
        <w:tabs>
          <w:tab w:leader="none" w:pos="2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p>
    <w:p>
      <w:pPr>
        <w:spacing w:after="0" w:line="2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28575</wp:posOffset>
            </wp:positionV>
            <wp:extent cx="19500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Marc Stapley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79"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240" w:firstLine="758"/>
        <w:spacing w:after="0" w:line="278"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September 30,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2" w:lineRule="exact"/>
        <w:rPr>
          <w:sz w:val="20"/>
          <w:szCs w:val="20"/>
          <w:color w:val="auto"/>
        </w:rPr>
      </w:pPr>
    </w:p>
    <w:p>
      <w:pPr>
        <w:ind w:left="1440" w:hanging="317"/>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5" w:lineRule="exact"/>
        <w:rPr>
          <w:rFonts w:ascii="Arial" w:cs="Arial" w:eastAsia="Arial" w:hAnsi="Arial"/>
          <w:sz w:val="18"/>
          <w:szCs w:val="18"/>
          <w:color w:val="auto"/>
        </w:rPr>
      </w:pPr>
    </w:p>
    <w:p>
      <w:pPr>
        <w:ind w:left="1440" w:right="280" w:hanging="317"/>
        <w:spacing w:after="0" w:line="266" w:lineRule="auto"/>
        <w:tabs>
          <w:tab w:leader="none" w:pos="14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0" w:lineRule="exact"/>
        <w:rPr>
          <w:sz w:val="20"/>
          <w:szCs w:val="20"/>
          <w:color w:val="auto"/>
        </w:rPr>
      </w:pPr>
    </w:p>
    <w:p>
      <w:pPr>
        <w:ind w:left="20"/>
        <w:spacing w:after="0"/>
        <w:tabs>
          <w:tab w:leader="none" w:pos="2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p>
    <w:p>
      <w:pPr>
        <w:spacing w:after="0" w:line="29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28575</wp:posOffset>
            </wp:positionV>
            <wp:extent cx="2533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Rebecca Chambers</w:t>
      </w:r>
    </w:p>
    <w:p>
      <w:pPr>
        <w:spacing w:after="0" w:line="32"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Chief Financial Officer</w:t>
      </w:r>
    </w:p>
    <w:p>
      <w:pPr>
        <w:spacing w:after="0" w:line="46"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1">
    <w:nsid w:val="5577F8E1"/>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2">
    <w:nsid w:val="440BADFC"/>
    <w:multiLevelType w:val="hybridMultilevel"/>
    <w:lvl w:ilvl="0">
      <w:lvlJc w:val="left"/>
      <w:lvlText w:val="%1."/>
      <w:numFmt w:val="decimal"/>
      <w:start w:val="4"/>
    </w:lvl>
  </w:abstractNum>
  <w:abstractNum w:abstractNumId="33">
    <w:nsid w:val="5072367"/>
    <w:multiLevelType w:val="hybridMultilevel"/>
    <w:lvl w:ilvl="0">
      <w:lvlJc w:val="left"/>
      <w:lvlText w:val="%1."/>
      <w:numFmt w:val="decimal"/>
      <w:start w:val="8"/>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2023-11-08T07:41:01Z</dcterms:created>
  <dcterms:modified xsi:type="dcterms:W3CDTF">2023-11-08T07:41:01Z</dcterms:modified>
</cp:coreProperties>
</file>