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16"/>
        </w:rPr>
      </w:pPr>
      <w:r>
        <w:rPr>
          <w:rFonts w:ascii="Times New Roman;sans-serif" w:hAnsi="Times New Roman;sans-serif"/>
          <w:b/>
          <w:color w:val="000000"/>
          <w:sz w:val="16"/>
        </w:rPr>
        <w:t>(Mark One)</w:t>
      </w:r>
    </w:p>
    <w:tbl>
      <w:tblPr>
        <w:tblW w:w="8682" w:type="dxa"/>
        <w:jc w:val="left"/>
        <w:tblInd w:w="0" w:type="dxa"/>
        <w:tblCellMar>
          <w:top w:w="28" w:type="dxa"/>
          <w:left w:w="28" w:type="dxa"/>
          <w:bottom w:w="28" w:type="dxa"/>
          <w:right w:w="28" w:type="dxa"/>
        </w:tblCellMar>
      </w:tblPr>
      <w:tblGrid>
        <w:gridCol w:w="124"/>
        <w:gridCol w:w="109"/>
        <w:gridCol w:w="109"/>
        <w:gridCol w:w="2437"/>
        <w:gridCol w:w="2437"/>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34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fiscal year ended December 31, 2021 or</w:t>
      </w:r>
    </w:p>
    <w:tbl>
      <w:tblPr>
        <w:tblW w:w="9011" w:type="dxa"/>
        <w:jc w:val="center"/>
        <w:tblInd w:w="0" w:type="dxa"/>
        <w:tblCellMar>
          <w:top w:w="28" w:type="dxa"/>
          <w:left w:w="28" w:type="dxa"/>
          <w:bottom w:w="28" w:type="dxa"/>
          <w:right w:w="28" w:type="dxa"/>
        </w:tblCellMar>
      </w:tblPr>
      <w:tblGrid>
        <w:gridCol w:w="124"/>
        <w:gridCol w:w="109"/>
        <w:gridCol w:w="109"/>
        <w:gridCol w:w="2536"/>
        <w:gridCol w:w="2536"/>
        <w:gridCol w:w="35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35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001-36156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VERACYTE, INC.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5016" w:type="dxa"/>
        <w:jc w:val="left"/>
        <w:tblInd w:w="0" w:type="dxa"/>
        <w:tblCellMar>
          <w:top w:w="28" w:type="dxa"/>
          <w:left w:w="28" w:type="dxa"/>
          <w:bottom w:w="28" w:type="dxa"/>
          <w:right w:w="28" w:type="dxa"/>
        </w:tblCellMar>
      </w:tblPr>
      <w:tblGrid>
        <w:gridCol w:w="124"/>
        <w:gridCol w:w="109"/>
        <w:gridCol w:w="109"/>
        <w:gridCol w:w="752"/>
        <w:gridCol w:w="752"/>
        <w:gridCol w:w="761"/>
        <w:gridCol w:w="109"/>
        <w:gridCol w:w="109"/>
        <w:gridCol w:w="109"/>
        <w:gridCol w:w="568"/>
        <w:gridCol w:w="568"/>
        <w:gridCol w:w="574"/>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20-5455398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Number)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6000 Shoreline Court, Suite 300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South San Francisco, California 94080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(650) 243-6300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spacing w:before="0" w:after="0"/>
        <w:jc w:val="center"/>
        <w:rPr/>
      </w:pPr>
      <w:r>
        <w:rPr/>
      </w:r>
    </w:p>
    <w:p>
      <w:pPr>
        <w:pStyle w:val="TextBody"/>
        <w:spacing w:lineRule="auto" w:line="288" w:before="0" w:after="0"/>
        <w:ind w:left="0" w:right="0" w:firstLine="540"/>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p>
      <w:pPr>
        <w:pStyle w:val="TextBody"/>
        <w:spacing w:before="0" w:after="0"/>
        <w:ind w:left="0" w:right="0" w:firstLine="540"/>
        <w:jc w:val="both"/>
        <w:rPr/>
      </w:pPr>
      <w:r>
        <w:rPr/>
      </w:r>
    </w:p>
    <w:tbl>
      <w:tblPr>
        <w:tblW w:w="9818" w:type="dxa"/>
        <w:jc w:val="center"/>
        <w:tblInd w:w="0" w:type="dxa"/>
        <w:tblCellMar>
          <w:top w:w="28" w:type="dxa"/>
          <w:left w:w="28" w:type="dxa"/>
          <w:bottom w:w="28" w:type="dxa"/>
          <w:right w:w="28" w:type="dxa"/>
        </w:tblCellMar>
      </w:tblPr>
      <w:tblGrid>
        <w:gridCol w:w="1317"/>
        <w:gridCol w:w="1157"/>
        <w:gridCol w:w="1171"/>
        <w:gridCol w:w="109"/>
        <w:gridCol w:w="109"/>
        <w:gridCol w:w="109"/>
        <w:gridCol w:w="564"/>
        <w:gridCol w:w="564"/>
        <w:gridCol w:w="566"/>
        <w:gridCol w:w="109"/>
        <w:gridCol w:w="109"/>
        <w:gridCol w:w="109"/>
        <w:gridCol w:w="1118"/>
        <w:gridCol w:w="1118"/>
        <w:gridCol w:w="1589"/>
      </w:tblGrid>
      <w:tr>
        <w:trPr/>
        <w:tc>
          <w:tcPr>
            <w:tcW w:w="1317"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VCYT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before="0" w:after="0"/>
        <w:ind w:left="0" w:right="0" w:firstLine="540"/>
        <w:jc w:val="center"/>
        <w:rPr/>
      </w:pPr>
      <w:r>
        <w:rPr/>
      </w:r>
    </w:p>
    <w:p>
      <w:pPr>
        <w:pStyle w:val="TextBody"/>
        <w:spacing w:lineRule="auto" w:line="288" w:before="0" w:after="0"/>
        <w:ind w:left="0" w:right="0" w:firstLine="540"/>
        <w:jc w:val="center"/>
        <w:rPr/>
      </w:pPr>
      <w:r>
        <w:rPr>
          <w:rFonts w:ascii="Times New Roman;sans-serif" w:hAnsi="Times New Roman;sans-serif"/>
          <w:b w:val="false"/>
          <w:color w:val="000000"/>
          <w:sz w:val="16"/>
        </w:rPr>
        <w:t xml:space="preserve">Securities Registered Pursuant to Section 12(g) of the Act: </w:t>
      </w:r>
      <w:r>
        <w:rPr>
          <w:rFonts w:ascii="Times New Roman;sans-serif" w:hAnsi="Times New Roman;sans-serif"/>
          <w:b/>
          <w:color w:val="000000"/>
          <w:sz w:val="16"/>
        </w:rPr>
        <w:t>None</w:t>
      </w:r>
    </w:p>
    <w:p>
      <w:pPr>
        <w:pStyle w:val="TextBody"/>
        <w:spacing w:before="0" w:after="0"/>
        <w:ind w:left="0" w:right="0" w:firstLine="540"/>
        <w:jc w:val="center"/>
        <w:rPr/>
      </w:pPr>
      <w:r>
        <w:rPr/>
      </w:r>
    </w:p>
    <w:p>
      <w:pPr>
        <w:pStyle w:val="TextBody"/>
        <w:spacing w:lineRule="auto" w:line="288" w:before="0" w:after="0"/>
        <w:ind w:left="0" w:right="0" w:firstLine="540"/>
        <w:jc w:val="both"/>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16"/>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16"/>
        </w:rPr>
        <w:t>No </w:t>
      </w:r>
      <w:r>
        <w:rPr>
          <w:color w:val="000000"/>
        </w:rPr>
        <w:t>☒</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spacing w:before="0" w:after="0"/>
        <w:ind w:left="0" w:right="0" w:firstLine="540"/>
        <w:jc w:val="both"/>
        <w:rPr/>
      </w:pPr>
      <w:r>
        <w:rPr/>
      </w:r>
    </w:p>
    <w:p>
      <w:pPr>
        <w:pStyle w:val="TextBody"/>
        <w:spacing w:lineRule="auto" w:line="288" w:before="0" w:after="0"/>
        <w:ind w:left="0" w:right="0" w:firstLine="54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5042"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3"/>
        <w:gridCol w:w="673"/>
        <w:gridCol w:w="678"/>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ind w:left="0" w:right="0" w:firstLine="540"/>
        <w:jc w:val="both"/>
        <w:rPr/>
      </w:pPr>
      <w:r>
        <w:rPr/>
      </w:r>
    </w:p>
    <w:p>
      <w:pPr>
        <w:pStyle w:val="TextBody"/>
        <w:spacing w:lineRule="auto" w:line="288" w:before="0" w:after="0"/>
        <w:ind w:left="0" w:right="0" w:firstLine="540"/>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16"/>
        </w:rPr>
      </w:pPr>
      <w:r>
        <w:rPr>
          <w:rFonts w:ascii="Times New Roman;sans-serif" w:hAnsi="Times New Roman;sans-serif"/>
          <w:b w:val="false"/>
          <w:color w:val="000000"/>
          <w:sz w:val="16"/>
        </w:rPr>
        <w:t>As of June 30, 2021, the aggregate market value of common stock held by non-affiliates of the registrant was approximately $2.7 billion, based on the closing price of the common stock as reported on the Nasdaq Global Market for that date.</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number of shares of the registrant's Common Stock outstanding as of February 25, 2022 was 71,218,291.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540"/>
        <w:jc w:val="both"/>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spacing w:before="0" w:after="0"/>
        <w:jc w:val="center"/>
        <w:rPr/>
      </w:pPr>
      <w:r>
        <w:rPr/>
      </w:r>
    </w:p>
    <w:p>
      <w:pPr>
        <w:pStyle w:val="TextBody"/>
        <w:spacing w:lineRule="auto" w:line="288" w:before="0" w:after="0"/>
        <w:ind w:left="0" w:right="0" w:firstLine="540"/>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proxy statement to be filed with the Securities and Exchange Commission in connection with the solicitation of proxies for the registrant's 2022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704"/>
        <w:gridCol w:w="3129"/>
        <w:gridCol w:w="2572"/>
        <w:gridCol w:w="232"/>
        <w:gridCol w:w="232"/>
        <w:gridCol w:w="336"/>
      </w:tblGrid>
      <w:tr>
        <w:trPr/>
        <w:tc>
          <w:tcPr>
            <w:tcW w:w="3704" w:type="dxa"/>
            <w:tcBorders/>
            <w:shd w:fill="auto" w:val="clear"/>
            <w:vAlign w:val="center"/>
          </w:tcPr>
          <w:p>
            <w:pPr>
              <w:pStyle w:val="TableContents"/>
              <w:spacing w:before="0" w:after="283"/>
              <w:rPr>
                <w:sz w:val="4"/>
                <w:szCs w:val="4"/>
              </w:rPr>
            </w:pPr>
            <w:r>
              <w:rPr>
                <w:sz w:val="4"/>
                <w:szCs w:val="4"/>
              </w:rPr>
            </w:r>
          </w:p>
        </w:tc>
        <w:tc>
          <w:tcPr>
            <w:tcW w:w="3129" w:type="dxa"/>
            <w:tcBorders/>
            <w:shd w:fill="auto" w:val="clear"/>
            <w:vAlign w:val="center"/>
          </w:tcPr>
          <w:p>
            <w:pPr>
              <w:pStyle w:val="TableContents"/>
              <w:spacing w:before="0" w:after="283"/>
              <w:rPr>
                <w:sz w:val="4"/>
                <w:szCs w:val="4"/>
              </w:rPr>
            </w:pPr>
            <w:r>
              <w:rPr>
                <w:sz w:val="4"/>
                <w:szCs w:val="4"/>
              </w:rPr>
            </w:r>
          </w:p>
        </w:tc>
        <w:tc>
          <w:tcPr>
            <w:tcW w:w="257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Item No.</w:t>
            </w:r>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0">
              <w:r>
                <w:rPr>
                  <w:rStyle w:val="InternetLink"/>
                  <w:rFonts w:ascii="Times New Roman;sans-serif" w:hAnsi="Times New Roman;sans-serif"/>
                  <w:b/>
                  <w:color w:val="0000FF"/>
                  <w:sz w:val="20"/>
                  <w:u w:val="single"/>
                </w:rPr>
                <w:t>PART I</w:t>
              </w:r>
            </w:hyperlink>
          </w:p>
        </w:tc>
        <w:tc>
          <w:tcPr>
            <w:tcW w:w="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3">
              <w:r>
                <w:rPr>
                  <w:rStyle w:val="InternetLink"/>
                  <w:rFonts w:ascii="Times New Roman;sans-serif" w:hAnsi="Times New Roman;sans-serif"/>
                  <w:b w:val="false"/>
                  <w:color w:val="0000FF"/>
                  <w:sz w:val="20"/>
                  <w:u w:val="single"/>
                </w:rPr>
                <w:t>Item 1. Business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3">
              <w:r>
                <w:rPr>
                  <w:rStyle w:val="InternetLink"/>
                  <w:rFonts w:ascii="Times New Roman;sans-serif" w:hAnsi="Times New Roman;sans-serif"/>
                  <w:b w:val="false"/>
                  <w:color w:val="0000FF"/>
                  <w:sz w:val="20"/>
                  <w:u w:val="single"/>
                </w:rPr>
                <w:t>1</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6">
              <w:r>
                <w:rPr>
                  <w:rStyle w:val="InternetLink"/>
                  <w:rFonts w:ascii="Times New Roman;sans-serif" w:hAnsi="Times New Roman;sans-serif"/>
                  <w:b w:val="false"/>
                  <w:color w:val="0000FF"/>
                  <w:sz w:val="20"/>
                  <w:u w:val="single"/>
                </w:rPr>
                <w:t>Item 1A. Risk Factors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6">
              <w:r>
                <w:rPr>
                  <w:rStyle w:val="InternetLink"/>
                  <w:rFonts w:ascii="Times New Roman;sans-serif" w:hAnsi="Times New Roman;sans-serif"/>
                  <w:b w:val="false"/>
                  <w:color w:val="0000FF"/>
                  <w:sz w:val="20"/>
                  <w:u w:val="single"/>
                </w:rPr>
                <w:t>26</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9">
              <w:r>
                <w:rPr>
                  <w:rStyle w:val="InternetLink"/>
                  <w:rFonts w:ascii="Times New Roman;sans-serif" w:hAnsi="Times New Roman;sans-serif"/>
                  <w:b w:val="false"/>
                  <w:color w:val="0000FF"/>
                  <w:sz w:val="20"/>
                  <w:u w:val="single"/>
                </w:rPr>
                <w:t>Item 1B. Unresolved Staff Comments</w:t>
              </w:r>
            </w:hyperlink>
            <w:r>
              <w:rPr>
                <w:color w:val="000000"/>
              </w:rPr>
              <w:t xml:space="preserve"> </w:t>
            </w:r>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9">
              <w:r>
                <w:rPr>
                  <w:rStyle w:val="InternetLink"/>
                  <w:rFonts w:ascii="Times New Roman;sans-serif" w:hAnsi="Times New Roman;sans-serif"/>
                  <w:b w:val="false"/>
                  <w:color w:val="0000FF"/>
                  <w:sz w:val="20"/>
                  <w:u w:val="single"/>
                </w:rPr>
                <w:t>67</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22">
              <w:r>
                <w:rPr>
                  <w:rStyle w:val="InternetLink"/>
                  <w:rFonts w:ascii="Times New Roman;sans-serif" w:hAnsi="Times New Roman;sans-serif"/>
                  <w:b w:val="false"/>
                  <w:color w:val="0000FF"/>
                  <w:sz w:val="20"/>
                  <w:u w:val="single"/>
                </w:rPr>
                <w:t>Item 2. Properties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22">
              <w:r>
                <w:rPr>
                  <w:rStyle w:val="InternetLink"/>
                  <w:rFonts w:ascii="Times New Roman;sans-serif" w:hAnsi="Times New Roman;sans-serif"/>
                  <w:b w:val="false"/>
                  <w:color w:val="0000FF"/>
                  <w:sz w:val="20"/>
                  <w:u w:val="single"/>
                </w:rPr>
                <w:t>67</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25">
              <w:r>
                <w:rPr>
                  <w:rStyle w:val="InternetLink"/>
                  <w:rFonts w:ascii="Times New Roman;sans-serif" w:hAnsi="Times New Roman;sans-serif"/>
                  <w:b w:val="false"/>
                  <w:color w:val="0000FF"/>
                  <w:sz w:val="20"/>
                  <w:u w:val="single"/>
                </w:rPr>
                <w:t>Item 3. Legal Proceedings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25">
              <w:r>
                <w:rPr>
                  <w:rStyle w:val="InternetLink"/>
                  <w:rFonts w:ascii="Times New Roman;sans-serif" w:hAnsi="Times New Roman;sans-serif"/>
                  <w:b w:val="false"/>
                  <w:color w:val="0000FF"/>
                  <w:sz w:val="20"/>
                  <w:u w:val="single"/>
                </w:rPr>
                <w:t>67</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28">
              <w:r>
                <w:rPr>
                  <w:rStyle w:val="InternetLink"/>
                  <w:rFonts w:ascii="Times New Roman;sans-serif" w:hAnsi="Times New Roman;sans-serif"/>
                  <w:b w:val="false"/>
                  <w:color w:val="0000FF"/>
                  <w:sz w:val="20"/>
                  <w:u w:val="single"/>
                </w:rPr>
                <w:t>Item 4. Mine Safety Disclosure</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28">
              <w:r>
                <w:rPr>
                  <w:rStyle w:val="InternetLink"/>
                  <w:rFonts w:ascii="Times New Roman;sans-serif" w:hAnsi="Times New Roman;sans-serif"/>
                  <w:b w:val="false"/>
                  <w:color w:val="0000FF"/>
                  <w:sz w:val="20"/>
                  <w:u w:val="single"/>
                </w:rPr>
                <w:t>67</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31">
              <w:r>
                <w:rPr>
                  <w:rStyle w:val="InternetLink"/>
                  <w:rFonts w:ascii="Times New Roman;sans-serif" w:hAnsi="Times New Roman;sans-serif"/>
                  <w:b/>
                  <w:color w:val="0000FF"/>
                  <w:sz w:val="20"/>
                  <w:u w:val="single"/>
                </w:rPr>
                <w:t>PART II</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34">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34">
              <w:r>
                <w:rPr>
                  <w:rStyle w:val="InternetLink"/>
                  <w:rFonts w:ascii="Times New Roman;sans-serif" w:hAnsi="Times New Roman;sans-serif"/>
                  <w:b w:val="false"/>
                  <w:color w:val="0000FF"/>
                  <w:sz w:val="20"/>
                  <w:u w:val="single"/>
                </w:rPr>
                <w:t>67</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37">
              <w:r>
                <w:rPr>
                  <w:rStyle w:val="InternetLink"/>
                </w:rPr>
                <w:t xml:space="preserve">Item 6. </w:t>
              </w:r>
            </w:hyperlink>
            <w:hyperlink w:anchor="ic9ddb02e06b745cb850d8331250b119a_37">
              <w:r>
                <w:rPr>
                  <w:rStyle w:val="InternetLink"/>
                </w:rPr>
                <w:t>[</w:t>
              </w:r>
            </w:hyperlink>
            <w:hyperlink w:anchor="ic9ddb02e06b745cb850d8331250b119a_37">
              <w:r>
                <w:rPr>
                  <w:rStyle w:val="InternetLink"/>
                </w:rPr>
                <w:t>Reserved</w:t>
              </w:r>
            </w:hyperlink>
            <w:r>
              <w:rPr>
                <w:rFonts w:ascii="Times New Roman;sans-serif" w:hAnsi="Times New Roman;sans-serif"/>
                <w:b w:val="false"/>
                <w:color w:val="000000"/>
                <w:sz w:val="20"/>
              </w:rPr>
              <w:t>]</w:t>
            </w:r>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37">
              <w:r>
                <w:rPr>
                  <w:rStyle w:val="InternetLink"/>
                  <w:rFonts w:ascii="Times New Roman;sans-serif" w:hAnsi="Times New Roman;sans-serif"/>
                  <w:b w:val="false"/>
                  <w:color w:val="0000FF"/>
                  <w:sz w:val="20"/>
                  <w:u w:val="single"/>
                </w:rPr>
                <w:t>69</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40">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40">
              <w:r>
                <w:rPr>
                  <w:rStyle w:val="InternetLink"/>
                  <w:rFonts w:ascii="Times New Roman;sans-serif" w:hAnsi="Times New Roman;sans-serif"/>
                  <w:b w:val="false"/>
                  <w:color w:val="0000FF"/>
                  <w:sz w:val="20"/>
                  <w:u w:val="single"/>
                </w:rPr>
                <w:t>70</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43">
              <w:r>
                <w:rPr>
                  <w:rStyle w:val="InternetLink"/>
                  <w:rFonts w:ascii="Times New Roman;sans-serif" w:hAnsi="Times New Roman;sans-serif"/>
                  <w:b w:val="false"/>
                  <w:color w:val="0000FF"/>
                  <w:sz w:val="20"/>
                  <w:u w:val="single"/>
                </w:rPr>
                <w:t>Item 7A. Quantitative and Qualitative Disclosures About Market Risk</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43">
              <w:r>
                <w:rPr>
                  <w:rStyle w:val="InternetLink"/>
                  <w:rFonts w:ascii="Times New Roman;sans-serif" w:hAnsi="Times New Roman;sans-serif"/>
                  <w:b w:val="false"/>
                  <w:color w:val="0000FF"/>
                  <w:sz w:val="20"/>
                  <w:u w:val="single"/>
                </w:rPr>
                <w:t>86</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46">
              <w:r>
                <w:rPr>
                  <w:rStyle w:val="InternetLink"/>
                  <w:rFonts w:ascii="Times New Roman;sans-serif" w:hAnsi="Times New Roman;sans-serif"/>
                  <w:b w:val="false"/>
                  <w:color w:val="0000FF"/>
                  <w:sz w:val="20"/>
                  <w:u w:val="single"/>
                </w:rPr>
                <w:t>Item 8. Financial Statements and Supplementary Data</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46">
              <w:r>
                <w:rPr>
                  <w:rStyle w:val="InternetLink"/>
                  <w:rFonts w:ascii="Times New Roman;sans-serif" w:hAnsi="Times New Roman;sans-serif"/>
                  <w:b w:val="false"/>
                  <w:color w:val="0000FF"/>
                  <w:sz w:val="20"/>
                  <w:u w:val="single"/>
                </w:rPr>
                <w:t>87</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12">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12">
              <w:r>
                <w:rPr>
                  <w:rStyle w:val="InternetLink"/>
                  <w:rFonts w:ascii="Times New Roman;sans-serif" w:hAnsi="Times New Roman;sans-serif"/>
                  <w:b w:val="false"/>
                  <w:color w:val="0000FF"/>
                  <w:sz w:val="20"/>
                  <w:u w:val="single"/>
                </w:rPr>
                <w:t>127</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15">
              <w:r>
                <w:rPr>
                  <w:rStyle w:val="InternetLink"/>
                  <w:rFonts w:ascii="Times New Roman;sans-serif" w:hAnsi="Times New Roman;sans-serif"/>
                  <w:b w:val="false"/>
                  <w:color w:val="0000FF"/>
                  <w:sz w:val="20"/>
                  <w:u w:val="single"/>
                </w:rPr>
                <w:t>Item 9A. Controls and Procedures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15">
              <w:r>
                <w:rPr>
                  <w:rStyle w:val="InternetLink"/>
                  <w:rFonts w:ascii="Times New Roman;sans-serif" w:hAnsi="Times New Roman;sans-serif"/>
                  <w:b w:val="false"/>
                  <w:color w:val="0000FF"/>
                  <w:sz w:val="20"/>
                  <w:u w:val="single"/>
                </w:rPr>
                <w:t>127</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18">
              <w:r>
                <w:rPr>
                  <w:rStyle w:val="InternetLink"/>
                  <w:rFonts w:ascii="Times New Roman;sans-serif" w:hAnsi="Times New Roman;sans-serif"/>
                  <w:b w:val="false"/>
                  <w:color w:val="0000FF"/>
                  <w:sz w:val="20"/>
                  <w:u w:val="single"/>
                </w:rPr>
                <w:t>Item 9B. Other Information</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18">
              <w:r>
                <w:rPr>
                  <w:rStyle w:val="InternetLink"/>
                  <w:rFonts w:ascii="Times New Roman;sans-serif" w:hAnsi="Times New Roman;sans-serif"/>
                  <w:b w:val="false"/>
                  <w:color w:val="0000FF"/>
                  <w:sz w:val="20"/>
                  <w:u w:val="single"/>
                </w:rPr>
                <w:t>129</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303">
              <w:r>
                <w:rPr>
                  <w:rStyle w:val="InternetLink"/>
                </w:rPr>
                <w:t>I</w:t>
              </w:r>
            </w:hyperlink>
            <w:hyperlink w:anchor="ic9ddb02e06b745cb850d8331250b119a_1303">
              <w:r>
                <w:rPr>
                  <w:rStyle w:val="InternetLink"/>
                </w:rPr>
                <w:t>tem</w:t>
              </w:r>
            </w:hyperlink>
            <w:hyperlink w:anchor="ic9ddb02e06b745cb850d8331250b119a_1303">
              <w:r>
                <w:rPr>
                  <w:rStyle w:val="InternetLink"/>
                </w:rPr>
                <w:t xml:space="preserve"> 9C. </w:t>
              </w:r>
            </w:hyperlink>
            <w:hyperlink w:anchor="ic9ddb02e06b745cb850d8331250b119a_1303">
              <w:r>
                <w:rPr>
                  <w:rStyle w:val="InternetLink"/>
                </w:rPr>
                <w:t>Disclosure Regarding Foreign Jurisdictions that Prevent Inspections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303">
              <w:r>
                <w:rPr>
                  <w:rStyle w:val="InternetLink"/>
                  <w:rFonts w:ascii="Times New Roman;sans-serif" w:hAnsi="Times New Roman;sans-serif"/>
                  <w:b w:val="false"/>
                  <w:color w:val="0000FF"/>
                  <w:sz w:val="20"/>
                  <w:u w:val="single"/>
                </w:rPr>
                <w:t>129</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21">
              <w:r>
                <w:rPr>
                  <w:rStyle w:val="InternetLink"/>
                  <w:rFonts w:ascii="Times New Roman;sans-serif" w:hAnsi="Times New Roman;sans-serif"/>
                  <w:b/>
                  <w:color w:val="0000FF"/>
                  <w:sz w:val="20"/>
                  <w:u w:val="single"/>
                </w:rPr>
                <w:t>PART III</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24">
              <w:r>
                <w:rPr>
                  <w:rStyle w:val="InternetLink"/>
                  <w:rFonts w:ascii="Times New Roman;sans-serif" w:hAnsi="Times New Roman;sans-serif"/>
                  <w:b w:val="false"/>
                  <w:color w:val="0000FF"/>
                  <w:sz w:val="20"/>
                  <w:u w:val="single"/>
                </w:rPr>
                <w:t>Item 10. Directors, Executive Officers and Corporate Governance</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24">
              <w:r>
                <w:rPr>
                  <w:rStyle w:val="InternetLink"/>
                  <w:rFonts w:ascii="Times New Roman;sans-serif" w:hAnsi="Times New Roman;sans-serif"/>
                  <w:b w:val="false"/>
                  <w:color w:val="0000FF"/>
                  <w:sz w:val="20"/>
                  <w:u w:val="single"/>
                </w:rPr>
                <w:t>129</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27">
              <w:r>
                <w:rPr>
                  <w:rStyle w:val="InternetLink"/>
                  <w:rFonts w:ascii="Times New Roman;sans-serif" w:hAnsi="Times New Roman;sans-serif"/>
                  <w:b w:val="false"/>
                  <w:color w:val="0000FF"/>
                  <w:sz w:val="20"/>
                  <w:u w:val="single"/>
                </w:rPr>
                <w:t>Item 11. Executive Compensation</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27">
              <w:r>
                <w:rPr>
                  <w:rStyle w:val="InternetLink"/>
                  <w:rFonts w:ascii="Times New Roman;sans-serif" w:hAnsi="Times New Roman;sans-serif"/>
                  <w:b w:val="false"/>
                  <w:color w:val="0000FF"/>
                  <w:sz w:val="20"/>
                  <w:u w:val="single"/>
                </w:rPr>
                <w:t>129</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30">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30">
              <w:r>
                <w:rPr>
                  <w:rStyle w:val="InternetLink"/>
                  <w:rFonts w:ascii="Times New Roman;sans-serif" w:hAnsi="Times New Roman;sans-serif"/>
                  <w:b w:val="false"/>
                  <w:color w:val="0000FF"/>
                  <w:sz w:val="20"/>
                  <w:u w:val="single"/>
                </w:rPr>
                <w:t>129</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33">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33">
              <w:r>
                <w:rPr>
                  <w:rStyle w:val="InternetLink"/>
                  <w:rFonts w:ascii="Times New Roman;sans-serif" w:hAnsi="Times New Roman;sans-serif"/>
                  <w:b w:val="false"/>
                  <w:color w:val="0000FF"/>
                  <w:sz w:val="20"/>
                  <w:u w:val="single"/>
                </w:rPr>
                <w:t>129</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36">
              <w:r>
                <w:rPr>
                  <w:rStyle w:val="InternetLink"/>
                  <w:rFonts w:ascii="Times New Roman;sans-serif" w:hAnsi="Times New Roman;sans-serif"/>
                  <w:b w:val="false"/>
                  <w:color w:val="0000FF"/>
                  <w:sz w:val="20"/>
                  <w:u w:val="single"/>
                </w:rPr>
                <w:t>Item 14. Principal Accountant Fees and Services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36">
              <w:r>
                <w:rPr>
                  <w:rStyle w:val="InternetLink"/>
                  <w:rFonts w:ascii="Times New Roman;sans-serif" w:hAnsi="Times New Roman;sans-serif"/>
                  <w:b w:val="false"/>
                  <w:color w:val="0000FF"/>
                  <w:sz w:val="20"/>
                  <w:u w:val="single"/>
                </w:rPr>
                <w:t>129</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39">
              <w:r>
                <w:rPr>
                  <w:rStyle w:val="InternetLink"/>
                  <w:rFonts w:ascii="Times New Roman;sans-serif" w:hAnsi="Times New Roman;sans-serif"/>
                  <w:b/>
                  <w:color w:val="0000FF"/>
                  <w:sz w:val="20"/>
                  <w:u w:val="single"/>
                </w:rPr>
                <w:t>PART IV</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42">
              <w:r>
                <w:rPr>
                  <w:rStyle w:val="InternetLink"/>
                  <w:rFonts w:ascii="Times New Roman;sans-serif" w:hAnsi="Times New Roman;sans-serif"/>
                  <w:b w:val="false"/>
                  <w:color w:val="0000FF"/>
                  <w:sz w:val="20"/>
                  <w:u w:val="single"/>
                </w:rPr>
                <w:t>Item 15. Exhibits, Financial Statement Schedules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42">
              <w:r>
                <w:rPr>
                  <w:rStyle w:val="InternetLink"/>
                  <w:rFonts w:ascii="Times New Roman;sans-serif" w:hAnsi="Times New Roman;sans-serif"/>
                  <w:b w:val="false"/>
                  <w:color w:val="0000FF"/>
                  <w:sz w:val="20"/>
                  <w:u w:val="single"/>
                </w:rPr>
                <w:t>130</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45">
              <w:r>
                <w:rPr>
                  <w:rStyle w:val="InternetLink"/>
                  <w:rFonts w:ascii="Times New Roman;sans-serif" w:hAnsi="Times New Roman;sans-serif"/>
                  <w:b w:val="false"/>
                  <w:color w:val="0000FF"/>
                  <w:sz w:val="20"/>
                  <w:u w:val="single"/>
                </w:rPr>
                <w:t>Item 16. Form 10-K Summary</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45">
              <w:r>
                <w:rPr>
                  <w:rStyle w:val="InternetLink"/>
                  <w:rFonts w:ascii="Times New Roman;sans-serif" w:hAnsi="Times New Roman;sans-serif"/>
                  <w:b w:val="false"/>
                  <w:color w:val="0000FF"/>
                  <w:sz w:val="20"/>
                  <w:u w:val="single"/>
                </w:rPr>
                <w:t>134</w:t>
              </w:r>
            </w:hyperlink>
          </w:p>
        </w:tc>
      </w:tr>
      <w:tr>
        <w:trPr/>
        <w:tc>
          <w:tcPr>
            <w:tcW w:w="94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48">
              <w:r>
                <w:rPr>
                  <w:rStyle w:val="InternetLink"/>
                  <w:rFonts w:ascii="Times New Roman;sans-serif" w:hAnsi="Times New Roman;sans-serif"/>
                  <w:b/>
                  <w:color w:val="0000FF"/>
                  <w:sz w:val="20"/>
                  <w:u w:val="single"/>
                </w:rPr>
                <w:t>SIGNATURES</w:t>
              </w:r>
            </w:hyperlink>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48">
              <w:r>
                <w:rPr>
                  <w:rStyle w:val="InternetLink"/>
                  <w:rFonts w:ascii="Times New Roman;sans-serif" w:hAnsi="Times New Roman;sans-serif"/>
                  <w:b w:val="false"/>
                  <w:color w:val="0000FF"/>
                  <w:sz w:val="20"/>
                  <w:u w:val="single"/>
                </w:rPr>
                <w:t>134</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before="0" w:after="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the COVID-19 pandemic, including the emergence of variants of COVID-19, on our business and the U.S. and global economy; our expectations regarding the return to pre-COVID-19 volume and revenue levels; changes in our executive officers; our beliefs with respect to the optimization of our processes for the analysis of ribonucleic acid, or RNA, samples; our ability to successfully integrate HalioDx and Decipher Biosciences into our business; our ability to deploy the nCounter Analysis System successfully and run our tests on this platform worldwide; our collaboration with Johnson &amp; Johnson Services, Inc.; our belief in the importance of maintaining libraries of clinical evidence; our expectations regarding the Percepta Nasal Swab classifier for early lung cancer detection, the Percepta Genomic Atlas to help inform lung cancer treatment decisions, the Envisia classifier on the nCounter system and the LymphMark lymphoma subtyping test; our expectations regarding our diagnostic company partnerships; our ability to have the targeted Atlas platform transferred to our pulmonology indications;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or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used in this report, all references to "Veracyte," the "company," "we," "our" and "us" refer to Veracyte, Inc., together with its consolidated subsidiaries, unless otherwise noted. </w:t>
      </w:r>
    </w:p>
    <w:p>
      <w:pPr>
        <w:pStyle w:val="TextBody"/>
        <w:spacing w:before="0" w:after="0"/>
        <w:ind w:left="0" w:right="0" w:firstLine="450"/>
        <w:jc w:val="both"/>
        <w:rPr/>
      </w:pPr>
      <w:r>
        <w:rPr/>
      </w:r>
    </w:p>
    <w:p>
      <w:pPr>
        <w:pStyle w:val="TextBody"/>
        <w:spacing w:lineRule="auto" w:line="276" w:before="0" w:after="0"/>
        <w:ind w:left="0" w:right="0" w:firstLine="450"/>
        <w:jc w:val="both"/>
        <w:rPr/>
      </w:pPr>
      <w:r>
        <w:rPr>
          <w:rFonts w:ascii="Times New Roman;sans-serif" w:hAnsi="Times New Roman;sans-serif"/>
          <w:b w:val="false"/>
          <w:color w:val="000000"/>
          <w:sz w:val="20"/>
        </w:rPr>
        <w:t>Veracyte, the Veracyte logo, HalioDx, Decipher, Decipher GRID, Afirma, Percepta, Envisia, Prosigna, LymphMark, Immunoscore,</w:t>
      </w:r>
      <w:r>
        <w:rPr>
          <w:color w:val="222222"/>
          <w:highlight w:val="white"/>
        </w:rPr>
        <w:t xml:space="preserve"> </w:t>
      </w:r>
      <w:r>
        <w:rPr>
          <w:rFonts w:ascii="Times New Roman;sans-serif" w:hAnsi="Times New Roman;sans-serif"/>
          <w:b w:val="false"/>
          <w:color w:val="000000"/>
          <w:sz w:val="20"/>
        </w:rPr>
        <w:t>TMExplore, Brightplex, Immunosign, “Know by Design” and “More about You” are registered trademarks of Veracyte, Inc. and its subsidiaries in the U.S. and selected countries. nCounter is the registered trademark of NanoString Technologies, Inc., or NanoString, in the U.S. and selected countries and used by Veracyte under license.</w:t>
      </w:r>
    </w:p>
    <w:p>
      <w:pPr>
        <w:pStyle w:val="TextBody"/>
        <w:spacing w:before="0" w:after="0"/>
        <w:ind w:left="0" w:right="0" w:firstLine="45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internal estimates. Although we have not independently verified the third-party data, we are responsible for its inclusion in the annual report and believe it to be reasonable.</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before="0" w:after="0"/>
        <w:jc w:val="both"/>
        <w:rPr/>
      </w:pPr>
      <w:r>
        <w:rPr/>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diagnostics company that improves patient care by answering important clinical questions to inform diagnosis and treatment decisions throughout the patient journey in cancer and other diseases. Our growing menu of tests leverages advances in molecular science and machine learning technology to improve care for patients, enabling them to avoid risky, costly procedures and interventions, and reduce time to appropriate treatment.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tests address eight of the 10 most prevalent cancers by incidence in the United States. In addition to making our tests available in the United States through our central laboratories, our exclusive license to the nCounter Analysis System positions us to deliver our tests to patients worldwide through laboratories and hospitals that can perform them locally.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tests that address significant unmet clinical needs in the diagnosis, prognosis and treatment of cancer and other diseases. We deploy a comprehensive strategic planning approach that broadly examines the clinical care spectrum in areas where our unique approach and expertise may potentially benefit physicians, patients and payers. In each disease area, our medical affairs and research teams focus intensely on understanding the patient journey and analyzing critical points of clinical decision-making, where having better information can impact what happens next for the patient.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extensive team of research, bioinformatics and clinical professionals rely on deep scientific expertise and an extensive network of practicing physicians and key opinion leaders, or KOLs, to inform new product development. This includes determining what clinical question each test should answer, where it should be positioned in the patient work-up and what sample type and technology should be used. We develop our molecular tests using advanced scientific methods, such as RNA whole-transcriptome sequencing and machine learning. Veracyte’s tests are purposefully designed to integrate easily into current physician protocols, delivering clinical utility and economic value to physicians, payers, and the healthcare system.</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offer tests in thyroid cancer (Afirma); prostate cancer (Decipher Prostate); breast cancer (Prosigna); lung cancer (Percepta); interstitial lung diseases (Envisia); bladder cancer (Decipher Bladder); and colon cancer (Immunoscore). Our tests for kidney cancer and lymphoma are in development, the latter as a companion diagnostic.</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global markets with two complementary and inter-related core models. In the United States, we offer laboratory developed tests, or LDTs, which we perform in our centralized, CLIA-certified laboratories in South San Francisco and San Diego, California, and Richmond, Virginia, supported by our cytopathology expertise in our Austin, Texas, CLIA lab. In addition, outside of the United States, we intend to offer our tests as in vitro diagnostic, or IVD, tests that run on the nCounter Analysis System by laboratories that perform them for physicians and their patients locally. We believe our broad menu of advanced diagnostic tests, combined with our ability to deliver them globally, uniquely position us in the diagnostics sector.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process of developing leading diagnostics across the oncology market, we have collected a significant number of patient samples and proprietary data related to various cancer types. We combine these assets with our robust machine learning core competency to further enhance our research capabilities as well as build opportunities with biopharmaceutical and other partners to leverage our data and technological expertise.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early 2021, Veracyte acquired Decipher Biosciences, expanding our genomic testing menu into urologic cancers. The acquisition also provided Veracyte with Decipher GRID (Genomic Resource for Intelligent Discovery), a platform and database that helps drive biopharmaceutical partnerships, KOL engagement and pipeline development in urologic cancers.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mid-2021, we acquired HalioDx SAS and HalioDx Inc., historically a wholly owned subsidiary of HalioDx SAS, (collectively referred to as “HalioDx”), giving us the capabilities and expertise to manufacture our own IVD test kits for use on the nCounter Analysis System. The acquisition also deepened our scientific expertise into the rapidly growing area of immuno-oncology, expanded our reach into colon cancer with the Immunoscore test and further strengthened our offerings to biopharmaceutical and other partners.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in Delaware as Calderome, Inc. in August 2006. Calderome operated as an incubator until early 2008. We changed our name to Veracyte, Inc. in March 2008.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p>
      <w:pPr>
        <w:pStyle w:val="TextBody"/>
        <w:spacing w:before="0" w:after="0"/>
        <w:jc w:val="both"/>
        <w:rPr/>
      </w:pPr>
      <w:r>
        <w:rPr/>
        <w:drawing>
          <wp:inline distT="0" distB="63500" distL="0" distR="0">
            <wp:extent cx="5276850" cy="36480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5276850" cy="3648075"/>
                    </a:xfrm>
                    <a:prstGeom prst="rect">
                      <a:avLst/>
                    </a:prstGeom>
                  </pic:spPr>
                </pic:pic>
              </a:graphicData>
            </a:graphic>
          </wp:inline>
        </w:drawing>
      </w:r>
    </w:p>
    <w:p>
      <w:pPr>
        <w:pStyle w:val="TextBody"/>
        <w:spacing w:before="0" w:after="0"/>
        <w:jc w:val="both"/>
        <w:rPr/>
      </w:pPr>
      <w:r>
        <w:rPr/>
      </w:r>
    </w:p>
    <w:p>
      <w:pPr>
        <w:pStyle w:val="TextBody"/>
        <w:spacing w:before="0" w:after="0"/>
        <w:ind w:left="0" w:right="0" w:firstLine="450"/>
        <w:jc w:val="both"/>
        <w:rPr/>
      </w:pPr>
      <w:r>
        <w:rPr/>
      </w:r>
    </w:p>
    <w:p>
      <w:pPr>
        <w:pStyle w:val="TextBody"/>
        <w:spacing w:lineRule="auto" w:line="276" w:before="180" w:after="180"/>
        <w:rPr>
          <w:rFonts w:ascii="Times New Roman;sans-serif" w:hAnsi="Times New Roman;sans-serif"/>
          <w:b/>
          <w:color w:val="000000"/>
          <w:sz w:val="20"/>
        </w:rPr>
      </w:pPr>
      <w:r>
        <w:rPr>
          <w:rFonts w:ascii="Times New Roman;sans-serif" w:hAnsi="Times New Roman;sans-serif"/>
          <w:b/>
          <w:color w:val="000000"/>
          <w:sz w:val="20"/>
        </w:rPr>
        <w:t xml:space="preserve">Addressing Unmet Clinical Needs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our diagnostic tests to address specific unmet clinical needs, enabling better-informed decisions across the patient care continuum in major cancers and other diseases. Our leadership team utilizes a robust strategic planning process to identify and assess new opportunities based on the clinical need, as well as market size, competitive landscape and alignment with our business priorities. We continually monitor the clinical and diagnostics landscape and conduct strategic initiatives to assess specific markets and new technologies.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experienced medical affairs team supports the process by conducting extensive diligence to understand the patient journey – from early detection to diagnosis to treatment – and determine where providing physicians with more accurate and comprehensive information can positively enhance care for patients, enabling them to avoid risky, costly procedures and interventions, and accelerate time to appropriate treatment. This assessment includes determining what specific clinical question our test should answer, where it should be positioned in the patient work-up and what sample type and technology should be used. We leverage an extensive network of practicing physicians and KOLs to inform new product development. We design our tests to integrate easily into current physician protocols, helping to deliver clinical utility and economic value to physicians, payers, and the healthcare system.</w:t>
      </w:r>
    </w:p>
    <w:p>
      <w:pPr>
        <w:pStyle w:val="TextBody"/>
        <w:spacing w:lineRule="auto" w:line="276" w:before="180" w:after="180"/>
        <w:rPr>
          <w:rFonts w:ascii="Times New Roman;sans-serif" w:hAnsi="Times New Roman;sans-serif"/>
          <w:b/>
          <w:color w:val="000000"/>
          <w:sz w:val="20"/>
        </w:rPr>
      </w:pPr>
      <w:r>
        <w:rPr>
          <w:rFonts w:ascii="Times New Roman;sans-serif" w:hAnsi="Times New Roman;sans-serif"/>
          <w:b/>
          <w:color w:val="000000"/>
          <w:sz w:val="20"/>
        </w:rPr>
        <w:t>Our Scientific Approach</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scientific expertise, robust technology, and expanding biorepositories form the foundation of our business, fueling development of our clinical diagnostic tests, as well as our biopharmaceutical partnerships. We have proprietary methods in whole genome and targeted RNA and DNA genomic analysis, as well as in spatial immunohistochemistry, across numerous biological specimen types. This rich content feeds into our machine learning algorithms, which we utilize to create tests that answer specific clinical questions. </w:t>
      </w:r>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Genomics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clinicians made diagnostic and treatment decisions with limited cellular, imaging or clinical information. Veracyte leverages innovations in advanced genomic and other technologies to create tests that answer specific clinical questions, helping physicians and patients make better diagnoses and treatment decisions.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a comprehensive approach to developing our genomic tests, which includes building extensive, robust biorepositories of patient samples and well-curated clinical, radiological, outcome and other information from Institutional Review Board-approved clinical trials to inform our discovery and validation efforts. We develop our tests on the same type of sample on which it will be used in clinical practice, which are prospectively collected through multicenter clinical trials. Due to the complex, sometimes rare, subtypes of various diseases like cancer, we develop and train our machine learning algorithms using a diverse set of patient samples so that they are equipped to recognize patterns across the whole spectrum of conditions that may be encountered in the clinic.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extract extensive genomic information from these patient samples before applying our proprietary machine-learning algorithms. This approach enables the algorithm to determine which genomic, clinical or other features are most relevant for developing high-performing tests, versus relying on a pre-determined set of genes derived from the literature. In addition, our bioinformatics pipelines are built to extract genomic variant content from the same assay, which may be used to develop tests that inform other decisions, such as therapy selection.</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take a platform-agnostic approach to analyzing genomic content and may in fact utilize a multitude of methodologies to develop future tests. When we developed our flagship Afirma test in thyroid cancer in 2008, microarray technologies were a cost-effective discovery technology compared to other approaches that were nascent at the time. More recently, rapid cost reductions achieved in next-generation sequencing platforms have allowed us to create tests using RNA sequencing. Using this technology, we extract rich feature sets – nuclear and mitochondrial gene expression, single nucleotide variants, RNA fusions, and copy number variants – from the RNA transcriptome of patient samples to help create the highest-resolution genomic picture possible. We continue to evaluate potential opportunities to use new genomic discoveries and technologies to further improve patient care.</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proprietary technology, intellectual property and know-how for optimized methods to extract and analyze nanogram quantities of RNA from small samples derived from fine needle aspiration biopsies, bronchoscopy brushings and nasal swab collections. While others can extract RNA from these small biopsies, we believe our process is optimized and scaled for high-throughput clinical testing involving high-density microarrays and next-generation sequencing. </w:t>
      </w:r>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Machine Learning and Artificial Intelligence </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machine learning and artificial intelligence technologies leverage our patient sample and data repositories to drive test development. We use machine learning algorithms to match genomic patterns with “clinical truth,” or the true diagnosis or clinical outcome, which allows us to predict the presence, or absence, of disease or a patient’s prognosis in a clinical setting. For biomarker discovery and product development, we utilize machine learning to select the genomic, clinical or other features from our biorepository that best distinguish the condition we are trying to identify. Our machine learning approach recognizes patterns of genes that correspond with clinical characteristics.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train our proprietary machine learning algorithms to interpret this vast genomic data using large numbers of diverse patient samples that represent the broad spectrum of disease that our genomic tests may likely encounter in a clinical setting. In some cases, we deploy ensemble algorithms to differentiate between complex biologies. As scientific understanding continues to progress, additional features that inform disease status, such as more-refined genomic features or imaging data, can potentially help us identify clinical attributes with ever-more precision, enabling development of tests that provide even clearer answers to important clinical questions.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leveraging our internal technology and bioinformatics capabilities across our growing database of highly-curated data for more than 350,000 patient samples, we will have the ability to further drive new product development in existing and future indications and offer unique insights to biopharmaceutical researchers. </w:t>
      </w:r>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Immuno-oncology</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expertise in immuno-oncology enables us to translate complex tumor immune response data into actionable insights that inform clinical decision-making in cancer and also guide new drug development. We offer a unique range of immuno-oncology solutions, including the flagship Immunoscore test, which provides a score based on the precise identification and quantification of T lymphocytes infiltrating the tumor in specific regions. This personalized medicine tool has been shown to predict patient outcomes in several indications, which helps physicians determine treatment selection and timing.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Immunogram, a spatial molecular analysis and bioinformatics tool that integrates genomic, transcriptomic and proteomic data to help researchers understand the intricacies of the tumor immune microenvironment. We offer this tool as a service to biopharmaceutical partners who use it to predict patient response to immunotherapy among other uses. We believe our immuno-oncology capabilities and offerings are complementary to – and in the future may be more integrated into – our core genomic diagnostics business.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Serving the U.S. Market Through Our CLIA Labs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launch our diagnostic tests as laboratory developed tests, or LDTs, which we perform in our Clinical Laboratory Improvement Amendments of 1988, or CLIA, certified laboratories, to serve the U.S. market. Our well-honed approach has enabled us to establish market-leading tests that are creating new standards of care across a range of clinical indications.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each indication, our clinical and medical affairs teams work closely with key opinion leaders, or KOLs, to develop and validate our tests with deep clinical rigor. This engagement helps ensure that our tests meet the performance criteria needed to achieve physician adoption, while helping us gain KOL familiarization and support. In addition to publishing the results of clinical validation studies, we also publish analytical validation studies to establish the reproducibility of our tests across lab instruments, operators and samples. Once our tests are ready to be launched, we engage KOLs and community physicians in studies to build the clinical utility evidence needed to support coverage policies and reimbursement from Medicare and private payers. Additionally, our clinical and medical affairs teams continue to liaise with physicians on user-experience, decision impact and other studies. To date, we estimate that over 150 studies demonstrating the performance and clinical utility of our CLIA-based tests have been published in peer-reviewed medical journals.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develop rigorous clinical evidence for our tests has enabled their inclusion in leading clinical practice guidelines, including those from the National Comprehensive Cancer Network, or NCCN. Our CLIA model enables us to manage the rollout of our tests and bill payers directly, which facilitates test adoption and helps us work directly with payers to secure payment, as well as coverage policies. We employ a team of in-house claims processing and reimbursement specialists who work with payers, physician practices and patients to optimize reimbursement. We have achieved Medicare reimbursement for many of our commercially available tests launched to date. We expect to continue to focus on increasing adoption, coverage, and reimbursement of our tests and to build upon our extensive library of clinical evidence.</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development and product marketing expertise help us establish the clinical need for our tests among physicians and other audiences, gain initial support from KOLs and expand commercialization once Medicare coverage is secured. Our disease-specific sales teams sell directly to physicians who specialize in each of our clinical indications, as well as others involved in deciding which diagnostic test to adopt. Our experienced marketing teams help drive market penetration through a range of strategies and tactics, including medical conference participation and events; speaker programs; digital marketing programs; advocacy group engagement and other initiatives.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all of our tests in the U.S. are serviced through our own CLIA-certified laboratories in South San Francisco, San Diego, Austin, and Richmond. We manage our labs with a focus on operational excellence and continuous improvement. We measure performance using such criteria as lab-processing turnaround time, failure rates and deviation vs. control. We have an active monitoring program to ensure lab operations exceed regulatory requirements and believe we have leading operational infrastructure. We use a systematic analytical approach aimed at delivering optimal outcomes for patients and referring physicians, while driving cost and lab-efficiency improvement as we scale operations. </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Driving Global Growth with Distributed IVD Tests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Once we have developed robust clinical evidence and physician adoption of our tests in the United States, we typically then drive further patient access by launching them, as appropriate, into global markets as IVD tests that are run on the nCounter Analysis System. This approach enables our tests to be performed locally in laboratories and hospitals worldwide, which we believe facilitates market access and physician adoption in Europe and other strategic global markets.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we acquired the exclusive worldwide license to the nCounter Analysis System for clinical IVD test use, development and commercialization. We expect this instrument platform to enable a broad range of testing through its ability to simultaneously conduct multiplex evaluation of up to 800 RNA and other targets. The nCounter Analysis System is simple to use and requires less than two hours of hands-on time, which is an up to 80 percent reduction compared to sequencing technology. These capabilities can make advanced genomic testing more accessible to patients through laboratories that previously may not have had the resources or expertise to perform such complex testing. We believe the nCounter Analysis System is a key catalyst that is enabling our transformation into a leading global diagnostics company poised for long-term growth.</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broad menu of diagnostic tests already available in our CLIA labs in the U.S., we believe we are well positioned to develop and deliver a menu of tests for use on the nCounter Analysis System. Our acquisition of HalioDx in August 2021 provides us with a European headquarters to develop, manufacture and supply our own IVD test kits for use on the nCounter Analysis System. We plan to transition manufacturing of our tests, currently produced by NanoString in the U.S., to HalioDx’s facility in France, giving us end-to-end control of our IVD supply chain. We anticipate the vertical integration of research, development and manufacturing of the Veracyte genomic diagnostic portfolio on the nCounter Analysis System will enhance our ability to efficiently serve the global market with a broad menu of diagnostic tests.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HalioDx team brings to Veracyte over 20 years of experience developing and helping to commercialize advanced genomic tests in-house as a service to diagnostic companies and other partners. This extensive track record with IVD tests includes a robust design-control process, quality assurance, know-how for registering tests in countries globally and commercial expertise to drive regional market access and market penetration. We believe our internal development and commercialization benefits from this experience.</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United States, our go-to-market strategy takes advantage of the collection of high-quality clinical data generated in the U.S., as well as from additional retrospective and prospective large clinical studies needed to meet any further level-of-evidence requirements by public and private payers. Documentation of the economic benefit is also required to obtain national coverage from health authorities. Our flagship IVD product, the Prosigna Breast Cancer Assay, is now reimbursed in a number of European Counties including Germany, Spain, Sweden, Denmark, Switzerland, the United Kingdom and Israel. Our customers subsequently bill third-party payers for reimbursement. We take a country-by-country approach to market access and reimbursement, working with KOLs to secure our tests’ inclusion in clinical guidelines and to educate government and other officials about the value of our products.</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Our Clinical Diagnostic Tests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and pipeline tests address unmet clinical needs in eight of the 10 most prevalent cancers by U.S. incidence. Our CLIA tests in the U.S. are improving diagnosis and patient care in thyroid cancer; prostate cancer; lung cancer; interstitial lung diseases including idiopathic pulmonary fibrosis; bladder cancer; and colon cancer. We currently offer IVD testing in breast cancer. To date, nearly all of our revenue has been derived from customers we serve in the United States.</w:t>
      </w:r>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Thyroid Cancer - Afirma Genomic Sequencing Classifier and Xpression Atlas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an estimated 565,000 fine needle aspiration, or FNA, biopsies are performed annually to assess patients with potentially cancerous thyroid nodules, of which up to 30 percent of the results are indeterminate (not clearly benign or malignant) using traditional cytopathology. Historically, these patients were referred to surgery to remove all or part of their thyroid, with 70-80 percent of these nodules ultimately proving to be benign.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developed the Afirma Genomic Sequencing Classifier, or GSC, to determine which patients with indeterminate results are actually benign so that these patients may avoid unnecessary, costly surgery that often leads to the need for lifelong daily thyroid hormone replacement drugs. The test was developed with RNA whole-transcriptome sequencing and machine learning technology to provide physicians with clinically actionable results from the same FNA biopsy used for initial cytopathology. </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Strong clinical validation data for the Afirma GSC, from a multicenter cohort of prospectively collected patient samples, were published in </w:t>
      </w:r>
      <w:r>
        <w:rPr>
          <w:rFonts w:ascii="Times New Roman;sans-serif" w:hAnsi="Times New Roman;sans-serif"/>
          <w:b w:val="false"/>
          <w:i/>
          <w:color w:val="000000"/>
          <w:sz w:val="20"/>
        </w:rPr>
        <w:t>JAMA Surgery</w:t>
      </w:r>
      <w:r>
        <w:rPr>
          <w:rFonts w:ascii="Times New Roman;sans-serif" w:hAnsi="Times New Roman;sans-serif"/>
          <w:b w:val="false"/>
          <w:color w:val="000000"/>
          <w:sz w:val="20"/>
        </w:rPr>
        <w:t xml:space="preserve">. The findings showed that the test has a sensitivity of 91% and specificity of 68%, meaning that in a patient population with 24% cancer prevalence – which is what would be expected in clinical practice – the test can identify more than two-thirds of benign thyroid nodules, with a negative predictive value, or NPV, of 96%. The Afirma GSC and its predecessor, the Afirma Gene Expression Classifier, are supported by more than 70 peer-reviewed, published studies. These include the original clinical validation study, which was published in </w:t>
      </w:r>
      <w:r>
        <w:rPr>
          <w:rFonts w:ascii="Times New Roman;sans-serif" w:hAnsi="Times New Roman;sans-serif"/>
          <w:b w:val="false"/>
          <w:i/>
          <w:color w:val="000000"/>
          <w:sz w:val="20"/>
        </w:rPr>
        <w:t xml:space="preserve">The New England Journal of Medicine. </w:t>
      </w:r>
      <w:r>
        <w:rPr>
          <w:rFonts w:ascii="Times New Roman;sans-serif" w:hAnsi="Times New Roman;sans-serif"/>
          <w:b w:val="false"/>
          <w:color w:val="000000"/>
          <w:sz w:val="20"/>
        </w:rPr>
        <w:t>Afirma testing is included in leading practice guidelines and is covered by Medicare and most major commercial health plans in the United States.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offering, the Afirma Xpression Atlas, or XA, provides genomic alteration content from the same FNA samples used in Afirma GSC testing to help physicians decide, with greater confidence, on the surgical or therapeutic pathway for their patients. The test includes 593 genes, 905 variants and 235 fusions, and we believe it is the most comprehensive genomic panel of its kind in thyroid cancer.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team sells the Afirma GSC, including the Afirma XA, to endocrinologists and other physicians who perform FNA biopsies on patients with thyroid nodules. We estimate that approximately 70% of our testing volume comes from physicians in hospital or institutional settings and the remaining 30% comes from community-based practices. Physicians can order Afirma GSC testing in one of two ways: by submitting indeterminate FNA samples directly to Veracyte for genomic testing or by submitting FNA samples for initial cytopathology analysis by our partner, Thyroid Cytopathology Partners, with genomic testing performed by Veracyte when the cytopathology is indeterminate. </w:t>
      </w:r>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Prostate Cancer - Decipher Prostate Biopsy and Radical Prostatectomy, or RP, Genomic Classifiers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estimated 268,490 men are diagnosed with prostate cancer each year in the United States. Prior to the utilization of genomics, clinicians relied solely on clinical parameters, such as prostate-specific antigen, or PSA, level and pathology to determine the appropriate treatment for each patient. But those factors alone were imprecise, which often led to overtreatment of some and under treatment of others. The Decipher Prostate cancer test results dramatically improve the physician's ability to personalize therapy for each patient and make more appropriate treatment decisions.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Decipher Prostate cancer tests, developed through whole-transcriptome analysis and machine learning, are used across localized disease to predict a patient’s risk of progressing to metastatic disease within five years, which helps physicians determine an appropriate treatment plan. The Decipher Prostate Biopsy test is performed on a prostate biopsy sample following a cancer diagnosis to inform whether the patient is a candidate for active surveillance, needs monotherapy or may benefit from multi-modal or intensified therapy. The Decipher Prostate RP test is performed on surgical tissue to guide decision-making regarding treatment timing following radical prostatectomy and to help determine whether patients undergoing salvage radiotherapy may benefit from the addition of hormone therapy or may safely avoid hormone therapy and its side effects.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Decipher Prostate genomic classifier is currently being investigated in seven National Cancer Institute-sponsored, phase 3, prospective, randomized controlled clinical trials; 13 phase 2/3 prospective trials; and more than 20 retrospective studies of phase 3 randomized controlled trials. Many of these trials require Decipher Prostate testing for study inclusion. The test has been featured in over 260 peer-reviewed publications.</w:t>
      </w:r>
    </w:p>
    <w:p>
      <w:pPr>
        <w:pStyle w:val="TextBody"/>
        <w:spacing w:lineRule="auto" w:line="288" w:before="0" w:after="120"/>
        <w:ind w:left="0" w:right="0" w:firstLine="450"/>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The Decipher Prostate RP test is the only genomic prostate cancer test to receive a “recommended” designation by the National Comprehensive Cancer Network, or NCCN. Further, the 2022 NCCN Clinical Practice Guidelines for Oncology, uniquely recommend Decipher Prostate RP after radical prostatectomy and include treatment recommendations based specifically on the patient’s Decipher Prostate score. The Decipher Prostate cancer tests are covered by Medicare and commercial payers representing more than 150 million enrollees. </w:t>
      </w:r>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Breast Cancer - Prosigna Breast Cancer Assay</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Breast cancer is the most common cancer and the leading cause of cancer-related death in women worldwide. In 2020, there were an estimated 2.3 million new cases of the disease and 685,000 deaths. Information about individual patients’ prognosis is the foundation of treatment decision-making and recommendations in breast cancer. However, traditional non-molecular tests are often insufficient to reliably determine patients’ individual risk of recurrence and, therefore, adequately inform therapy decisions.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Prosigna Breast Cancer Assay is a clinically validated prognostic genomic assay that combines clinical and pathological information to help inform next steps for women with early-stage breast cancer, helping them avoid unnecessary toxic chemotherapy or under treatment. The test is performed as an IVD on the nCounter Analysis System and is offered in the U.S., EMEA and other selected markets. The test uses advanced genomic technology to inform next steps for post-menopausal women with early-stage HR+ and HER2- breast cancer, based on the genomic make-up of their disease. The test analyzes the activity of 46 genes in the PAM50 gene signature, along with clinical-pathological features, and can provide a hormone-receptor positive, early-stage breast cancer patient and their physician with a prognostic risk-of-recurrence score that indicates the probability of cancer recurrence over the next ten years. The Prosigna Breast Cancer Assay is built on the biological underpinning of disease and has shown improved performance when compared with previously-developed gene expression profiling tests and traditional immunohistochemistry. Outside of the United States, test results include the intrinsic breast cancer subtype, which can enable a more accurate assessment of tumor gene expression patterns, to complement the risk-of-recurrence score.</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The Prosigna test is clinically validated in studies published in </w:t>
      </w:r>
      <w:r>
        <w:rPr>
          <w:rFonts w:ascii="Times New Roman;sans-serif" w:hAnsi="Times New Roman;sans-serif"/>
          <w:b w:val="false"/>
          <w:i/>
          <w:color w:val="000000"/>
          <w:sz w:val="20"/>
        </w:rPr>
        <w:t>Annals of Oncology</w:t>
      </w:r>
      <w:r>
        <w:rPr>
          <w:color w:val="000000"/>
        </w:rPr>
        <w:t xml:space="preserve"> </w:t>
      </w:r>
      <w:r>
        <w:rPr>
          <w:rFonts w:ascii="Times New Roman;sans-serif" w:hAnsi="Times New Roman;sans-serif"/>
          <w:b w:val="false"/>
          <w:color w:val="000000"/>
          <w:sz w:val="20"/>
        </w:rPr>
        <w:t xml:space="preserve">and the </w:t>
      </w:r>
      <w:r>
        <w:rPr>
          <w:rFonts w:ascii="Times New Roman;sans-serif" w:hAnsi="Times New Roman;sans-serif"/>
          <w:b w:val="false"/>
          <w:i/>
          <w:color w:val="000000"/>
          <w:sz w:val="20"/>
        </w:rPr>
        <w:t xml:space="preserve">Journal of Clinical Oncology. </w:t>
      </w:r>
      <w:r>
        <w:rPr>
          <w:rFonts w:ascii="Times New Roman;sans-serif" w:hAnsi="Times New Roman;sans-serif"/>
          <w:b w:val="false"/>
          <w:color w:val="000000"/>
          <w:sz w:val="20"/>
        </w:rPr>
        <w:t>Medicare coverage for Prosigna has been in effect since 2015. The test is recommended in guidelines from the National Comprehensive Cancer Network and the American Society of Clinical Oncology in the United States. Outside of the United States, the test is included in leading medical guidelines, including from the National Institute for Health and Care Excellence in the United Kingdom and the European Society for Medical Oncology, or ESMO.</w:t>
      </w:r>
    </w:p>
    <w:p>
      <w:pPr>
        <w:pStyle w:val="TextBody"/>
        <w:spacing w:lineRule="auto" w:line="288" w:before="0" w:after="120"/>
        <w:ind w:left="0" w:right="0" w:firstLine="450"/>
        <w:jc w:val="both"/>
        <w:rPr/>
      </w:pPr>
      <w:r>
        <w:rPr>
          <w:rFonts w:ascii="Times New Roman;sans-serif" w:hAnsi="Times New Roman;sans-serif"/>
          <w:b w:val="false"/>
          <w:color w:val="222222"/>
          <w:sz w:val="20"/>
        </w:rPr>
        <w:t xml:space="preserve">The Prosigna test utilizes formalin-fixed and paraffin-embedded breast cancer tissue and is offered as an IVD test that runs on the nCounter Analysis System. The test has been CE-marked, showing that it conforms with European Union regulations, and is available for use by healthcare </w:t>
      </w:r>
      <w:r>
        <w:rPr>
          <w:rFonts w:ascii="Times New Roman;sans-serif" w:hAnsi="Times New Roman;sans-serif"/>
          <w:b w:val="false"/>
          <w:color w:val="000000"/>
          <w:sz w:val="20"/>
        </w:rPr>
        <w:t>professionals</w:t>
      </w:r>
      <w:r>
        <w:rPr>
          <w:color w:val="222222"/>
        </w:rPr>
        <w:t xml:space="preserve"> </w:t>
      </w:r>
      <w:r>
        <w:rPr>
          <w:rFonts w:ascii="Times New Roman;sans-serif" w:hAnsi="Times New Roman;sans-serif"/>
          <w:b w:val="false"/>
          <w:color w:val="222222"/>
          <w:sz w:val="20"/>
        </w:rPr>
        <w:t>in the European Union and other countries that recognize the CE mark, as well as in Canada, Israel, Australia, New Zealand and Hong Kong. The Prosigna test is FDA 510(k) cleared in the United States for use on the nCounter Analysis System.</w:t>
      </w:r>
    </w:p>
    <w:p>
      <w:pPr>
        <w:pStyle w:val="TextBody"/>
        <w:spacing w:lineRule="auto" w:line="288" w:before="0" w:after="120"/>
        <w:ind w:left="0" w:right="0" w:firstLine="450"/>
        <w:jc w:val="both"/>
        <w:rPr/>
      </w:pPr>
      <w:r>
        <w:rPr>
          <w:rFonts w:ascii="Times New Roman;sans-serif" w:hAnsi="Times New Roman;sans-serif"/>
          <w:b w:val="false"/>
          <w:color w:val="222222"/>
          <w:sz w:val="20"/>
        </w:rPr>
        <w:t xml:space="preserve">In the European Union, the Prosigna test is sold to laboratories by our direct sales team, who also lead efforts to secure reimbursement and gain support among KOLs in </w:t>
      </w:r>
      <w:r>
        <w:rPr>
          <w:rFonts w:ascii="Times New Roman;sans-serif" w:hAnsi="Times New Roman;sans-serif"/>
          <w:b w:val="false"/>
          <w:color w:val="000000"/>
          <w:sz w:val="20"/>
        </w:rPr>
        <w:t>breast</w:t>
      </w:r>
      <w:r>
        <w:rPr>
          <w:color w:val="222222"/>
        </w:rPr>
        <w:t xml:space="preserve"> </w:t>
      </w:r>
      <w:r>
        <w:rPr>
          <w:rFonts w:ascii="Times New Roman;sans-serif" w:hAnsi="Times New Roman;sans-serif"/>
          <w:b w:val="false"/>
          <w:color w:val="222222"/>
          <w:sz w:val="20"/>
        </w:rPr>
        <w:t xml:space="preserve">cancer oncology. In the United States, we sell the Prosigna test to laboratories through our channel partners.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that the global early-stage breast cancer recurrence market is significant, with approximately 375,000 patients potentially eligible for Prosigna annually. This is comprised of approximately 111,000 patients in the United States and 250,000 in the rest of the world.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Lung Cancer Portfolio</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Veracyte’s portfolio of lung cancer tests are intended to address unmet needs across the continuum of disease, which today can often result in unnecessary invasive procedures, delayed or missed diagnoses and inappropriate treatment. </w:t>
      </w:r>
      <w:r>
        <w:rPr>
          <w:rFonts w:ascii="Times New Roman;sans-serif" w:hAnsi="Times New Roman;sans-serif"/>
          <w:b w:val="false"/>
          <w:color w:val="222222"/>
          <w:sz w:val="20"/>
        </w:rPr>
        <w:t>Collectively, our tests leverage cutting-edge genomic science and technology to provide answers and insights that enable physicians and patients to make better, faster and more confident care decisions. We currently perform the Percepta Genomic Sequencing Classifier, or GSC, and the Percepta Nasal Swab test in our CLIA laboratory. The latter was introduced in October 2021 to a limited number of sites as we work to build the evidence to support reimbursement.</w:t>
      </w:r>
    </w:p>
    <w:p>
      <w:pPr>
        <w:pStyle w:val="TextBody"/>
        <w:spacing w:lineRule="auto" w:line="288" w:before="0" w:after="12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Percepta Genomic Sequencing Classifier (GSC)</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Lung cancer is often difficult to diagnose without invasive, risky and costly surgeries. Patients with lung nodules found on CT scans often undergo </w:t>
      </w:r>
      <w:r>
        <w:rPr>
          <w:rFonts w:ascii="Times New Roman;sans-serif" w:hAnsi="Times New Roman;sans-serif"/>
          <w:b w:val="false"/>
          <w:color w:val="222222"/>
          <w:sz w:val="20"/>
        </w:rPr>
        <w:t>bronchoscopy</w:t>
      </w:r>
      <w:r>
        <w:rPr>
          <w:color w:val="000000"/>
        </w:rPr>
        <w:t xml:space="preserve"> – </w:t>
      </w:r>
      <w:r>
        <w:rPr>
          <w:rFonts w:ascii="Times New Roman;sans-serif" w:hAnsi="Times New Roman;sans-serif"/>
          <w:b w:val="false"/>
          <w:color w:val="000000"/>
          <w:sz w:val="20"/>
        </w:rPr>
        <w:t xml:space="preserve">a common, </w:t>
      </w:r>
      <w:r>
        <w:rPr>
          <w:rFonts w:ascii="Times New Roman;sans-serif" w:hAnsi="Times New Roman;sans-serif"/>
          <w:b w:val="false"/>
          <w:color w:val="222222"/>
          <w:sz w:val="20"/>
        </w:rPr>
        <w:t>nonsurgical</w:t>
      </w:r>
      <w:r>
        <w:rPr>
          <w:color w:val="000000"/>
        </w:rPr>
        <w:t xml:space="preserve"> </w:t>
      </w:r>
      <w:r>
        <w:rPr>
          <w:rFonts w:ascii="Times New Roman;sans-serif" w:hAnsi="Times New Roman;sans-serif"/>
          <w:b w:val="false"/>
          <w:color w:val="000000"/>
          <w:sz w:val="20"/>
        </w:rPr>
        <w:t>procedure to evaluate potentially cancerous lung nodules. However, this procedure often produces inconclusive results, which can lead to unnecessary additional procedures or delays in diagnosis.</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The Percepta GSC improves lung cancer diagnosis when diagnostic bronchoscopy results are inconclusive. The test, developed with RNA whole-transcriptome sequencing, identifies patients with lung nodules who are at low risk of cancer and may avoid further, invasive procedures, as </w:t>
      </w:r>
      <w:r>
        <w:rPr>
          <w:rFonts w:ascii="Times New Roman;sans-serif" w:hAnsi="Times New Roman;sans-serif"/>
          <w:b w:val="false"/>
          <w:color w:val="222222"/>
          <w:sz w:val="20"/>
        </w:rPr>
        <w:t>well</w:t>
      </w:r>
      <w:r>
        <w:rPr>
          <w:color w:val="000000"/>
        </w:rPr>
        <w:t xml:space="preserve"> </w:t>
      </w:r>
      <w:r>
        <w:rPr>
          <w:rFonts w:ascii="Times New Roman;sans-serif" w:hAnsi="Times New Roman;sans-serif"/>
          <w:b w:val="false"/>
          <w:color w:val="000000"/>
          <w:sz w:val="20"/>
        </w:rPr>
        <w:t>as patients at high risk of cancer so they may obtain faster diagnosis and treatment. The test is built upon foundational "field of injury" science - through which genomic changes associated with lung cancer in current and former smokers can be identified with a simple brushing of a patient's airway - without the need to sample the often hard-to-reach nodule directly.</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Our Percepta test is supported by eight published scientific studies, including a clinical validation study published in </w:t>
      </w:r>
      <w:r>
        <w:rPr>
          <w:rFonts w:ascii="Times New Roman;sans-serif" w:hAnsi="Times New Roman;sans-serif"/>
          <w:b w:val="false"/>
          <w:i/>
          <w:color w:val="000000"/>
          <w:sz w:val="20"/>
        </w:rPr>
        <w:t>The New England Journal of Medicine</w:t>
      </w:r>
      <w:r>
        <w:rPr>
          <w:rFonts w:ascii="Times New Roman;sans-serif" w:hAnsi="Times New Roman;sans-serif"/>
          <w:b w:val="false"/>
          <w:color w:val="000000"/>
          <w:sz w:val="20"/>
        </w:rPr>
        <w:t xml:space="preserve">, which </w:t>
      </w:r>
      <w:r>
        <w:rPr>
          <w:rFonts w:ascii="Times New Roman;sans-serif" w:hAnsi="Times New Roman;sans-serif"/>
          <w:b w:val="false"/>
          <w:color w:val="222222"/>
          <w:sz w:val="20"/>
        </w:rPr>
        <w:t>demonstrate</w:t>
      </w:r>
      <w:r>
        <w:rPr>
          <w:color w:val="000000"/>
        </w:rPr>
        <w:t xml:space="preserve"> </w:t>
      </w:r>
      <w:r>
        <w:rPr>
          <w:rFonts w:ascii="Times New Roman;sans-serif" w:hAnsi="Times New Roman;sans-serif"/>
          <w:b w:val="false"/>
          <w:color w:val="000000"/>
          <w:sz w:val="20"/>
        </w:rPr>
        <w:t xml:space="preserve">the test’s accuracy in identifying patients who are at low risk of cancer following inconclusive results from bronchoscopy. These patients may then be monitored with CT scans in lieu of undergoing surgery - a frequent next step at this juncture of the clinical pathway. A clinical utility study published in the journal </w:t>
      </w:r>
      <w:r>
        <w:rPr>
          <w:rFonts w:ascii="Times New Roman;sans-serif" w:hAnsi="Times New Roman;sans-serif"/>
          <w:b w:val="false"/>
          <w:i/>
          <w:color w:val="000000"/>
          <w:sz w:val="20"/>
        </w:rPr>
        <w:t>CHEST</w:t>
      </w:r>
      <w:r>
        <w:rPr>
          <w:color w:val="000000"/>
        </w:rPr>
        <w:t xml:space="preserve"> </w:t>
      </w:r>
      <w:r>
        <w:rPr>
          <w:rFonts w:ascii="Times New Roman;sans-serif" w:hAnsi="Times New Roman;sans-serif"/>
          <w:b w:val="false"/>
          <w:color w:val="000000"/>
          <w:sz w:val="20"/>
        </w:rPr>
        <w:t xml:space="preserve">showed that use of the test significantly reduced unnecessary surgeries in the target patient population, compared to physicians’ plans prior to Percepta testing. </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In 2017, we obtained Medicare coverage for Percepta, making it the first genomic test to be covered for use in lung cancer diagnosis. The test is available as a </w:t>
      </w:r>
      <w:r>
        <w:rPr>
          <w:rFonts w:ascii="Times New Roman;sans-serif" w:hAnsi="Times New Roman;sans-serif"/>
          <w:b w:val="false"/>
          <w:color w:val="222222"/>
          <w:sz w:val="20"/>
        </w:rPr>
        <w:t>covered</w:t>
      </w:r>
      <w:r>
        <w:rPr>
          <w:color w:val="000000"/>
        </w:rPr>
        <w:t xml:space="preserve"> </w:t>
      </w:r>
      <w:r>
        <w:rPr>
          <w:rFonts w:ascii="Times New Roman;sans-serif" w:hAnsi="Times New Roman;sans-serif"/>
          <w:b w:val="false"/>
          <w:color w:val="000000"/>
          <w:sz w:val="20"/>
        </w:rPr>
        <w:t>benefit for Medicare’s over 60 million enrollees. We estimate that half of the patients evaluated for lung cancer in the United States are covered by Medicare.</w:t>
      </w:r>
    </w:p>
    <w:p>
      <w:pPr>
        <w:pStyle w:val="TextBody"/>
        <w:spacing w:lineRule="auto" w:line="288" w:before="0" w:after="12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Percepta Nasal Swab Test </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Lung cancer is the leading cancer killer worldwide, causing approximately 1.8 million deaths each year. Lung nodules are typically the first sign of lung cancer and cannot be ignored – however, most of them are benign. Today, physicians have limited objective tools to help accurately determine which patients with lung nodules found on CT scans have cancer and which do not. </w:t>
      </w:r>
      <w:r>
        <w:rPr>
          <w:rFonts w:ascii="Times New Roman;sans-serif" w:hAnsi="Times New Roman;sans-serif"/>
          <w:b w:val="false"/>
          <w:color w:val="222222"/>
          <w:sz w:val="20"/>
        </w:rPr>
        <w:t>We</w:t>
      </w:r>
      <w:r>
        <w:rPr>
          <w:color w:val="000000"/>
        </w:rPr>
        <w:t xml:space="preserve"> </w:t>
      </w:r>
      <w:r>
        <w:rPr>
          <w:rFonts w:ascii="Times New Roman;sans-serif" w:hAnsi="Times New Roman;sans-serif"/>
          <w:b w:val="false"/>
          <w:color w:val="000000"/>
          <w:sz w:val="20"/>
        </w:rPr>
        <w:t>developed the Percepta Nasal Swab test to help physicians more accurately, quickly and confidently identify lung cancer risk so that patients whose lung nodules are benign may avoid unnecessary invasive procedures and patients whose nodules are likely cancerous may proceed to further diagnostic work-up and, if necessary, treatment.</w:t>
      </w:r>
    </w:p>
    <w:p>
      <w:pPr>
        <w:pStyle w:val="TextBody"/>
        <w:spacing w:lineRule="auto" w:line="288" w:before="0" w:after="120"/>
        <w:ind w:left="0" w:right="0" w:firstLine="450"/>
        <w:jc w:val="both"/>
        <w:rPr>
          <w:rFonts w:ascii="Times New Roman;sans-serif" w:hAnsi="Times New Roman;sans-serif"/>
          <w:b w:val="false"/>
          <w:color w:val="222222"/>
          <w:sz w:val="20"/>
        </w:rPr>
      </w:pPr>
      <w:r>
        <w:rPr>
          <w:rFonts w:ascii="Times New Roman;sans-serif" w:hAnsi="Times New Roman;sans-serif"/>
          <w:b w:val="false"/>
          <w:color w:val="222222"/>
          <w:sz w:val="20"/>
        </w:rPr>
        <w:t>The Percepta Nasal Swab test uses the same “field of injury” principle as Percepta GSC to detect smoking-related damage associated with lung cancer in current or former smokers, but uses a sample collected non-invasively from the nasal passage. Veracyte developed the final classifier using RNA whole-transcriptome sequencing and machine learning on a training set of nasal samples from more than 1,100 patients representing a wide range of lung and tumor biology.</w:t>
      </w:r>
    </w:p>
    <w:p>
      <w:pPr>
        <w:pStyle w:val="TextBody"/>
        <w:spacing w:lineRule="auto" w:line="288" w:before="0" w:after="120"/>
        <w:ind w:left="0" w:right="0" w:firstLine="450"/>
        <w:jc w:val="both"/>
        <w:rPr/>
      </w:pPr>
      <w:r>
        <w:rPr>
          <w:rFonts w:ascii="Times New Roman;sans-serif" w:hAnsi="Times New Roman;sans-serif"/>
          <w:b w:val="false"/>
          <w:color w:val="222222"/>
          <w:sz w:val="20"/>
        </w:rPr>
        <w:t xml:space="preserve">In clinical validation data presented at the 2021 American College of Chest Physicians, or CHEST, Annual Meeting, when the Percepta Nasal Swab test identified patients as low risk, its sensitivity was 97%, providing a negative predictive value, or NPV, of 98% in a population with the 25% cancer </w:t>
      </w:r>
      <w:r>
        <w:rPr>
          <w:rFonts w:ascii="Times New Roman;sans-serif" w:hAnsi="Times New Roman;sans-serif"/>
          <w:b w:val="false"/>
          <w:color w:val="000000"/>
          <w:sz w:val="20"/>
        </w:rPr>
        <w:t>prevalence</w:t>
      </w:r>
      <w:r>
        <w:rPr>
          <w:color w:val="222222"/>
        </w:rPr>
        <w:t xml:space="preserve"> </w:t>
      </w:r>
      <w:r>
        <w:rPr>
          <w:rFonts w:ascii="Times New Roman;sans-serif" w:hAnsi="Times New Roman;sans-serif"/>
          <w:b w:val="false"/>
          <w:color w:val="222222"/>
          <w:sz w:val="20"/>
        </w:rPr>
        <w:t xml:space="preserve">that would be expected in a broad cohort with suspicious lung nodules. This NPV would assist physicians in avoiding unnecessary invasive procedures in these patients with a very small likelihood of missing a cancer. When the test identified patients as high risk, its specificity was 92%, for a positive predictive value, or PPV, of 70% at a malignancy rate of 25%. This PPV would assist physicians in directing these patients to further procedures so they could obtain an accurate diagnosis </w:t>
      </w:r>
      <w:r>
        <w:rPr>
          <w:rFonts w:ascii="Times New Roman;sans-serif" w:hAnsi="Times New Roman;sans-serif"/>
          <w:b w:val="false"/>
          <w:color w:val="000000"/>
          <w:sz w:val="20"/>
        </w:rPr>
        <w:t>and</w:t>
      </w:r>
      <w:r>
        <w:rPr>
          <w:color w:val="222222"/>
        </w:rPr>
        <w:t xml:space="preserve"> </w:t>
      </w:r>
      <w:r>
        <w:rPr>
          <w:rFonts w:ascii="Times New Roman;sans-serif" w:hAnsi="Times New Roman;sans-serif"/>
          <w:b w:val="false"/>
          <w:color w:val="222222"/>
          <w:sz w:val="20"/>
        </w:rPr>
        <w:t xml:space="preserve">speed time to treatment, if necessary. Patients in the moderate risk group could be managed according to current clinical guidelines. We began running the Percepta Nasal Swab test in our CLIA lab in October 2021. Approximately 15 million patients </w:t>
      </w:r>
      <w:r>
        <w:rPr>
          <w:rFonts w:ascii="Times New Roman;sans-serif" w:hAnsi="Times New Roman;sans-serif"/>
          <w:b w:val="false"/>
          <w:color w:val="000000"/>
          <w:sz w:val="20"/>
        </w:rPr>
        <w:t>are</w:t>
      </w:r>
      <w:r>
        <w:rPr>
          <w:color w:val="222222"/>
        </w:rPr>
        <w:t xml:space="preserve"> </w:t>
      </w:r>
      <w:r>
        <w:rPr>
          <w:rFonts w:ascii="Times New Roman;sans-serif" w:hAnsi="Times New Roman;sans-serif"/>
          <w:b w:val="false"/>
          <w:color w:val="222222"/>
          <w:sz w:val="20"/>
        </w:rPr>
        <w:t>now recommended for annual lung cancer CT screening to detect potentially cancerous lung nodules early. Today, approximately 1 million Americans are screened annually for lung cancer, and a</w:t>
      </w:r>
      <w:r>
        <w:rPr>
          <w:rFonts w:ascii="Times New Roman;sans-serif" w:hAnsi="Times New Roman;sans-serif"/>
          <w:b w:val="false"/>
          <w:color w:val="000000"/>
          <w:sz w:val="20"/>
        </w:rPr>
        <w:t>bout 1.6 million lung nodules are found incidentally. As a consequence we believe that approximately 1 million lung nodules every year in the U.S. require further evaluation by a pulmonologist for potential cancer.</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ILD/IPF - Envisia Genomic Classifier</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Each year in the United States and Europe, approximately 200,000 patients are suspected of having an interstitial lung disease, or ILD, </w:t>
      </w:r>
      <w:r>
        <w:rPr>
          <w:rFonts w:ascii="Times New Roman;sans-serif" w:hAnsi="Times New Roman;sans-serif"/>
          <w:b w:val="false"/>
          <w:color w:val="222222"/>
          <w:sz w:val="20"/>
        </w:rPr>
        <w:t>including</w:t>
      </w:r>
      <w:r>
        <w:rPr>
          <w:color w:val="000000"/>
        </w:rPr>
        <w:t xml:space="preserve"> </w:t>
      </w:r>
      <w:r>
        <w:rPr>
          <w:rFonts w:ascii="Times New Roman;sans-serif" w:hAnsi="Times New Roman;sans-serif"/>
          <w:b w:val="false"/>
          <w:color w:val="000000"/>
          <w:sz w:val="20"/>
        </w:rPr>
        <w:t>idiopathic pulmonary fibrosis, or IPF, which is among the most common and deadly of these lung-scarring diseases. Obtaining an accurate, timely IPF diagnosis is important given the availability of drugs that can slow the progression of this debilitating disease, as well as the need to avoid inappropriate and potentially harmful treatment. Additionally, prognostic information may help physicians determine treatment plans for patients with ILDs, including IPF.</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Limitations in current technologies make IPF notoriously difficult to diagnose, often leading to treatment delays, repeated misdiagnoses, patient distress and added healthcare expenses. Physicians routinely use high-resolution computed tomography, or HRTC, </w:t>
      </w:r>
      <w:r>
        <w:rPr>
          <w:rFonts w:ascii="Times New Roman;sans-serif" w:hAnsi="Times New Roman;sans-serif"/>
          <w:b w:val="false"/>
          <w:color w:val="222222"/>
          <w:sz w:val="20"/>
        </w:rPr>
        <w:t>imaging</w:t>
      </w:r>
      <w:r>
        <w:rPr>
          <w:color w:val="000000"/>
        </w:rPr>
        <w:t xml:space="preserve"> </w:t>
      </w:r>
      <w:r>
        <w:rPr>
          <w:rFonts w:ascii="Times New Roman;sans-serif" w:hAnsi="Times New Roman;sans-serif"/>
          <w:b w:val="false"/>
          <w:color w:val="000000"/>
          <w:sz w:val="20"/>
        </w:rPr>
        <w:t xml:space="preserve">to identify usual interstitial pneumonia, or UIP, the pattern whose presence is essential to IPF diagnosis. This approach, however, frequently provides inconclusive results, with current guidelines recommending consideration of surgery to secure a more definitive diagnosis. Such surgeries are risky and expensive, and many patients are too frail to undergo the procedure. </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The Envisia </w:t>
      </w:r>
      <w:r>
        <w:rPr>
          <w:rFonts w:ascii="Times New Roman;sans-serif" w:hAnsi="Times New Roman;sans-serif"/>
          <w:b w:val="false"/>
          <w:color w:val="222222"/>
          <w:sz w:val="20"/>
        </w:rPr>
        <w:t>classifier</w:t>
      </w:r>
      <w:r>
        <w:rPr>
          <w:color w:val="000000"/>
        </w:rPr>
        <w:t xml:space="preserve"> </w:t>
      </w:r>
      <w:r>
        <w:rPr>
          <w:rFonts w:ascii="Times New Roman;sans-serif" w:hAnsi="Times New Roman;sans-serif"/>
          <w:b w:val="false"/>
          <w:color w:val="000000"/>
          <w:sz w:val="20"/>
        </w:rPr>
        <w:t xml:space="preserve">is the first test of its kind for improving the diagnosis of ILDs, including IPF, without the need for surgery. The test identifies usual interstitial pneumonia, or UIP, a pattern that is essential to the diagnosis of IPF, with high accuracy on patient samples that are obtained through transbronchial biopsy, a nonsurgical procedure that is commonly used in lung evaluation. </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The Envisia classifier is supported by clinical data published in eight peer-reviewed journals, including </w:t>
      </w:r>
      <w:r>
        <w:rPr>
          <w:rFonts w:ascii="Times New Roman;sans-serif" w:hAnsi="Times New Roman;sans-serif"/>
          <w:b w:val="false"/>
          <w:i/>
          <w:color w:val="000000"/>
          <w:sz w:val="20"/>
        </w:rPr>
        <w:t>The Lancet</w:t>
      </w:r>
      <w:r>
        <w:rPr>
          <w:color w:val="000000"/>
        </w:rPr>
        <w:t xml:space="preserve"> </w:t>
      </w:r>
      <w:r>
        <w:rPr>
          <w:rFonts w:ascii="Times New Roman;sans-serif" w:hAnsi="Times New Roman;sans-serif"/>
          <w:b w:val="false"/>
          <w:i/>
          <w:color w:val="000000"/>
          <w:sz w:val="20"/>
        </w:rPr>
        <w:t>Respiratory Medicine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American Journal of Respiratory and Critical Care Medicine. </w:t>
      </w:r>
      <w:r>
        <w:rPr>
          <w:rFonts w:ascii="Times New Roman;sans-serif" w:hAnsi="Times New Roman;sans-serif"/>
          <w:b w:val="false"/>
          <w:color w:val="000000"/>
          <w:sz w:val="20"/>
        </w:rPr>
        <w:t xml:space="preserve">In 2018, the Fleischner Society published a white paper suggesting that molecular diagnosis </w:t>
      </w:r>
      <w:r>
        <w:rPr>
          <w:rFonts w:ascii="Times New Roman;sans-serif" w:hAnsi="Times New Roman;sans-serif"/>
          <w:b w:val="false"/>
          <w:color w:val="222222"/>
          <w:sz w:val="20"/>
        </w:rPr>
        <w:t>with</w:t>
      </w:r>
      <w:r>
        <w:rPr>
          <w:color w:val="000000"/>
        </w:rPr>
        <w:t xml:space="preserve"> </w:t>
      </w:r>
      <w:r>
        <w:rPr>
          <w:rFonts w:ascii="Times New Roman;sans-serif" w:hAnsi="Times New Roman;sans-serif"/>
          <w:b w:val="false"/>
          <w:color w:val="000000"/>
          <w:sz w:val="20"/>
        </w:rPr>
        <w:t>machine learning will play an increasing role in the diagnosis of IPF, when considered along with clinical and imaging features.</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We obtained Medicare coverage for </w:t>
      </w:r>
      <w:r>
        <w:rPr>
          <w:rFonts w:ascii="Times New Roman;sans-serif" w:hAnsi="Times New Roman;sans-serif"/>
          <w:b w:val="false"/>
          <w:color w:val="222222"/>
          <w:sz w:val="20"/>
        </w:rPr>
        <w:t>the</w:t>
      </w:r>
      <w:r>
        <w:rPr>
          <w:color w:val="000000"/>
        </w:rPr>
        <w:t xml:space="preserve"> </w:t>
      </w:r>
      <w:r>
        <w:rPr>
          <w:rFonts w:ascii="Times New Roman;sans-serif" w:hAnsi="Times New Roman;sans-serif"/>
          <w:b w:val="false"/>
          <w:color w:val="000000"/>
          <w:sz w:val="20"/>
        </w:rPr>
        <w:t xml:space="preserve">Envisia classifier through the MolDX program in 2019. We estimate that half of the patients evaluated for ILDs/IPF in the United States are covered by Medicare. </w:t>
      </w:r>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Bladder Cancer - Decipher Bladder Genomic Classifier</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In 2021 in the U.S., nearly 85,000 people were expected to be diagnosed with bladder cancer and over 17,000 people were expected to die of the disease. Patients diagnosed with non-metastatic muscle-invasive bladder cancer, or MIBC, often undergo neoadjuvant chemotherapy, or NAC, prior to standard-of-care radical cystectomy, even though the absolute survival benefit associated with the addition of </w:t>
      </w:r>
      <w:r>
        <w:rPr>
          <w:rFonts w:ascii="Times New Roman;sans-serif" w:hAnsi="Times New Roman;sans-serif"/>
          <w:b w:val="false"/>
          <w:color w:val="222222"/>
          <w:sz w:val="20"/>
        </w:rPr>
        <w:t>NAC</w:t>
      </w:r>
      <w:r>
        <w:rPr>
          <w:color w:val="000000"/>
        </w:rPr>
        <w:t xml:space="preserve"> </w:t>
      </w:r>
      <w:r>
        <w:rPr>
          <w:rFonts w:ascii="Times New Roman;sans-serif" w:hAnsi="Times New Roman;sans-serif"/>
          <w:b w:val="false"/>
          <w:color w:val="000000"/>
          <w:sz w:val="20"/>
        </w:rPr>
        <w:t xml:space="preserve">to radical cystectomy is just 5-10%. Until recently, there was no reliable way to determine which MIBC tumors would – or would not – respond to chemotherapy. </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Decipher Bladder is a genomic test that measures the molecular profile of bladder cancer using gene expression analysis from transurethral resected bladder </w:t>
      </w:r>
      <w:r>
        <w:rPr>
          <w:rFonts w:ascii="Times New Roman;sans-serif" w:hAnsi="Times New Roman;sans-serif"/>
          <w:b w:val="false"/>
          <w:color w:val="222222"/>
          <w:sz w:val="20"/>
        </w:rPr>
        <w:t>tumor</w:t>
      </w:r>
      <w:r>
        <w:rPr>
          <w:color w:val="000000"/>
        </w:rPr>
        <w:t xml:space="preserve"> </w:t>
      </w:r>
      <w:r>
        <w:rPr>
          <w:rFonts w:ascii="Times New Roman;sans-serif" w:hAnsi="Times New Roman;sans-serif"/>
          <w:b w:val="false"/>
          <w:color w:val="000000"/>
          <w:sz w:val="20"/>
        </w:rPr>
        <w:t>specimens. The test was developed for use in bladder cancer patients with high-grade non-muscle-invasive disease who are being considered for treatment and patients with muscle-invasive disease who face the question of immediate cystectomy or systemic treatment in the neoadjuvant setting prior to cystectomy. Decipher Bladder reports the molecular subtype of the tumor specimen as Luminal or Non-Luminal (Luminal Infiltrated, Basal, Basal Claudin-Low or Neuroendocrine-like), with each subtype having distinct biological composition, clinical behavior and predicted benefit from NAC.</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The Decipher Bladder test is supported by multiple peer-reviewed clinical studies demonstrating its ability to identify which patients have a higher risk of </w:t>
      </w:r>
      <w:r>
        <w:rPr>
          <w:rFonts w:ascii="Times New Roman;sans-serif" w:hAnsi="Times New Roman;sans-serif"/>
          <w:b w:val="false"/>
          <w:color w:val="222222"/>
          <w:sz w:val="20"/>
        </w:rPr>
        <w:t>upstaging</w:t>
      </w:r>
      <w:r>
        <w:rPr>
          <w:color w:val="000000"/>
        </w:rPr>
        <w:t xml:space="preserve"> </w:t>
      </w:r>
      <w:r>
        <w:rPr>
          <w:rFonts w:ascii="Times New Roman;sans-serif" w:hAnsi="Times New Roman;sans-serif"/>
          <w:b w:val="false"/>
          <w:color w:val="000000"/>
          <w:sz w:val="20"/>
        </w:rPr>
        <w:t>to non-organ confined disease at surgery and which patients may benefit the most from neoadjuvant therapy. The test also can be used to identify neuroendocrine-like and immune-infiltrated subtypes, which may have implications for future therapeutic strategies.</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We began </w:t>
      </w:r>
      <w:r>
        <w:rPr>
          <w:rFonts w:ascii="Times New Roman;sans-serif" w:hAnsi="Times New Roman;sans-serif"/>
          <w:b w:val="false"/>
          <w:color w:val="222222"/>
          <w:sz w:val="20"/>
        </w:rPr>
        <w:t>commercialization</w:t>
      </w:r>
      <w:r>
        <w:rPr>
          <w:color w:val="000000"/>
        </w:rPr>
        <w:t xml:space="preserve"> </w:t>
      </w:r>
      <w:r>
        <w:rPr>
          <w:rFonts w:ascii="Times New Roman;sans-serif" w:hAnsi="Times New Roman;sans-serif"/>
          <w:b w:val="false"/>
          <w:color w:val="000000"/>
          <w:sz w:val="20"/>
        </w:rPr>
        <w:t xml:space="preserve">of the Decipher Bladder test in the fall of 2021, following final Medicare coverage for the test in July 2021. The Decipher Bladder test is the first genomic test to be covered by Medicare for patients with bladder cancer. </w:t>
      </w:r>
    </w:p>
    <w:p>
      <w:pPr>
        <w:pStyle w:val="TextBody"/>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Colon Cancer - Immunoscore Colon Cancer Test</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Approximately 1.15 million new cases of colon cancer are diagnosed worldwide each year. The Immunoscore Colon Cancer test is designed to deliver </w:t>
      </w:r>
      <w:r>
        <w:rPr>
          <w:rFonts w:ascii="Times New Roman;sans-serif" w:hAnsi="Times New Roman;sans-serif"/>
          <w:b w:val="false"/>
          <w:color w:val="222222"/>
          <w:sz w:val="20"/>
        </w:rPr>
        <w:t>critical</w:t>
      </w:r>
      <w:r>
        <w:rPr>
          <w:color w:val="000000"/>
        </w:rPr>
        <w:t xml:space="preserve"> </w:t>
      </w:r>
      <w:r>
        <w:rPr>
          <w:rFonts w:ascii="Times New Roman;sans-serif" w:hAnsi="Times New Roman;sans-serif"/>
          <w:b w:val="false"/>
          <w:color w:val="000000"/>
          <w:sz w:val="20"/>
        </w:rPr>
        <w:t xml:space="preserve">information to guide chemotherapy decision-making in Stage II localized colon cancer to help physicians identify patients who may be spared adjuvant chemotherapy, and in Stage III localized colon cancer to help inform optimal treatment duration for patients. </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The Immunoscore platform is a tissue-based assay that combines advances in immuno-oncology science and spatial immunohistochemistry to assess lymphocytic </w:t>
      </w:r>
      <w:r>
        <w:rPr>
          <w:rFonts w:ascii="Times New Roman;sans-serif" w:hAnsi="Times New Roman;sans-serif"/>
          <w:b w:val="false"/>
          <w:color w:val="222222"/>
          <w:sz w:val="20"/>
        </w:rPr>
        <w:t>infiltration</w:t>
      </w:r>
      <w:r>
        <w:rPr>
          <w:color w:val="000000"/>
        </w:rPr>
        <w:t xml:space="preserve"> </w:t>
      </w:r>
      <w:r>
        <w:rPr>
          <w:rFonts w:ascii="Times New Roman;sans-serif" w:hAnsi="Times New Roman;sans-serif"/>
          <w:b w:val="false"/>
          <w:color w:val="000000"/>
          <w:sz w:val="20"/>
        </w:rPr>
        <w:t xml:space="preserve">in human tumors. This personalized medicine tool has been shown to predict patient outcomes in several indications and has been validated in an international study conducted on more than 2,500 Stage I-III colon cancer patients. These studies showed that Immunoscore is an independent prognostic factor for patient survival and that it provides the greatest contribution to patient prognostication of all assessed factors. The colon cancer test is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first commercial application of the Immunoscore platform, which Veracyte believes may also be applied to other cancers and diseases.</w:t>
      </w:r>
    </w:p>
    <w:p>
      <w:pPr>
        <w:pStyle w:val="TextBody"/>
        <w:spacing w:lineRule="auto" w:line="276" w:before="0" w:after="120"/>
        <w:ind w:left="0" w:right="0" w:firstLine="450"/>
        <w:jc w:val="both"/>
        <w:rPr/>
      </w:pPr>
      <w:r>
        <w:rPr>
          <w:rFonts w:ascii="Times New Roman;sans-serif" w:hAnsi="Times New Roman;sans-serif"/>
          <w:b w:val="false"/>
          <w:color w:val="000000"/>
          <w:sz w:val="20"/>
        </w:rPr>
        <w:t xml:space="preserve">The Immunoscore Colon Cancer test was included in the 2020 ESMO Clinical Practice Guidelines for Diagnosis, Treatment, and Follow-up of Colon Cancer and in 2021, the test was included in the Pan-Asian adapted ESMO guidelines. Both guidelines emphasize that tumor </w:t>
      </w:r>
      <w:r>
        <w:rPr>
          <w:rFonts w:ascii="Times New Roman;sans-serif" w:hAnsi="Times New Roman;sans-serif"/>
          <w:b w:val="false"/>
          <w:color w:val="222222"/>
          <w:sz w:val="20"/>
        </w:rPr>
        <w:t>recurrence</w:t>
      </w:r>
      <w:r>
        <w:rPr>
          <w:color w:val="000000"/>
        </w:rPr>
        <w:t xml:space="preserve"> </w:t>
      </w:r>
      <w:r>
        <w:rPr>
          <w:rFonts w:ascii="Times New Roman;sans-serif" w:hAnsi="Times New Roman;sans-serif"/>
          <w:b w:val="false"/>
          <w:color w:val="000000"/>
          <w:sz w:val="20"/>
        </w:rPr>
        <w:t>risk-assessment and expected benefit from chemotherapy are key to the evaluation of adjuvant therapy options. In this context, the Immunoscore Colon Cancer test is recommended for its ability to refine the prognosis of stage II and stage III colon cancer patients, in conjunction with standard cancer staging known as TNM (Tumor, Node, Metastasis).</w:t>
      </w:r>
    </w:p>
    <w:p>
      <w:pPr>
        <w:pStyle w:val="TextBody"/>
        <w:spacing w:lineRule="auto" w:line="288" w:before="0" w:after="120"/>
        <w:ind w:left="0" w:right="0" w:firstLine="450"/>
        <w:jc w:val="both"/>
        <w:rPr/>
      </w:pPr>
      <w:r>
        <w:rPr>
          <w:rFonts w:ascii="Times New Roman;sans-serif" w:hAnsi="Times New Roman;sans-serif"/>
          <w:b w:val="false"/>
          <w:color w:val="000000"/>
          <w:sz w:val="20"/>
        </w:rPr>
        <w:t xml:space="preserve">Immunoscore is commercially available as a CLIA or CE-marked test in more than 20 countries, with testing performed in Veracyte’s CLIA </w:t>
      </w:r>
      <w:r>
        <w:rPr>
          <w:rFonts w:ascii="Times New Roman;sans-serif" w:hAnsi="Times New Roman;sans-serif"/>
          <w:b w:val="false"/>
          <w:color w:val="222222"/>
          <w:sz w:val="20"/>
        </w:rPr>
        <w:t>laboratories</w:t>
      </w:r>
      <w:r>
        <w:rPr>
          <w:rFonts w:ascii="Times New Roman;sans-serif" w:hAnsi="Times New Roman;sans-serif"/>
          <w:b w:val="false"/>
          <w:color w:val="000000"/>
          <w:sz w:val="20"/>
        </w:rPr>
        <w:t xml:space="preserve">. </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Biopharmaceutical and Other Revenue</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formed several biopharmaceutical partnerships that derive value out of our current assets or future ones. Through development and commercialization of our tests, we have built or gained access to unique biorepositories that include extensive clinical cohorts and whole-genome RNA sequencing and other data, such as immuno-oncology.</w:t>
      </w:r>
    </w:p>
    <w:p>
      <w:pPr>
        <w:pStyle w:val="TextBody"/>
        <w:spacing w:lineRule="auto" w:line="276" w:before="0" w:after="120"/>
        <w:ind w:left="0" w:right="0" w:firstLine="450"/>
        <w:jc w:val="both"/>
        <w:rPr/>
      </w:pPr>
      <w:r>
        <w:rPr>
          <w:rFonts w:ascii="Times New Roman;sans-serif" w:hAnsi="Times New Roman;sans-serif"/>
          <w:b w:val="false"/>
          <w:color w:val="000000"/>
          <w:sz w:val="20"/>
        </w:rPr>
        <w:t xml:space="preserve">Biopharmaceutical customers may be interested in leveraging our data to: first, understand or confirm a drug’s method of action by looking at patients’ gene expression profiles or tumor microenvironment pre- and post-treatment; second, identify predictive or prognostic biomarkers for drug response, toxicity or disease progression, which define the ideal patient subpopulation for a given therapy; and/or lastly, identify patient populations with rare genetic variations for clinical trials or existing therapies. </w:t>
      </w:r>
      <w:r>
        <w:rPr>
          <w:rFonts w:ascii="Times New Roman;sans-serif" w:hAnsi="Times New Roman;sans-serif"/>
          <w:b w:val="false"/>
          <w:color w:val="222222"/>
          <w:sz w:val="20"/>
        </w:rPr>
        <w:t xml:space="preserve">We also offer customized biomarker testing and analytical services to our biopharmaceutical partners, helping them advance their goals. </w:t>
      </w:r>
    </w:p>
    <w:p>
      <w:pPr>
        <w:pStyle w:val="TextBody"/>
        <w:spacing w:lineRule="auto" w:line="276" w:before="0" w:after="120"/>
        <w:ind w:left="0" w:right="0" w:firstLine="450"/>
        <w:jc w:val="both"/>
        <w:rPr/>
      </w:pPr>
      <w:r>
        <w:rPr>
          <w:rFonts w:ascii="Times New Roman;sans-serif" w:hAnsi="Times New Roman;sans-serif"/>
          <w:b w:val="false"/>
          <w:color w:val="222222"/>
          <w:sz w:val="20"/>
        </w:rPr>
        <w:t xml:space="preserve">Our immuno-oncology offerings to biopharmaceutical partners focus on the implications of the tumor microenvironment using tools such as Immunoscore, Immunosign, our Brightplex innovative technology, our Immunogram multimodal analysis platform and our Cancer Immune Atlas dedicated database. </w:t>
      </w:r>
      <w:r>
        <w:rPr>
          <w:rFonts w:ascii="Times New Roman;sans-serif" w:hAnsi="Times New Roman;sans-serif"/>
          <w:b w:val="false"/>
          <w:color w:val="000000"/>
          <w:sz w:val="20"/>
        </w:rPr>
        <w:t xml:space="preserve">Immunogram, our multi-modal platform, provides a comprehensive understanding of the tumor immune microenvironment by seamlessly integrating data from a variety of genomic, transcriptomic, and proteomic platforms. </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deploy our know-how in IVD test development to develop and manufacture such tests for other diagnostic companies in indications that are noncompetitive to Veracyte. </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Leveraging Data Across the Business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developing and commercializing our tests, we assemble and curate large amounts of data and clinical information that can be leveraged to advance biopharmaceutical partnerships, KOL research, and new product development. Following the acquisitions of Decipher Bioscience and HalioDx, we have more than 350,000 total patient molecular profiles, derived primarily from whole transcriptome and spatial immunohistochemistry. Our data assets and biorepositories may include RNA, DNA, variant, fusion and other genomic data, immune-response data, and well-curated clinical, radiological, outcome and other information. </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continuation of the COVID-19 outbreak and its recent escalations due to the Delta and Omicron variants has impacted our test volumes. Our customers, third-party contract manufacturers, carriers, suppliers and collaboration partners have been affected by the closure of hospitals, doctors' offices, manufacturing sites, or country borders, among other measures put in place around the world. Layoffs, furloughs and unplanned loss of staff (due to vaccination status or other reasons)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Decipher Prostate test has been least impacted by the pandemic because our customers are mostly community-based urology practices, which generally remain more accessible to patients and our sales reps. Our Afirma thyroid cancer test has been impacted by COVID-19 because a majority of our samples come from hospital-based settings, which are less accessible to patients and our reps. We believe our pulmonology business continues to be most impacted since the bronchoscopy procedures used to collect samples for our Percepta and Envisia tests are considered elective procedures and are performed in hospital settings, which continue to be more restrictive, and these tests are ordered by pulmonologists who are currently largely preoccupied with caring for COVID-19 patients.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rapid increase in daily COVID-19 testing consumes reagents and supplies otherwise available to diagnostic testing companies like ours across the United States. When not limited by the expiration date of products and when we feel it reasonable and feasible to do so, we are taking steps to manage our level of stock reserves, to develop alternative sources of supply and to implement procedures to mitigate the impact on our supply chain and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of the impact of COVID-19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and the impact to our sales and renewal cycles. See Risk Factors for further discussion of the possible impact of the COVID-19 pandemic on our business.</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Reimbursement</w:t>
      </w:r>
    </w:p>
    <w:p>
      <w:pPr>
        <w:pStyle w:val="TextBody"/>
        <w:spacing w:lineRule="auto" w:line="268" w:before="180" w:after="180"/>
        <w:jc w:val="both"/>
        <w:rPr/>
      </w:pPr>
      <w:r>
        <w:rPr>
          <w:rFonts w:ascii="Times New Roman;sans-serif" w:hAnsi="Times New Roman;sans-serif"/>
          <w:b w:val="false"/>
          <w:i/>
          <w:color w:val="000000"/>
          <w:sz w:val="20"/>
        </w:rPr>
        <w:t>United States</w:t>
      </w:r>
      <w:r>
        <w:rPr>
          <w:color w:val="000000"/>
        </w:rPr>
        <w:t xml:space="preserve"> </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tests comes from several sources, including commercial third-party payers, such as insurance companies and health maintenance organizations, government payers, such as Medicare and Medicaid, and patients.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Medicare generally covers molecular diagnostic tests through the individual Medicare Administrative Contracts, or MACs. Medicare coverage for most of Veracyte’s tests is determined through the MolDX program, administered by the MAC Palmetto GBA. Through Local Coverage Determinations, or LCDs, and associated coverage articles, MolDX covers Afirma-GSC, Percepta-GSC, Envisia, Decipher Prostate, Decipher Bladder, and Prosigna. For testing services that do not fall within the scope of the MolDX program, coverage may be adjudicated by the MAC with jurisdiction over the laboratory that performs the test, either via an LCD or on a claim-by-claim basis.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Since 1984, Medicare has paid for clinical diagnostic laboratory tests, or CDLTs, on the Clinical Laboratory Fee Schedule, or CLFS, under section 1833(h) of the Social Security Act, or the SSA. Section 216(a) of the Protecting Access to Medicare Act of 2014, or PAMA, made extensive revisions to the Medicare CLFS coding, rate setting processes, and laboratory payment reporting for CDLTs, and created a new subcategory of CDLTs called Advanced Diagnostic Laboratory Tests, or ADLTs, with separate reporting and payment requirements.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2016, CMS issued the final rule to implement the requirements of PAMA, which significantly revised the Medicare payment system for CDLTs. The final rule was implemented on January 1, 2018, for the private payer rate-based fee schedule required by PAMA. Under the final rule, for CDLTs furnished on or after January 1, 2018, the amount Medicare pays is equal to the weighted median of private payer rates for the CDLTs, reported triennially for CDLTs, and annually for ADLTs. Congress has extended the first payment cycle under PAMA by an additional three years for CDLTs, moving the next data reporting period under PAMA from 2020 to 2023 for final private payer payments made between January 1 and June 30, 2019, extending the applicability of the payment rates that took effect in 2018 through December 31, 2023.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submit claims to payers directly using unique American Medical Association Current Procedural Terminology, or CPT, codes when they exist for our products and services and use either miscellaneous or common CPT codes for non-proprietary testing services or when unique codes do not exist. Third-party payers, including Medicare, have specific and often complex billing rules, failure to abide by which may result in denials, audits, and/or refund requests. We work with commercial payers to establish medical coverage policies for our tests and services, negotiate network status and contracted rates. Payment from third-party payers differs depending on whether we have entered into a contract with the payers as a “contracted provider” or do not have a contract and are considered a “non-contracted provider.” Payers will often reimburse non-contracted providers, if at all, at a lower rate than contracted providers.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we contract to serve as a contracted provider, reimbursements are made pursuant to a negotiated fee schedule and are limited to only covered indications. Becoming a contracted provider generally results in higher reimbursement for covered indications and lack of reimbursement for non-covered indications. As a result, the impact of becoming a contracted provider with a specific payer will vary.</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third party payers may request audits of the amounts paid to us. This may require us to repay certain amounts to payers as a result of such audits.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impact reimbursement:</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Variability in medical policies indicating coverage for our products and services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Network status and claims adjudication as in-network or out of network and corresponding patient co-pay/coinsurance responsibilities</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Patient financial assistance programs</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Changes to AMA-CPT coding rules and edits</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Medicare clinical laboratory and physician fee schedules</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 xml:space="preserve">Government sequestration </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Medicaid fee schedules</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Contracted rates for our diagnostics</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Utilization management or prior authorization processes and steps put in place by commercial payers ensuring medical necessity of services ordered for patients</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Billing errors</w:t>
      </w:r>
    </w:p>
    <w:p>
      <w:pPr>
        <w:pStyle w:val="TextBody"/>
        <w:spacing w:lineRule="auto" w:line="268" w:before="0" w:after="60"/>
        <w:ind w:left="0" w:right="0" w:hanging="360"/>
        <w:jc w:val="both"/>
        <w:rPr/>
      </w:pPr>
      <w:r>
        <w:rPr>
          <w:color w:val="000000"/>
        </w:rPr>
        <w:t>•</w:t>
      </w:r>
      <w:r>
        <w:rPr>
          <w:rFonts w:ascii="Times New Roman;sans-serif" w:hAnsi="Times New Roman;sans-serif"/>
          <w:b w:val="false"/>
          <w:color w:val="000000"/>
          <w:sz w:val="20"/>
        </w:rPr>
        <w:t>Claims disputes</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2020, and 2019, respectively, revenue was represented by the indicated percent for each payer: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Medicare accounted for 30%, 24% and 26% of our revenue. Medicaid accounted for 2%, 2%, and 2% of our revenue. Private commercial payers accounted for 54%, 61%, and 61% of our revenue. </w:t>
      </w:r>
    </w:p>
    <w:p>
      <w:pPr>
        <w:pStyle w:val="TextBody"/>
        <w:spacing w:lineRule="auto" w:line="256" w:before="0" w:after="120"/>
        <w:jc w:val="both"/>
        <w:rPr/>
      </w:pPr>
      <w:r>
        <w:rPr>
          <w:rFonts w:ascii="Times New Roman;sans-serif" w:hAnsi="Times New Roman;sans-serif"/>
          <w:b w:val="false"/>
          <w:i/>
          <w:color w:val="000000"/>
          <w:sz w:val="20"/>
        </w:rPr>
        <w:t>Outside the United States</w:t>
      </w:r>
      <w:r>
        <w:rPr>
          <w:color w:val="000000"/>
        </w:rPr>
        <w:t xml:space="preserve">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United States, we bill hospital and laboratory customers directly for test kits they order, which currently consist of Prosigna test kits. Our customers subsequently bill third-party payers for reimbursement. Prosigna test marketing has initially targeted private and cash-pay markets in Europe. We will continue to drive reimbursement efforts in Europe and other global markets through the development of clinical and other evidence to support Prosigna’s inclusion in guidelines and coverage programs. The test is currently reimbursed in Germany, Spain, Sweden, Denmark, Switzerland, the United Kingdom and Israel.</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 acceptance and knowledge of the importance of earlier screening and diagnostic testing linked with improved patient outcomes and therapy selection is leading to more companies developing genomic testing services and technologies. Our main competition from diagnostic companies or academic institutions are those that use next generation sequencing technology or other methods to measure genomic biomarkers in disease areas addressed by our tests.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Primary competition in the broader test space comes from traditional methods used by physicians to diagnose and manage patient care decisions. Many of the traditional practices have been the standard of care in the United States for many years, and we need to continue to educate physicians about the benefits of Veracyte’s tests, which have the potential to change clinical practice and improve patient outcomes.</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competition from commercial laboratories, such as Laboratory Corporation of America Holdings and Sonic Healthcare USA, with strong infrastructure to support the commercialization of diagnostic services. 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key factors contributing to our success in the market include our scientific and technological excellence, evidence of clinical differentiation, strong KOL support and payer coverage policies for our tests. We believe our strength across these areas form a barrier to entry and a competitive advantage. However, our competitive landscape may change over the next few years as new competitors enter the market and we cannot assure we will continue to compete effectively. As we add new tests and services, we will face many of these same competitive risks for these new tests as well.</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Patents and Proprietary Technology</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apply for and in-license patents covering our products and technologies and uses thereof, as we deem appropriate, however we may fail to apply for patents on important products and technologies in a timely fashion or at all, or we may fail to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apply for patents in potentially relevant jurisdictions. Certain of our issued patents expire between 2021 and 2038 and are related to methods used in the Afirma thyroid diagnostic platform, Decipher urologic cancers diagnostics, lung diagnostics, breast cancer diagnostics, and the nCounter Analysis System, as well as Immunoscore immuno-oncology diagnostics.</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hold registered trademarks in the United States for "Veracyte," "Afirma," "Percepta," "Envisia," "Prosigna," “HalioDx,” “Decipher,” “Decipher GRID,” Immunoscore,” TMExplore,” “Brightplex,” “Immunosign,” "Know By Design," the Afirma logo, and the current and former Veracyte logos, and we have common law rights and pending trademark applications for "LymphMark" and “More About You.” We also hold registered trademarks in various jurisdictions outside of the United States.</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 Historically, the cost of compliance for these safety laws and regulations related to the protection of the environment has not materially impacted our operations. There were no material capital expenditures related to environmental compliance in the year ended December 31, 2021. Similarly, we do not anticipate any significant expenditures for the year ended December 31, 2022.</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Raw Materials and Suppliers</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procure reagents, equipment, and other materials that we use to perform our tests from sole suppliers.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if materials become unavailable due to COVID-19 related increases in demand for the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pStyle w:val="TextBody"/>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party to lawsuits in the ordinary course of business. We are currently not a party to any material legal proceedings.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Clinical Laboratory Improvement Amendments of 1988, or CLIA</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clinical reference laboratory, we are required to hold certain federal, state and local licenses, certifications and permits to conduct our business. We are subject to CLIA, a federal law that regulates clinical laboratories that test specimens derived from humans for the purpose of providing information for the diagnosis, prevention or treatment of disease. Under CLIA, which is administered by the Centers for Medicare and Medicaid Services, or CMS, we are required to hold a certificate applicable to the type of laboratory examinations and tests we perform and to comply with standards covering personnel qualifications, facilities administration, quality systems, inspections, and proficiency testing. We must maintain CLIA compliance and certification to sell our tests and be eligible to bill state and federal healthcare programs, as well as many private third-party payers.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If we were to be found out of compliance with CLIA requirements and subjected to sanctions, our business could be harmed.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held CLIA certifications to perform testing at our South San Francisco and San Diego, California; Richmond, Virginia; Austin, Texas; and Marseille, France laboratory locations. To renew our CLIA certificates, we are subject to survey and inspection every two years to assess compliance with program standards. Moreover, CLIA inspectors may conduct random inspections of our clinical reference laboratories. If we in the future fail to maintain CLIA certificates in our laboratory locations, we would be unable to bill for services provided by state and federal healthcare programs, as well as many private third-party payers, which may have an adverse effect on our business, financial condition and results of operations.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State Laboratory Licensing</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California Laboratory Licensing</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federal certification requirements of laboratories under CLIA, licensure is required and maintained for our South San Francisco and San Diego, California and Richmond, Virginia clinical reference laboratories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our clinical reference laboratories are out of compliance with California standards, the California Department of Public Health, or CDPH, may suspend, restrict or revoke our license to operate our clinical reference laboratories, assess substantial civil money penalties, or impose specific corrective action plans. Any such actions could materially affect our business. We maintain current licenses in good standing with CDPH. However, we cannot provide assurance that CDPH will at all times in the future find us to be in compliance with all such laws.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New York Laboratory Licensing</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clinical reference laboratories are required to be licensed by New York, under New York laws and regulations before we receive specimens from New York. The New York laws and regulations establish standards for:</w:t>
      </w:r>
    </w:p>
    <w:p>
      <w:pPr>
        <w:pStyle w:val="TextBody"/>
        <w:spacing w:before="0" w:after="0"/>
        <w:ind w:left="0" w:right="0" w:firstLine="720"/>
        <w:jc w:val="both"/>
        <w:rPr/>
      </w:pPr>
      <w:r>
        <w:rPr/>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quality management systems;</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qualifications, responsibilities, and training;</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facility design and resource management;</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pre-analytic, analytic (including validation and quality control), and post-analytic systems; and</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quality assessments and improvements.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York law also mandates proficiency testing for laboratories licensed under New York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laboratory developed tests before the test is offered in New York; approval has been received for the Afirma GSC, Envisia,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Percepta classifier, Decipher Prostate and Decipher Bladder tests, and is being sought for Immunoscore. Should we be found out of compliance with New York laboratory standards of practice, we could be subject to such sanctions, which could harm our business. We maintain a current license in good standing with NYSDOH for our South San Francisco and San Diego, California and Austin, Texas laboratories. We cannot provide assurance that the NYSDOH will at all times find us to be in compliance with applicable laws.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States' Laboratory Licensing</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New York and California, other states require licensing of in-state and out-of-state laboratories under certain circumstances. For example, Pennsylvania, Maryland and Rhode Island require licenses to test specimens from patients in those states. We have obtained licenses from states where we believe we are required to be licensed and believe we are in compliance with applicable licensing laws.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aware of other states that require in-state or out-of-state laboratories to obtain licensure in order to accept specimens from, or conduct laboratory operations in, the state, and it is possible that other states will have such requirements in the future. If we identify any other state with such requirements or if we are contacted by any other state advising us of such requirements, we intend to comply with such requirements.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United States Regulation of Laboratory Testing</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Food and Drug Administration: In Vitro Diagnostics and Diagnostic Kits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IVDs and diagnostic kits, including collection systems that are sold and distributed in the United States, are regulated as medical devices by the FDA. Devices subject to FDA regulation must undergo premarket review prior to commercialization unless exempt from such review. In addition, manufacturers of medical devices must comply with various regulatory requirements under the Federal Food, Drug, and Cosmetic Act, or FDC Act, and implementing regulations promulgated thereunder. Entities that fail to comply with FDA requirements may be subject to, among other things, issuance of inspectional observations on Form FDA-483, untitled or warning letters, recalls, import detentions, seizures, or injunctions, including orders to cease manufacturing, and can be liable for civil money penalties or criminal prosecution.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FDC Act sets forth the classifications of medical devices into one of three categories based on the risks associated with the device and prescribes the levels of controls appropriate for each of the three classes to help ensure reasonable assurance of safety and effectiveness. Class I devices are considered to be low risk and are generally exempt from FDA premarket notification requirements. Class I devices are subject to general regulatory controls. When general controls are considered insufficient to provide reasonable assurance of safety and effectiveness, but there is sufficient information to establish special controls to provide such assurance, FDA will classify the device as a Class II device. Unless exempt, for Class II devices, the FDC Act requires the submission to FDA of a premarket notification, referred to as a “510(k),” which must provide data and information showing that the device is substantially equivalent to an already legally marketed device, referred to as a predicate device, with respect to the indications for use and the product’s technological characteristics. If the data and information are sufficient to show that the device is substantially equivalent to the predicate device, FDA issues a Substantially Equivalent letter clearing the device for marketing.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there is insufficient information to support classifying a device into Class I or Class II and the device is life-sustaining or life-supporting or is substantially important in preventing impairment of human health or presents a potential unreasonable risk of illness or injury, FDA places the device into Class III. Class III devices are considered the highest risk devices and generally require significant data and information, including testing data and data from nonclinical and clinical studies, to provide reasonable assurance of the device's safety and effectiveness. For Class III devices, FDA requires the submission and FDA approval of a premarket application, or PMA, before they can be marketed.</w:t>
      </w:r>
    </w:p>
    <w:p>
      <w:pPr>
        <w:pStyle w:val="TextBody"/>
        <w:spacing w:before="0" w:after="0"/>
        <w:ind w:left="0" w:right="0" w:firstLine="45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Certain devices are classified as Class III devices automatically, by operation of law, when the device does not have a predicate device or is found to not be substantially equivalent to a predicate device. If there is sufficient evidence to show that the device is a lower risk device, a manufacturer may ask FDA to reclassify the device into Class II or Class I by submitting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request. When FDA reclassifies a device through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process, other manufacturers of the same device type do not necessarily have to submit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or a PMA in order to legally market the device. Instead, manufacturers can submit a 510(k), unless the device has been classified as 510(k)-exempt, to legally market their device, because the device that was the subject of the original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can serve as a predicate device for a substantial equivalence determination. If FDA does not issue an order granting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for reclassification, the device will remain a Class III device and be subject to PMA requirements to obtain marketing authorization.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Establishments that manufacture or, in certain situations, distribute FDA-related medical devices, including manufacturers, repackagers and relabelers, specification developers, and initial importers, are required to register and list their devices with the FDA, including payment of annual user fees.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Devices that may be legally marketed are subject to numerous regulatory requirements. These include: good manufacturing practice for medical devices as set out in the Quality System Regulation, or QSR, labeling regulations, restrictions on promotion and advertising, the Medical Device Reporting regulation, or MDR (which requires manufacturers to report certain adverse events and product malfunctions to the FDA), and the Reports of Corrections and Removals regulation (which requires manufacturers to report certain field actions to the FDA). Certain corrections and market removals may also be subject to FDA’s recall regulation and procedures.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destroyed or used effectively for diagnostic examination. A specimen transport and storage container is classified as a Class I exempt device, which means that the device is exempt from the 510(k) premarket notification requirement and, if not labeled or otherwise represented as sterile, the QSR, except for recordkeeping and complaint handling requirements. These 510(k) exempt devices are still subject to general controls, including MDR requirements, the reporting of corrections and removals, and establishment registration and product listing.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our FDA registration, we have listed the containers we provide for collection and transport of Afirma GEC or GSC and Percepta samples from a physician to our clinical reference laboratory as Class I devices in accordance with the classification of regulation for the specimen transport and storage container. We also plan to list our sample collection containers for Envisia samples with the FDA as Class I devices. If the FDA were to determine that our sample collection containers are not Class I devices, we may be required to file 510(k) premarket notifications and obtain FDA clearance to manufacture and market the containers, which could be time consuming and expensive.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pStyle w:val="TextBody"/>
        <w:spacing w:before="0" w:after="0"/>
        <w:ind w:left="0" w:right="0" w:firstLine="720"/>
        <w:jc w:val="both"/>
        <w:rPr/>
      </w:pPr>
      <w:r>
        <w:rPr/>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fines, injunctions, and civil money penalties;</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recall or seizure of products;</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operating restrictions, partial suspension or total shutdown of production; and</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criminal prosecution.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Federal Oversight of Laboratory Developed Tests and Research Use Only Products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Clinical laboratory tests like our proprietary genomic tests are regulated under CLIA, as administered by CMS, as well as by applicable state laws. Clinical laboratory tests that are developed and run within a single CLIA-certified laboratory are referred to as laboratory developed tests, or LDTs, by the FDA. Currently, the FDA believes these tests meet the definition of a device under the FDC Act and that it has the authority to regulate them; however, the FDA is continuing to exercise enforcement discretion for LDTs, meaning the FDA is not currently enforcing the device regulations that the FDA would apply to such tests, although the FDA may continue to enforce device regulations with respect to certain reagents, instruments, software or components provided by third parties and used to perform LDTs. We believe that the Afirma, Percepta and Envisia classifiers have been developed and are performed in a manner consistent with the FDA’s enforcement discretion policy. In October 2014, the FDA published a draft guidance document proposing a framework for the regulation of LDTs. In November 2016, the FDA announced that it would not finalize guidance and would instead work with the new Administration, Congress and stakeholders on an updated framework. In January 2017, the FDA issued a discussion paper on LDTs in which it synthesized stakeholder feedback and outlined a substantially revised "possible approach" to the oversight of LDTs, which did not represent a formal position of the FDA, and is not enforceable. In a December 2018 statement, the FDA said that there is a need for “a unified approach to the regulation of in vitro clinical tests to protect patient safety, support innovation, and keep pace with the rapidly evolving technology that’s helping us find new treatments for disease,” and listed key principles of an approach it would support.</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materials we use for our tests and that we may use for future tests are IVD products intended and labeled for research use only, or RUO, or investigational use only, or IUO. An RUO product cannot be used for any human clinical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purpose and must be labeled "For Research Use Only. Not for use in diagnostic procedures." RUOs are a separate regulatory category and include IVD devices that are in the laboratory research phase of development. They are therefore not subject to most FDA regulatory requirements, so long as they are properly labeled and used in accordance with such labeling. RUOs cannot be marketed with any claims, or in a manner indicating, that the device is safe, effective, or has diagnostic utility, or is intended for human clinical diagnostic or prognostic use. In November 2013, the FDA issued final guidance titled “Distribution of In Vitro Diagnostic Products Labeled for Research Use Only or Investigational Use Only” regarding the distribution, use, and labeling of IVD products labeled RUO or IUO. The FDA has advised that if evidence demonstrates that a product is inappropriately labeled for research or investigational use only, the device would be considered misbranded and adulterated within the meaning of the FDC Act. In the guidance, the FDA stated that the manufacturer’s objective intent for an RUO or IUO product’s intended use will be determined by examining the totality of circumstances, including advertising, instructions for clinical interpretation, presentations that describe clinical use, and specialized technical support, surrounding the distribution of the product in question.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ultimate form or impact of any such RUO/IUO, LDT or other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provide any assurance that FDA premarket review or other requirements will not be imposed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including the Verifying Accurate Leading-edge IVCT Development (VALID) Act of 2018 in December 2018, the most recent version of which was released in June 2021,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tests or to develop and introduce new tests.</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If premarket review, clearance, or approval is required for the tests that we market as LDTs, our business could be negatively affected until such review is completed and clearance or approval to market is obtained, and the FDA could require that we stop selling our tests pending premarket clearance or approval. If our tests are allowed to remain on the market but there is uncertainty about the legal status of our services, if we are required by the FDA to label them investigational, or if the FDA limits the use and corresponding labeling claims, order levels may decline, and reimbursement may be adversely affected. The regulatory process may involve, among other things, successfully completing additional clinical studies and submitting to the FDA a premarket notification to obtain clearance or submitting a </w:t>
      </w:r>
      <w:r>
        <w:rPr>
          <w:rFonts w:ascii="Times New Roman;sans-serif" w:hAnsi="Times New Roman;sans-serif"/>
          <w:b w:val="false"/>
          <w:i/>
          <w:color w:val="000000"/>
          <w:sz w:val="20"/>
        </w:rPr>
        <w:t xml:space="preserve">De Novo </w:t>
      </w:r>
      <w:r>
        <w:rPr>
          <w:rFonts w:ascii="Times New Roman;sans-serif" w:hAnsi="Times New Roman;sans-serif"/>
          <w:b w:val="false"/>
          <w:color w:val="000000"/>
          <w:sz w:val="20"/>
        </w:rPr>
        <w:t>classification request or PMA to obtain approval to market the device. If clearance or approval is required by the FDA, there can be no assurance that our tests will be cleared or approved on a timely basis, if at all, nor can there be any assurance that approved labeling claims or labeling claims subject to cleared indications for use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to obtain marketing clearance or approval if we determine that doing so would be appropriate.</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European Union Regulation of Laboratory Testing</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Directive 98/79/EC</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European Union, or EU, IVDs are currently regulated under EU-Directive 98/79/EC, or the IVDD, and corresponding national provisions.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IVDD requires that IVDs meet certain essential requirements, which are set out in an annex of the IVDD. To demonstrate compliance with the essential requirements, IVDs must undergo a conformity assessment procedure. As a general rule, demonstration of conformity of IVDs and their manufacturers with the essential requirements must be based, among other things, on the evaluation of clinical data supporting the safety and performance of the products during normal conditions of use.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IVDs must bear the CE marking of conformity when they are placed on the market, unless a specific exemption applies. Compliance with the IVDD essential requirements is a prerequisite for a manufacturer to be able to affix a CE mark, which is a declaration by the manufacturer that the IVD meets all the appropriate requirements under the IVDD and corresponding national provisions, as applicable.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IVDD, for most IVDs manufacturers can “self-declare” the conformity of their IVDs with the essential requirements of the IVDD. For some types of IVDs listed in Annex II of the IVDD, a conformity assessment procedure requires the intervention of a notified body. Notified regulatory bodies are independent organizations designated by Member States to assess the conformity with the essential requirements of medical devices, including IVDs when required, before a CE mark is affixed to the device and the device is placed on the market. The notified body would typically audit and examine the device’s technical file and the manufacturer’s quality system, though conformity with the relevant harmonized standards – which is ISO 13485:2016 for Quality Management Systems – can be used to demonstrate compliance with these requirements. If satisfied that the IVD conforms to the relevant essential requirements, the notified body issues a certificate of conformity, which the manufacturer uses as a basis for its own declaration of conformity.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 Vitro Diagnostic Medical Device Regulations (2017/746)</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 regulatory landscape concerning medical devices and IVDs is significantly changing. The IVDD is due to be replaced with the full implementation of the In Vitro Diagnostic Medical Device Regulations (2017/746), or IVDR, in the EU from 26 May 2022. This is, however, subject to relevant transitional periods.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main aims of the IVDR are to standardize diagnostic procedures throughout the EU, increase reliability of diagnostic analysis and enhance patient safety. As such, IVDs will be subject to additional regulatory scrutiny once the IVDR has come into force fully.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IVDR introduces a rule-based classification system, whereby IVDs must be classified into one of four classes: A, B, C or D. Class A is the lowest risk, and Class D is the highest. These take into account the intended purpose of the IVD and its inherent risks. The IVDR also introduces new requirements for conformity assessments. In particular, substantially more IVDs will require the involvement of a notified body to be able to affix a CE mark to the IVD. In addition, under the IVDR there will be a greater emphasis on post-market surveillance and submission of post-market performance follow-up reports.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LDTs, or in-house tests, are not currently regulated by the IVDD. However, the IVDR sets out a number of provisions that apply to such tests, and requirements that must be met in order to be able to place the test on the market in the EU without obtaining a CE mark. The IVDR also introduces a new classification system for companion diagnostics which are now specifically defined. Companion diagnostics will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IVDs with existing valid notified body-issued CE certificates may currently continue to place those devices on the market (if unchanged) until 27 May 2024 or until their certificate expires, whichever occurs first. However, it is estimated that 80-90% of IVDs will not qualify for this grace period because they are self-certified under the IVDD but will require the involvement of a notified body to obtain a CE mark and demonstrate compliance with the IVDR. Due to the lack of capacity on the part of EU notified regulatory bodies to deal with the volume of IVDs requiring their input, the EU institutions are currently finalizing amendments to the transitional provisions applicable to certain products. This will mean that where such transitional provisions apply, IVDs can continue to be placed on the market under the IVDD for a certain period of time. The applicable amended transitional periods will be based on the risk class of the IVD, with higher risk IVDs needing to be fully compliant with the IVDR in a shorter time period than lower risk IVDs.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United Kingdom, or UK, Regulation of Laboratory Testing</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UK’s departure from the EU, the IVDR will not be implemented in Great Britain (England, Scotland and Wales). The previous UK legislation that implemented the IVDD, the Medical Devices Regulations 2002 (SI 2002 No 618, as amended), or the 2002 Regulations, remains applicable. As such, the regulatory regime for IVDs in Great Britain will continue to be based on the requirements derived from the IVDD, though the UK is currently conducting a consultation on the medical device and IVD regime, including whether to align with the IVDR going forward.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January 1, 2021, new regulations require medical devices and IVDs to be registered with the Medicines and Healthcare products Regulatory Agency, or MHRA, before being placed on Great Britain market (but manufacturers were given a grace period of four to 12 months to comply with the new registration process). The MHRA will only register devices where the manufacturer or their UK Responsible Person has a registered place of business in the UK. As such, manufacturers based outside the UK will need to appoint a UK Responsible Person that has a registered place of business in the UK to register devices with the MHRA in line with the grace periods.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new route to market and accompanying mark, the UKCA, has been introduced to enable manufacturers to place medical devices and IVDs on the market in Great Britain. The requirements for this route to market are based on the requirements derived from EU law as currently implemented in the UK. CE marks and certificates issued by EU-designated notified regulatory bodies will continue to be valid for the Great Britain market until June 30, 2023. For medical devices, including IVDs, placed on the market in Great Britain after this period, the UKCA marking will be mandatory. In contrast, UKCA marking and certificates issued by UK notified regulatory bodies are not recognized on the EU market.</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position in Northern Ireland is different to Great Britain. The rules for placing medical devices and IVDs on the Northern Ireland market align with the rules in the EU and, as such, the IVDR will apply in Northern Ireland and will take effect in accordance with EU timeframes and transitional periods. Therefore, devices marketed in Northern Ireland will require assessment according to the EU regulatory regime. Such assessment may be conducted by an EU notified body, in which case a CE mark will be required before placing the device on the market in the EU or Northern Ireland. Alternatively, if a UK notified body conducts such assessment, a “UKNI” mark will be applied, and the device may only be placed on the market in Northern Ireland and not the EU.</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Privacy and Fraud and Abuse Compliance</w:t>
      </w:r>
    </w:p>
    <w:p>
      <w:pPr>
        <w:pStyle w:val="TextBody"/>
        <w:spacing w:before="0" w:after="0"/>
        <w:ind w:left="0" w:right="0" w:firstLine="450"/>
        <w:jc w:val="both"/>
        <w:rPr/>
      </w:pPr>
      <w:r>
        <w:rPr/>
      </w:r>
    </w:p>
    <w:p>
      <w:pPr>
        <w:pStyle w:val="TextBody"/>
        <w:spacing w:lineRule="auto" w:line="276"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Health Insurance Portability and Accountability Act and State Data Privacy Laws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federal Health Insurance Portability and Accountability Act of 1996, or HIPAA, the U.S.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In 2009, Congress amended HIPAA through the Health Information Technology for Economic and Clinical Health Act, or HITECH. The implementing regulations of HIPAA, as amended by HITECH, were last modified in 2013 and resulted in significant changes to the privacy, security, breach notification, and enforcement requirements with which we must comply. Among these changes, covered entities are now vicariously liable for violations of HIPAA resulting from acts or omissions of their business associates where the business associate is an agent of the covered entity and was acting within the scope of its agency, regardless of whether the covered entity and business associate entered into a business associate agreement in compliance with HIPAA. Penalties for violations of HIPAA regulations include civil and criminal penalties.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implemented policies and procedures designed to comply with HIPAA’s privacy, security, and breach notification requirements. We may not use or disclose protected health information in any form, including electronic, written, or oral, in a manner that is not permitted under HIPAA, and we are required to implement security measures to ensure the confidentiality, integrity, and availability of the electronic protected health information that we create, receive, maintain, or transmit. While we have some flexibility in determining which security safeguards are reasonable and appropriate to implement for our operations, it nonetheless requires significant effort and expense to ensure continuing compliance with the HIPAA security rule. We are also required to comply with the administrative simplification standards under HIPAA when we conduct the electronic transactions regulated by HIPAA, including by using standard code sets and formats and standardized identifiers for health plans and providers. The requirements under HIPAA and its implementing regulations may change periodically and could have an effect on our business operations if compliance becomes substantially costlier than under current requirements.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federal privacy regulations, there are a number of state laws governing confidentiality of health information that are applicable to our business. In particular, we are subject to the California Confidentiality of Medical Information Act, which is similar to but in some ways more restrictive than the HIPAA regulations, and the California Consumer Privacy Act, or CCPA, which was enacted in California in 2018 and substantially amended thereafter, most significantly by a ballot initiative adopted in November 2020. The CCPA, among other things, requires covered companies to provide disclosures to California consumers concerning the collection and sale of personal information, and gives such consumers the right to opt-out of certain sales of personal information. The amendments to the CCPA that were adopted by ballot initiative include provisions creating a new category of “sensitive personal information” that is subject to more stringent protections than other personal information, and new requirements regarding sharing personal information for advertising purposes. In addition, the amendments established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new California Privacy Protection Agency, which has authority both to implement and enforce the CCPA. The new agency is currently drafting implementing regulations and is anticipated to be vigorous in its enforcement actions. At the same time, other states, including Colorado and Virginia, have enacted CCPA-like laws, and other states are expected to follow suit. Monitoring the development, enactment and implementation of these laws and regulations issued pursuant to them adds to our compliance costs and we face penalties if we fail to adopt comprehensive compliance measures, including documenting the steps we have taken to comply.</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EU and UK Data Protection Regime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processing of personal data, including patients’ personal health data, in the European Economic Area, or EEA, and the UK is governed by the General Data Protection Regulation, or the GDPR. The GDPR applies to any company established in the EEA and to companies established outside the EEA that process personal data in connection with the offering of goods or services to data subjects in the EEA or the monitoring of the behavior of data subjects in the EEA. The GDPR enhances data protection obligations for data controllers of personal data, including inter alia stringent requirements relating to lawful and legitimate basis and purposes for the processing of personal data, the consent of data subjects, expanded disclosures about how personal data is used, requirements to conduct privacy impact assessments for “high risk” processing, limitations on retention of personal data, appointment of data protection officers, conclusion of data processing agreements, mandatory data breach notification and “privacy by design” requirements, and creates direct obligations on service providers acting as data processors.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also imposes strict rules on the transfer of personal data outside of the EEA to countries that do not ensure an adequate level of protection, like the United States. Until recently, one such data transfer mechanism was the EU-US Privacy Shield, but the Privacy Shield was invalidated for international transfers of personal data in July 2020 by the Court of Justice of the European Union, or CJEU. The CJEU upheld the validity of standard contractual clauses, or SCCs, as a legal mechanism to transfer personal data but companies relying on SCCs will, subject to additional guidance from regulators in the EEA, need to evaluate and implement supplementary measures that provide privacy protections additional to those provided under SCCs. It remains to be seen whether SCCs will remain available and whether additional means for lawful data transfers will become available.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Privacy Laws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New laws governing privacy may be adopted in the future from time to time. We have taken steps to comply with health information privacy requirements to which we are aware that we are subject. For example, the Personal Information Protection Law, or PIPL, recently implemented in China, which broadly regulates the processing of personal information and imposes compliance obligations and penalties comparable to those of the GDPR.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Corporate Practice of Medicine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TCP, a Texas professional association, pursuant to services agreement between us and TCP. Pursuant to the agreement, we pay TCP a monthly fee on a per FNA basis, and TCP manages and supervises the pathologists who perform the cytopathology services as a component of the Afirma solution.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Federal and State Physician Self-Referral Prohibitions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federal physician self-referral prohibitions, commonly known as the Stark Law, and to similar restrictions under the self-referral prohibitions of certain states in which we operate, including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Both the Stark Law and PORA contain an exception for compensation paid to a physician for personal services rendered by the physician meeting certain contractual requirements.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Sanctions for a violation of the Stark Law include the following:</w:t>
      </w:r>
    </w:p>
    <w:p>
      <w:pPr>
        <w:pStyle w:val="TextBody"/>
        <w:spacing w:before="0" w:after="0"/>
        <w:ind w:left="0" w:right="0" w:firstLine="450"/>
        <w:jc w:val="both"/>
        <w:rPr/>
      </w:pPr>
      <w:r>
        <w:rPr/>
      </w:r>
    </w:p>
    <w:p>
      <w:pPr>
        <w:pStyle w:val="TextBody"/>
        <w:spacing w:lineRule="auto" w:line="288" w:before="0" w:after="0"/>
        <w:ind w:left="0" w:right="0" w:firstLine="180"/>
        <w:rPr/>
      </w:pPr>
      <w:r>
        <w:rPr>
          <w:color w:val="000000"/>
        </w:rPr>
        <w:t>•</w:t>
      </w:r>
      <w:r>
        <w:rPr>
          <w:rFonts w:ascii="Times New Roman;sans-serif" w:hAnsi="Times New Roman;sans-serif"/>
          <w:b w:val="false"/>
          <w:color w:val="000000"/>
          <w:sz w:val="20"/>
        </w:rPr>
        <w:t>denial of payment for the services provided in violation of the prohibition;</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refunds of amounts collected by an entity in violation of the Stark Law;</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a civil penalty of up to $15,000 for each service arising out of the prohibited referral;</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possible exclusion from federal healthcare programs, including Medicare and Medicaid; and</w:t>
      </w:r>
    </w:p>
    <w:p>
      <w:pPr>
        <w:pStyle w:val="TextBody"/>
        <w:spacing w:lineRule="auto" w:line="288" w:before="0" w:after="0"/>
        <w:ind w:left="0" w:right="0" w:firstLine="450"/>
        <w:rPr/>
      </w:pPr>
      <w:r>
        <w:rPr>
          <w:color w:val="000000"/>
        </w:rPr>
        <w:t>•</w:t>
      </w:r>
      <w:r>
        <w:rPr>
          <w:rFonts w:ascii="Times New Roman;sans-serif" w:hAnsi="Times New Roman;sans-serif"/>
          <w:b w:val="false"/>
          <w:color w:val="000000"/>
          <w:sz w:val="20"/>
        </w:rPr>
        <w:t>a civil penalty of up to $100,000 against parties that enter into a scheme to circumvent the Stark Law's prohibition.</w:t>
      </w:r>
    </w:p>
    <w:p>
      <w:pPr>
        <w:pStyle w:val="TextBody"/>
        <w:spacing w:before="0" w:after="0"/>
        <w:ind w:left="0" w:right="0" w:firstLine="72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 which prohibits knowingly presenting, or causing to be presented, a false, fictitious, or fraudulent claim for payment to the U.S. Government.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Federal and State Anti-Kickback Laws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Anti-kickback Statute makes it a felony for any person or entity, including a laboratory, to knowingly and willfully offer, pay, solicit or receive remuneration, directly or indirectly, in exchange for or to induce either the referral of an individual, or the furnishing, arranging for, or recommending of an item or service that is reimbursable, in whole or in part, by a federal health care program. A violation of the Anti-kickback Statute may result in imprisonment for up to ten years and criminal fines of up to $100,000. Convictions under the Anti-kickback Statute result in mandatory exclusion from federal health care programs for a minimum of five years. In addition, HHS has the authority to impose civil assessments and fines and to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exclude health care providers and others engaged in prohibited activities from Medicare, Medicaid and other federal health care programs. Actions which violate the Anti-kickback Statute can also lead to liability under the Federal False Claims Act, which prohibits, among other things, knowingly presenting, or causing to be presented, a false or fraudulent claim for payment to the U.S. Government.</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federal Anti-kickback Statute applies only to federal health care programs, a number of states, including California, have passed statutes substantially similar to the Anti-kickback Statute pursuant to which similar types of prohibitions are made applicable to all other health plans and third-party payers. California's fee-splitting and Anti-kickback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federal Anti-kickback Statute. A violation of Section 650 is punishable by imprisonment and fines of up to $50,000. A violation of Section 14107.2 is punishable by imprisonment and fines of up to $10,000.</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Statute, holding that the statute may be violated if merely one purpose of a payment arrangement is to induce or reward referrals or purchases.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includes statutory exceptions and provides for a number of regulatory safe harbors. If an arrangement meets the provisions of a safe harbor, it is deemed not to violate the Anti-kickback Statute. An arrangement must fully comply with each element of an applicable safe harbor in order to qualify for protection. Many state anti-kickback statutes have analogous exceptions or safe harbors to those of the federal Anti-kickback Statute. These state anti-kickback statutes have generally been interpreted consistently with the Anti-kickback Statute.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Statute. California does not have a discount safe harbor. However, as noted above, Section 650 has generally been interpreted consistent with the Anti-kickback Statute.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personal services safe harbor to the Anti-kickback Statute provides that remuneration paid for personal services will not violate the Anti-kickback Statute provided all of the elements of that safe harbor are met. Our personal services arrangements with some physicians and other parties may not meet each requirement of this safe harbor. Failure to meet the terms of this, or any other, safe harbor does not necessarily render an arrangement illegal. Rather, the government may evaluate such arrangements on a case-by-case basis under the language of the statute, taking into account all facts and circumstances.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we are in compliance with the Anti-kickback Statute, Section 650, and Section 14107.2, there can be no assurance that our relationships with physicians, academic institutions and other customers or parties will not be subject to investigation or challenge under such laws. If imposed for any reason, sanctions under the Anti-kickback Statute, Section 650, or Section 14107.2 could have a negative effect on our business.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Federal and State Fraud and Abuse Laws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 though the HHS’ Office of the Inspector General, or HHS-OIG, has provided some guidance on the topic.</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federal False Claims Act prohibits a person from knowingly presenting or causing to be presented a false or fraudulent claim to, making a false record or statement in order to secure payment from or retaining an overpayment by the federal government. In addition to actions initiated by the government itself, the statute authorizes actions to be brought on behalf of the federal government by a private party, known as a relator or commonly referred to as a whistleblower, having knowledge of the alleged fraud. Because the complaint is initially filed under seal, the action may be pending for some time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before the defendant is even made aware of the action. If the government is ultimately successful in obtaining redress in the matter or if the relator succeeds in obtaining redress without the government's involvement, then the relator will receive a percentage of the recovery. Finally, the Social Security Act includes its own provisions that prohibit the filing of false claims or submitting false statements in order to obtain payment. Violation of these provisions may result in up to treble damages, substantial civil penalties, fines, imprisonment or combination of the above,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in recent years U.S. Attorneys’ Offices have increased scrutiny of the healthcare industry, as have Congress, the Department of Justice, the HHS-OIG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October 2018, the Eliminating Kickbacks in Recovery Act of 2018, or EKRA, was enacted as part of the SUPPORT for Patients and Communities Act (P.L 115-271). This law prohibits the solicitation, receipt, payment or offering of any remuneration in return for referring a patient or patronage to a recovery home, clinical treatment facility, or laboratory for services covered by both government and private payers. EKRA also applies to the payment or offering of remuneration in exchange for an individual using the services of a recovery home, clinical treatment facility, or laboratory. To date, neither the Department of Justice nor HHS has issued guidance further interpreting or implementing EKRA.</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Finally, under the Protecting Access to Medicare Act of 2014, or PAMA, laboratories are required to report to CMS the private payer payment rates and test volumes paid by private payers based on final payments made during a specific “data collection period.” This data reporting requirement is triennial for most clinical diagnostic laboratory tests (annual for ADLTs), with the first data reporting period occurring in 2017 for final payments made in January through June 2016. The next data reporting period will be in 2023 for final payments made in January through June 2019. When reporting data under PAMA, the President, CEO, or CFO of a reporting entity, or an individual who has been delegated authority to sign for, and who reports directly to, such an officer, must sign the certification statement and be responsible for assuring that the data provided are accurate, complete, and truthful, and meets all the required reporting parameters. Failure to report or misrepresentation or omission in reporting can result in civil penalties of up to $10,000 per day for each violation and other penalties. We believe we are in compliance with the PAMA reporting requirements, but there can be no assurance that our reporting practices will not be scrutinized under the PAMA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International</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The IVDD and IVDR prohibit the offer of inducements, particularly financial, that might influence the judgement of notified regulatory bodies and their personnel to carry out their conformity assessment activities. The IVDD and IVDR do not address the question of inducements offered to healthcare professionals or other third parties, though Member States may implement their own national laws in this regard. For example, Sapin II is the French anti-corruption law, which imposes regulations to prevent and detect bribery and corruption through increased corporate transparency, reinforced internal monitoring, and enhanced whistleblower protection. In the UK, the 2002 Regulations do not address the question of inducements offered to healthcare professionals to prescribe, sell, supply or recommend use of a particular medical device or IVD or to offer the relevant device company any other benefit. These activities are, however, prohibited by the Bribery Act 2010, which provides general offenses relating to bribery and receiving a bribe.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largest medical device manufacturer’s industry association, MedTech Europe, issues a Code of Business Practice, or the MedTech Code, which is obligatory for its member associations and member companies, and regulates their interactions with the medical community and other stakeholders. The MedTech Code prevents member companies from offering and providing educational grants to individual health care providers with certain exceptions and has phased out the provision of financial or in-kind support directly to individual health care providers to cover costs for their attendance at third-party organized educational events (with the exception of procedure training). It also sets out transparency obligations with regard to all interactions with health care providers, in terms of notification to the health care provider’s superiors or relevant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health institutions before the interaction may take place, disclosure of payments (made as educational grants) and a centralized platform for the approval of conferences and other events.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situations involving physicians employed by state-funded institutions or national health care agencies, violation of the local anti-kickback law may also constitute a violation of the United States Foreign Corrupt Practices Act, or FCPA. 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standard of intent and knowledge in FCPA anti-bribery cases is minimal --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$250,000 and imprisonment for up to five years. Other countries, including other Organisation for Economic Co-operation and Development Anti-Bribery Convention members, have similar anti-corruption regulations.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Teams and Culture</w:t>
      </w:r>
    </w:p>
    <w:p>
      <w:pPr>
        <w:pStyle w:val="TextBody"/>
        <w:spacing w:before="0" w:after="0"/>
        <w:jc w:val="both"/>
        <w:rPr/>
      </w:pPr>
      <w:r>
        <w:rPr/>
      </w:r>
    </w:p>
    <w:p>
      <w:pPr>
        <w:pStyle w:val="TextBody"/>
        <w:spacing w:lineRule="auto" w:line="288" w:before="0" w:after="0"/>
        <w:ind w:left="0" w:right="0" w:firstLine="450"/>
        <w:jc w:val="both"/>
        <w:rPr/>
      </w:pPr>
      <w:r>
        <w:rPr>
          <w:rFonts w:ascii="Times New Roman;sans-serif" w:hAnsi="Times New Roman;sans-serif"/>
          <w:b w:val="false"/>
          <w:i/>
          <w:color w:val="000000"/>
          <w:sz w:val="20"/>
          <w:u w:val="single"/>
        </w:rPr>
        <w:t>Our People.</w:t>
      </w:r>
      <w:r>
        <w:rPr>
          <w:color w:val="000000"/>
        </w:rPr>
        <w:t xml:space="preserve"> </w:t>
      </w:r>
      <w:r>
        <w:rPr>
          <w:rFonts w:ascii="Times New Roman;sans-serif" w:hAnsi="Times New Roman;sans-serif"/>
          <w:b w:val="false"/>
          <w:color w:val="000000"/>
          <w:sz w:val="20"/>
        </w:rPr>
        <w:t>At December 31, 2021, we had 761 employees. None of our employees are the subject of collective bargaining arrangements, and our management considers its relationships with employees to be good.</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i/>
          <w:color w:val="000000"/>
          <w:sz w:val="20"/>
          <w:u w:val="single"/>
        </w:rPr>
        <w:t>Diversity, Inclusion, and Belonging.</w:t>
      </w:r>
      <w:r>
        <w:rPr>
          <w:color w:val="000000"/>
        </w:rPr>
        <w:t xml:space="preserve"> </w:t>
      </w:r>
      <w:r>
        <w:rPr>
          <w:rFonts w:ascii="Times New Roman;sans-serif" w:hAnsi="Times New Roman;sans-serif"/>
          <w:b w:val="false"/>
          <w:color w:val="000000"/>
          <w:sz w:val="20"/>
        </w:rPr>
        <w:t>The Company believes in an inclusive workforce, where diverse backgrounds are represented, engaged and empowered to inspire innovative ideas and decisions. Women comprise 57% of our employees, including half of our executive leadership team and 40% at the Vice President level and above in the United States, as of December 31, 2021. In addition, three of our nine Board of Directors, including our Executive Chairwoman, are women as of December 31, 2021. Additionally, as of December 31, 2021, 46% of our U.S. employees are non-White. We strive to further advance diversity among our employees and believe that the resulting range of employee ideas, experiences and perspectives strengthens our company.</w:t>
      </w:r>
    </w:p>
    <w:p>
      <w:pPr>
        <w:pStyle w:val="TextBody"/>
        <w:spacing w:before="0" w:after="0"/>
        <w:rPr/>
      </w:pPr>
      <w:r>
        <w:rPr/>
      </w:r>
    </w:p>
    <w:p>
      <w:pPr>
        <w:pStyle w:val="TextBody"/>
        <w:spacing w:lineRule="auto" w:line="288" w:before="0" w:after="0"/>
        <w:ind w:left="0" w:right="0" w:firstLine="4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COVID-19 pandemic, we have taken important steps to protect the health and safety of our employees and the broader community. These have included asking employees who were able to work from home to do so in order to protect employees who perform mission-critical work in our facilities; reconfiguring our workspaces and workshift scheduling to enable social distancing; requiring face masks to be worn inside our offices; and other initiatives.</w:t>
      </w:r>
    </w:p>
    <w:p>
      <w:pPr>
        <w:pStyle w:val="TextBody"/>
        <w:spacing w:before="0" w:after="0"/>
        <w:ind w:left="0" w:right="0" w:firstLine="440"/>
        <w:jc w:val="both"/>
        <w:rPr/>
      </w:pPr>
      <w:r>
        <w:rPr/>
      </w:r>
    </w:p>
    <w:p>
      <w:pPr>
        <w:pStyle w:val="TextBody"/>
        <w:spacing w:lineRule="auto" w:line="288" w:before="0" w:after="0"/>
        <w:ind w:left="0" w:right="0" w:firstLine="440"/>
        <w:jc w:val="both"/>
        <w:rPr>
          <w:rFonts w:ascii="Times New Roman;sans-serif" w:hAnsi="Times New Roman;sans-serif"/>
          <w:b w:val="false"/>
          <w:color w:val="000000"/>
          <w:sz w:val="20"/>
        </w:rPr>
      </w:pPr>
      <w:r>
        <w:rPr>
          <w:rFonts w:ascii="Times New Roman;sans-serif" w:hAnsi="Times New Roman;sans-serif"/>
          <w:b w:val="false"/>
          <w:color w:val="000000"/>
          <w:sz w:val="20"/>
        </w:rPr>
        <w:t>At Veracyte, we pride ourselves on our strong culture, which encourages collaboration and mutual respect, among other qualities. We were named a Bay Area “Top Workplace” by the Bay Area News Group in 2021, marking the seventh consecutive year in which we received this Bay Area News Service award, which is based solely on employee surveys.</w:t>
      </w:r>
    </w:p>
    <w:p>
      <w:pPr>
        <w:pStyle w:val="TextBody"/>
        <w:spacing w:before="0" w:after="0"/>
        <w:ind w:left="0" w:right="0" w:firstLine="44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 information</w:t>
      </w:r>
    </w:p>
    <w:p>
      <w:pPr>
        <w:pStyle w:val="TextBody"/>
        <w:spacing w:before="0" w:after="0"/>
        <w:rPr/>
      </w:pPr>
      <w:r>
        <w:rPr/>
      </w:r>
    </w:p>
    <w:p>
      <w:pPr>
        <w:pStyle w:val="TextBody"/>
        <w:spacing w:lineRule="auto" w:line="288" w:before="0" w:after="0"/>
        <w:ind w:left="0" w:right="0" w:firstLine="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phone telephone number is (650) 243-6300. We completed our initial public offering in October 2013, and our common stock is listed on The Nasdaq Global Market under the symbol “VCYT.” </w:t>
      </w:r>
    </w:p>
    <w:p>
      <w:pPr>
        <w:pStyle w:val="TextBody"/>
        <w:spacing w:before="0" w:after="0"/>
        <w:ind w:left="0" w:right="0" w:firstLine="44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4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www.veracyte.com. Through a link on the Investor Relations section of our website, we make available the following filings as soon as reasonably practicable after they are electronically filed with or furnished to the Securities and Exchange Commission (SEC): our Annual Report on Form 10-K, Quarterly Reports on Form 10-Q, Current Reports on Form 8-K and any amendments to those reports filed or furnished pursuant to Section 13(a) or 15(d) of the Exchange Act. All such filings are available free of charge. The information posted on our website is not incorporated into this report. The SEC maintains a website that contains reports, proxy and information statements and other information regarding our filings at www.sec.gov.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pStyle w:val="TextBody"/>
        <w:spacing w:before="0" w:after="0"/>
        <w:ind w:left="0" w:right="0" w:firstLine="450"/>
        <w:jc w:val="both"/>
        <w:rPr/>
      </w:pPr>
      <w:r>
        <w:rPr/>
      </w:r>
    </w:p>
    <w:p>
      <w:pPr>
        <w:pStyle w:val="TextBody"/>
        <w:spacing w:lineRule="auto" w:line="276" w:before="0" w:after="0"/>
        <w:ind w:left="0" w:right="0" w:firstLine="450"/>
        <w:jc w:val="both"/>
        <w:rPr/>
      </w:pPr>
      <w:r>
        <w:rPr>
          <w:rFonts w:ascii="Times New Roman;sans-serif" w:hAnsi="Times New Roman;sans-serif"/>
          <w:b w:val="false"/>
          <w:i/>
          <w:color w:val="000000"/>
          <w:sz w:val="20"/>
        </w:rPr>
        <w:t>Risks Related to Our Business</w:t>
      </w:r>
      <w:r>
        <w:rPr>
          <w:color w:val="000000"/>
        </w:rPr>
        <w:t xml:space="preserve"> </w:t>
      </w:r>
    </w:p>
    <w:p>
      <w:pPr>
        <w:pStyle w:val="TextBody"/>
        <w:spacing w:before="0" w:after="0"/>
        <w:ind w:left="0" w:right="0" w:firstLine="45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231F20"/>
          <w:sz w:val="20"/>
        </w:rPr>
        <w:t>We have a history of losses, and we expect to incur net losses for the foreseeable future and may never achieve or sustain profitability.</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231F20"/>
          <w:sz w:val="20"/>
        </w:rPr>
        <w:t>Our financial results currently depend mainly on sales of our Afirma and Decipher Prostate tests, and we will need to generate sufficient revenue from these and our other diagnostic tests to grow our business.</w:t>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If we are unable to grow sales of our portfolio of tests including Prosigna, Percepta, Envisia, Decipher Bladder and Immunoscore, our business may suffer.</w:t>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We depend on a few payers for a significant portion of our revenue and if one or more significant payers stops providing reimbursement or decreases the amount of reimbursement for our tests, our revenue could decline.</w:t>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We have estimated the sizes of the markets for our current and future products and services, and these markets may be different than we estimate.</w:t>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231F20"/>
          <w:sz w:val="20"/>
        </w:rPr>
        <w:t>We may experience limits on our revenue if physicians decide not to order our tests or if patients decide not to use our tests.</w:t>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If we fail to comply with federal, state and foreign licensing requirements, we could lose the ability to perform our tests or experience disruptions to our business.</w:t>
      </w:r>
      <w:r>
        <w:rPr>
          <w:color w:val="000000"/>
        </w:rPr>
        <w:t xml:space="preserve"> </w:t>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If our general strategy of seeking growth through acquisitions and collaborations is not successful, or if we do not successfully integrate companies or assets that we acquire into our business, our prospects and financial condition will suffer.</w:t>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 xml:space="preserve">Our future success and international growth depends, in part, on our ability to adapt and manufacture select tests to be performed on the nCounter Analysis System. </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231F20"/>
          <w:sz w:val="20"/>
        </w:rPr>
        <w:t>If we are not successful in advancing our biopharma collaborations, or if our general strategy of seeking growth through such collaborations is not successful, our prospects and financial condition will suffer.</w:t>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COVID-19 has had an adverse effect on our business, results of operations and financial condition.</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231F20"/>
          <w:sz w:val="20"/>
        </w:rPr>
        <w:t>We rely on sole suppliers for some of the reagents, equipment, and other materials used to perform our tests, and we may not be able to find replacements or transition to alternative suppliers.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231F20"/>
          <w:sz w:val="20"/>
        </w:rPr>
        <w:t>We depend on a specialized cytopathology practice to perform the cytopathology component of our Afirma test, and our ability to perform our diagnostic solution would be harmed if we were required to secure a replacement.</w:t>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231F20"/>
          <w:sz w:val="20"/>
        </w:rPr>
        <w:t>We may be unable to manage our future growth effectively, which could make it difficult to execute our business strategy.</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231F20"/>
          <w:sz w:val="20"/>
        </w:rPr>
        <w:t>If we are unable to support demand for our commercial tests, our business could suffer.</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231F20"/>
          <w:sz w:val="20"/>
        </w:rPr>
        <w:t>Changes in healthcare policy, including legislation reforming the U.S. healthcare system, may have a material adverse effect on our financial condition and operations.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231F20"/>
          <w:sz w:val="20"/>
        </w:rPr>
        <w:t>Because of Medicare billing rules, we may not receive reimbursement for all tests provided to Medicare patients.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If the FDA or foreign authorities were to begin regulating those of our tests that are not currently regulated, we could incur substantial costs and delays associated with trying to obtain premarket clearance, approval or certification.</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If we are unable to obtain marketing authorizations, approvals, clearances or certifications to market Prosigna in additional countries or if regulatory limitations are placed on our diagnostic kit products, our business and growth will be harmed.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We are subject to ongoing and increasingly extensive regulatory requirements, which may be subject to change, and our failure to comply with these requirements could substantially harm our business.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If we are unable to compete successfully, we may be unable to increase or sustain our revenue or achieve profitability.</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We have experienced significant changes in our senior management team, and the loss of one or more of our executive officers, or the inability to attract and retain highly-skilled employees or other key personnel could adversely affect our business.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Billing for our diagnostic tests is complex, and we must dedicate substantial time and resources to the billing process to be paid.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If our internal sales force is less successful than anticipated, our business expansion plans could suffer and our ability to generate revenues could be diminished. </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Developing new products involves a lengthy and complex process, and if we do not achieve our projected development and commercialization goals in the time frames we announce and expect, our business will suffer and our stock price may decline.</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International expansion of our business exposes us to business, personnel, regulatory, political, operational, financial, and economic risks associated with doing business outside of the United States.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Our operating results may be adversely affected by unfavorable economic and market conditions.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If we are unable to protect our intellectual property effectively, our business would be harmed. </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be involved in litigation related to intellectual property, which could be time-intensive and costly and may adversely affect our business, operating results or financial condition.</w:t>
      </w:r>
    </w:p>
    <w:p>
      <w:pPr>
        <w:pStyle w:val="TextBody"/>
        <w:spacing w:before="0" w:after="0"/>
        <w:ind w:left="0" w:right="0" w:firstLine="450"/>
        <w:jc w:val="both"/>
        <w:rPr/>
      </w:pPr>
      <w:r>
        <w:rPr/>
      </w:r>
    </w:p>
    <w:p>
      <w:pPr>
        <w:pStyle w:val="TextBody"/>
        <w:spacing w:lineRule="auto" w:line="276" w:before="0" w:after="0"/>
        <w:ind w:left="0" w:right="0" w:firstLine="450"/>
        <w:jc w:val="both"/>
        <w:rPr/>
      </w:pPr>
      <w:r>
        <w:rPr>
          <w:rFonts w:ascii="Times New Roman;sans-serif" w:hAnsi="Times New Roman;sans-serif"/>
          <w:b w:val="false"/>
          <w:i/>
          <w:color w:val="000000"/>
          <w:sz w:val="20"/>
        </w:rPr>
        <w:t>Risks Related to our Recent Acquisition</w:t>
      </w:r>
      <w:r>
        <w:rPr>
          <w:rFonts w:ascii="Times New Roman;sans-serif" w:hAnsi="Times New Roman;sans-serif"/>
          <w:b w:val="false"/>
          <w:color w:val="000000"/>
          <w:sz w:val="20"/>
        </w:rPr>
        <w:t>s</w:t>
      </w:r>
    </w:p>
    <w:p>
      <w:pPr>
        <w:pStyle w:val="TextBody"/>
        <w:spacing w:before="0" w:after="0"/>
        <w:ind w:left="0" w:right="0" w:firstLine="450"/>
        <w:jc w:val="both"/>
        <w:rPr/>
      </w:pPr>
      <w:r>
        <w:rPr/>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231F20"/>
          <w:sz w:val="20"/>
        </w:rPr>
        <w:t>The recently completed acquisitions of HalioDx and Decipher Biosciences each present risks and we must successfully integrate the HalioDx and Decipher Biosciences businesses to realize the financial goals that we currently anticipate.</w:t>
      </w:r>
    </w:p>
    <w:p>
      <w:pPr>
        <w:pStyle w:val="TextBody"/>
        <w:spacing w:before="0" w:after="0"/>
        <w:ind w:left="0" w:right="0" w:firstLine="450"/>
        <w:jc w:val="both"/>
        <w:rPr/>
      </w:pPr>
      <w:r>
        <w:rPr/>
      </w:r>
    </w:p>
    <w:p>
      <w:pPr>
        <w:pStyle w:val="TextBody"/>
        <w:spacing w:lineRule="auto" w:line="276" w:before="0" w:after="0"/>
        <w:ind w:left="0" w:right="0" w:firstLine="450"/>
        <w:jc w:val="both"/>
        <w:rPr/>
      </w:pPr>
      <w:r>
        <w:rPr>
          <w:rFonts w:ascii="Times New Roman;sans-serif" w:hAnsi="Times New Roman;sans-serif"/>
          <w:b w:val="false"/>
          <w:i/>
          <w:color w:val="000000"/>
          <w:sz w:val="20"/>
        </w:rPr>
        <w:t>Risks Related to Being a Public Compa</w:t>
      </w:r>
      <w:r>
        <w:rPr>
          <w:rFonts w:ascii="Times New Roman;sans-serif" w:hAnsi="Times New Roman;sans-serif"/>
          <w:b w:val="false"/>
          <w:color w:val="000000"/>
          <w:sz w:val="20"/>
        </w:rPr>
        <w:t>ny</w:t>
      </w:r>
    </w:p>
    <w:p>
      <w:pPr>
        <w:pStyle w:val="TextBody"/>
        <w:spacing w:before="0" w:after="0"/>
        <w:rPr/>
      </w:pPr>
      <w:r>
        <w:rPr/>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000000"/>
          <w:sz w:val="20"/>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pStyle w:val="TextBody"/>
        <w:spacing w:before="0" w:after="0"/>
        <w:ind w:left="0" w:right="0" w:firstLine="450"/>
        <w:jc w:val="both"/>
        <w:rPr/>
      </w:pPr>
      <w:r>
        <w:rPr/>
      </w:r>
    </w:p>
    <w:p>
      <w:pPr>
        <w:pStyle w:val="TextBody"/>
        <w:spacing w:lineRule="auto" w:line="276"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Common Stock</w:t>
      </w:r>
    </w:p>
    <w:p>
      <w:pPr>
        <w:pStyle w:val="TextBody"/>
        <w:spacing w:before="0" w:after="0"/>
        <w:ind w:left="0" w:right="0" w:firstLine="450"/>
        <w:jc w:val="both"/>
        <w:rPr/>
      </w:pPr>
      <w:r>
        <w:rPr/>
      </w:r>
    </w:p>
    <w:p>
      <w:pPr>
        <w:pStyle w:val="TextBody"/>
        <w:spacing w:lineRule="auto" w:line="288" w:before="60" w:after="283"/>
        <w:ind w:left="0" w:right="0" w:hanging="360"/>
        <w:jc w:val="both"/>
        <w:rPr/>
      </w:pPr>
      <w:r>
        <w:rPr>
          <w:color w:val="231F20"/>
        </w:rPr>
        <w:t>•</w:t>
      </w:r>
      <w:r>
        <w:rPr>
          <w:rFonts w:ascii="Times New Roman;sans-serif" w:hAnsi="Times New Roman;sans-serif"/>
          <w:b w:val="false"/>
          <w:color w:val="000000"/>
          <w:sz w:val="20"/>
        </w:rPr>
        <w:t>Our stock price may be volatile, and you may not be able to sell shares of our common stock at or above the price you paid.</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have a history of losses, and we expect to incur net losses for the foreseeable future and may never achieve or sustain profitability.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since our inception. For the year ended December 31, 2021, we had a net loss of $75.6 million and as of December 31, 2021, we had an accumulated deficit of $357.2 million. We expect to incur additional losses in the future, and we may never achieve revenue sufficient to offset our expenses. We expect to continue to devote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resources to increase adoption of and reimbursement for our molecular diagnostic portfolio of tests, and the development of additional tests. We may never achieve or sustain profitability, and our failure to achieve and sustain profitability in the future could cause the market price of our common stock to decline.</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financial results currently depend mainly on sales of our Afirma and Decipher Prostate tests, and we will need to generate sufficient revenue from these and our other diagnostic tests to grow our business.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 to date has been derived from the sale of our Afirma tests, which are used in the diagnosis of thyroid cancer. Our second largest source of revenue in 2021 was our urological tests, which we began marketing and selling following our acquisition of Decipher Biosciences in March 2021. Over the next few years, we expect to continue to derive a substantial portion of our revenue from sales of our Afirma and Decipher tests. To date, we have derived a smaller portion of our revenue from our Prosigna, Percepta, Envisia, and Immunoscore tests. Once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Decipher Prostate, Prosigna, Percepta, Envisia, Decipher Bladder, and Immunoscore tests, or develop and commercialize other tests, our revenue and our ability to achieve and sustain profitability would be impaired, and the market price of our common stock could decline.</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grow sales of our portfolio of tests including Prosigna, Percepta, Envisia, Decipher Bladder, and Immunoscore, our business may suffer.</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Prosigna, Percepta, Envisia, Decipher Bladder and Immunoscore have not contributed significant revenue to date, we expect them to grow and become an increasingly important component of our strategic focus, as well as our results of operations. We plan to introduce new tests going forward as well, including our nasal swab test for early lung cancer detection. There can be no assurance that physicians will request our new tests be performed in sufficient volumes for our revenue to meet our projections. Additionally, we anticipate expanding the reach of our tests to international markets through the distribution of the nCounter Analysis System; if our distribution of this platform is unsuccessful, or if our products are not widely adopted internationally, our business and results of operations may be adversely affected. </w:t>
      </w:r>
    </w:p>
    <w:p>
      <w:pPr>
        <w:pStyle w:val="TextBody"/>
        <w:spacing w:before="0" w:after="0"/>
        <w:ind w:left="0" w:right="0" w:firstLine="450"/>
        <w:jc w:val="both"/>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depend on a few payers for a significant portion of our revenue and if one or more significant payers stops providing reimbursement or decreases the amount of reimbursement for our tests, our revenue could decline.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tests performed on patients covered by Medicare and UnitedHealthcare Group was 30% and 10%, respectively, of our revenue for the year ended December 31, 2021, compared with 24% and 11%, respectively, for the year ended December 31, 2020.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an LCD.</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Since the Afirma GSC code 81546 was newly issued in 2021 the first PAMA data collection period for 81546 under the current triennial data collection and reporting process would be January 2023 through June 2023. There is no guarantee that the Afirma GSC Medicare rate will not be negatively impacted starting in 2027 based on the reported weighted median of private commercial payers.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CPT Proprietary Laboratory Analyses, or PLA, codes were also established for Afirma Xpression Atlas (0204U) and Afirma MTC (0208U), effective October 1, 2020. CMS has priced 0204U at the same rate of $2,919.60 as CPT 81455. The new payment rate for 0204U became effective January 1, 2021. In 2020 CMS did not price 0208U, and instead assigned the code to the “gapfilling” process, under which the individual MACs will set the payment rate for the test in 2021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In July 2021, Veracyte submitted an application to the CPT Editorial Panel to request deletion of 0208U in order to replace the code with a new CPT code, for Afirma MTC as a stand-alone test. On October 1, the CPT Editorial Panel deleted CPT code 0208U effective January 1, 2022, so the median of MAC gapfill rates will not take effect on January 1, 2022.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American Medical Association Current Procedural Terminology code, or CPT code, 81542, for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submit claims to Medicare for Decipher Prostate Biopsy and Decipher Prostate RP using CPT code 81542. CMS assigned 81542 to the gapfilling process in 2020, and it has been priced effective January 1, 2021 at $3,873, based on CMS’ revision of the median of payment rates set by the MACs through the gapfilling process. There can be no assurance that the Medicare payment rates for Decipher Prostate Biopsy and Decipher Prostate RP will not decrease during a future reporting cycle under PAMA.</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LCD was issued for Prosigna by Palmetto GBA in August 2015, which has been in effect since October 1, 2015. There can be no assurance that the Afirma or Prosigna rates will not decrease during subsequent reporting cycles under PAMA.</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submit claims to Medicare for Percepta using an unlisted code under the MolDX program and MolDX priced Percepta at $3,220. There is no assurance that MolDX won’t reprice Percepta in the future and the rate could be lower than $3,220.</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Noridian Healthcare Solutions provided Medicare coverage for the Envisia Genomic Classifier on April 11, 2019.</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 reported annually. There can be no assurance that the Medicare payment rate for Envisia will not be reduced when it is set based on the volume-weighted median of private payer rates when we are required to report private payer rates for Envisia under PAMA in subsequent reporting cycles.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will submit claims to Medicare for Decipher Bladder using CPT code 0016M. CMS assigned 0016M to the gapfilling process in 2021. There is no assurance that the gapfilling process will not result in a lower-than-expected payment rate for 0016M, or that the Medicare payment rate for Decipher Bladder will not decrease during a future reporting cycle under PAMA.</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HalioDx’s Immunoscore test is currently not subject to a coverage policy from Medicare or any of the MACs. HalioDx’s Immunoscore test has been assigned CPT code 0261U effective October 1, 2021. The Immunoscore code went through the national payment determination process, was crosswalked to CPT code 0108U and assigned a rate of $2,513.25 effective January 1, 2022. There is no assurance that the clinical laboratory fee schedule rate for Immunoscore will not decrease during a future reporting cycle under PAMA or that Medicare may require a coverage policy in the future.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entered into contracts with certain third-party payers that establish in-network allowable rates of reimbursement for many of our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pStyle w:val="TextBody"/>
        <w:spacing w:before="0" w:after="0"/>
        <w:ind w:left="0" w:right="0" w:firstLine="450"/>
        <w:jc w:val="both"/>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have estimated the sizes of the markets for our current and future products and services, and these markets may be different than we estimate.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estimates of the annual addressable markets for our current tests, products and services and those under development are based on a number of internal and third-party estimates, including, without limitation, the number of patients who have developed one or more of a broad range of cancers and certain diseases, the number of individuals who are at a higher risk for developing one or more of broad range of cancers and certain diseases, the number of individuals with certain diseases we or our collaborators are able to detect through our tests, products and services, the proportion of patients in each market whose needs can be addressed by our or our collaborators’ tests, products and services, the number of potential tests utilized per patient and the assumed prices at which we can sell our current and future tests, products and services for markets that have not been established. While we believe our assumptions and the data underlying our estimates are reasonable, these assumptions and estimates may not be as accurate as we initially intended and the conditions upon which our assumptions or estimates are based may change at any time. As a result, our estimates of the annual addressable market for our current or future tests, products and services may ultimately be incorrect. If the actual number of patients who would benefit from our tests, products or services, the price at which we can sell future tests, products and services or the annual addressable market for our tests, products or services is smaller than we have estimated, it may impair our sales growth and have an adverse impact on our business.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pStyle w:val="TextBody"/>
        <w:spacing w:before="0" w:after="0"/>
        <w:ind w:left="0" w:right="0" w:firstLine="45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not experimental or investigational;</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pre-authorized and appropriate for the specific patient;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cost-effective;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supported by peer-reviewed publications;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included in clinical practice guidelines.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Since each payer makes its own decision as to whether to establish a coverage policy or enter into a contract to reimburse our tests, seeking these approvals is a time-consuming and costly process.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an out-of-network provider with some commercial payers in the U.S.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focus substantial resources on increasing adoption, coverage and reimbursement for the Afirma, Decipher Prostate, Prosigna, Percepta, Envisia, Decipher Bladder, and Immunoscore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experience limits on our revenue if physicians decide not to order our tests.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strength of the clinical data supporting the use of the Decipher Prostate Biopsy and Decipher Prostate RP tests have led to the tests’ inclusion in national guidelines. For example, in the 2020 NCCN Practice Guidelines for Prostate Cancer, the Decipher Prostate RP test is “recommended” for use to improve therapy decision making. It is the only test to achieve this designation for post-surgery patients with localized prostate cancer. Further, in September 2021, the 2022 NCCN guidelines were released and recommend specific treatment decisions for patients based on their Decipher Prostate RP score.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or are unable to cause our genomic tests to be included in other influential guidelines, we may be at a disadvantage in gaining market acceptance and market share relative to our competitors.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globally.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Afirma, Decipher Prostate Biopsy, Decipher Prostate RP, Percepta, Envisia, Decipher Bladder, and Immunoscore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pStyle w:val="TextBody"/>
        <w:spacing w:before="0" w:after="0"/>
        <w:ind w:left="0" w:right="0" w:firstLine="450"/>
        <w:jc w:val="both"/>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experience limits on our revenue if patients decide not to use our tests.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federal and state licensing requirements, we could lose the ability to perform our tests or experience disruptions to our business.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Austin, Texas, Marseille, France or Richmond, Virginia laboratory locations, we would be unable to bill for services provided by state and federal healthcare programs, as well as many private third-party payers, which may have an adverse effect on our business, financial condition and results of operations.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Percepta, Envisia and Decipher Bladder tests, and will be seeking approval for the Immunoscore test. We will be required to obtain approval for other tests we may offer in the future. If we were to lose our CLIA certificate or California license for our South San Francisco, San Diego, or Richmond laboratories, whether as a result of revocation, suspension, limitation or otherwise, we would no longer be able to perform our molecular tests, which would eliminate our primary source of revenue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harm our business. If we fail to meet the state licensing requirements for our Austin laboratory, whether as a result of revocation, suspension, limitation or otherwise, which could result in a delay in processing tests during that transition and increased costs. If we were to lose our CLIA certificate for our Marseille or Richmond laboratories, whether as a result of revocation, suspension, limitation or otherwise, we would no longer be able to perform our Immunoscore test.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our general strategy of seeking growth through acquisitions and collaborations is not successful, or if we do not successfully integrate companies or assets that we acquire into our business, our prospects and financial condition will suffer.</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an element of our growth strategy, we may pursue opportunities to license assets or purchase companies or assets that we believe would complement our current business or help us expand into new markets. For example, we acquired the nCounter Analysis System and Prosigna test from NanoString, we also acquired Decipher Biosciences and HalioDx.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pStyle w:val="TextBody"/>
        <w:spacing w:before="0" w:after="0"/>
        <w:ind w:left="0" w:right="0" w:firstLine="450"/>
        <w:jc w:val="both"/>
        <w:rPr/>
      </w:pPr>
      <w:r>
        <w:rPr/>
      </w:r>
    </w:p>
    <w:p>
      <w:pPr>
        <w:pStyle w:val="TextBody"/>
        <w:spacing w:lineRule="auto" w:line="288" w:before="0" w:after="0"/>
        <w:ind w:left="0" w:right="0" w:firstLine="144"/>
        <w:jc w:val="both"/>
        <w:rPr/>
      </w:pPr>
      <w:r>
        <w:rPr>
          <w:rFonts w:ascii="Times New Roman;sans-serif" w:hAnsi="Times New Roman;sans-serif"/>
          <w:b/>
          <w:i/>
          <w:color w:val="000000"/>
          <w:sz w:val="20"/>
        </w:rPr>
        <w:t>Our future success and international growth depends, in part, on our ability to adapt and manufacture select tests to be performed on the nCounter Analysis System.</w:t>
      </w:r>
      <w:r>
        <w:rPr>
          <w:color w:val="000000"/>
        </w:rPr>
        <w:t xml:space="preserve">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to expand into international markets depends on our ability to successfully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genetic tests to be performed on the nCounter Analysis System, or if the nCounter Analysis System fails to be competitive against other diagnostic tests,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not successful in advancing our biopharma collaborations, our prospects and financial condition will suffer.</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previously entered into technology licensing and collaboration arrangements, such as our collaborations with Johnson &amp; Johnson in December 2018, with Acerta Pharma, the hematology research and development arm of AstraZeneca, in December 2019 and with CareDx in May 2020, as well as our investment in MAVIDx in July 2020, which reflect an important element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COVID-19 has had an adverse effect on our business, results of operations and financial condition.</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w:t>
      </w:r>
      <w:r>
        <w:rPr>
          <w:rFonts w:ascii="Times New Roman;sans-serif" w:hAnsi="Times New Roman;sans-serif"/>
          <w:b w:val="false"/>
          <w:color w:val="000000"/>
          <w:sz w:val="20"/>
          <w:highlight w:val="white"/>
        </w:rPr>
        <w:t xml:space="preserve">The global COVID-19 pandemic continues to evolve. Certain jurisdictions have begun re-opening only to return to restrictions due to increases in new COVID-19 cases and the emergence of new variant strains of COVID-19. </w:t>
      </w:r>
      <w:r>
        <w:rPr>
          <w:rFonts w:ascii="Times New Roman;sans-serif" w:hAnsi="Times New Roman;sans-serif"/>
          <w:b w:val="false"/>
          <w:color w:val="000000"/>
          <w:sz w:val="20"/>
        </w:rPr>
        <w:t>Changes in our operations in response to COVID-19 or employee illnesses resulting from the pandemic may result in inefficiencies or delays, including in sales and product development efforts, timing to receive patient sample shipments and additional costs related to business continuity initiatives, that cannot be fully mitigated through succession planning, employees working remotely or teleconferencing technologies. To date, the FDA has approved several vaccines, certain of which are subject to an Emergency Use Authorization, or EUA, for certain uses. Although vaccines are increasingly available in the United States and Europe, and certain countries in South America, Asia and Oceania, there can be no guarantee that the vaccines will be effective against new strains of the virus or that the vaccines will be broadly accepted. Also there can be no guarantee that federal, state, local and foreign agencies will not continue to take other cautionary steps to combat the virus to reduce the incidence of new cases, which could negatively impact our volumes and revenue and limit our ability to reliably forecast our test volumes and levels of revenue.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COVID-19 and related governmental reactions have had and may continue to have a negative impact on our business, liquidity, results of operations, and stock price due to the occurrence of some or all of the following events or circumstances among others: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be able to manage our business effectively due to key employees becoming ill, working from home inefficiently and being unable to travel to our facilities.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and our customers, suppliers, third-party contract manufacturers, and collaboration partners may be prevented from operating worksites, including manufacturing facilities, due to employee illness, reluctance to appear at work or “stay-at-home” regulations.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Interruptions in manufacturing (including the sourcing of reagents or supplies) and shipment of our products. We believe the rapid increase in daily testing volumes is consuming reagents and supplies otherwise available to genomic testing companies like ours across the United States.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Reduced patient demand for, or provider capacity to deliver, diagnostic testing and elective procedures generally (which may impact our ability to deliver to our revenue estimates).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Disruptions of the operations of our third-party contract manufacturers and suppliers, which could impact our ability to purchase components at efficient prices and in sufficient amounts.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need to raise capital, and if we raise capital by issuing equity securities, our common stock may be diluted.</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market price of our common stock may drop or remain volatile.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Inability of healthcare providers to deliver anticipated testing volumes due to temporary or permanent staff attrition as a result of vaccine mandates.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incur significant employee health care costs under our insurance programs.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of the impact of COVID-19 on our business and financial results will depend largely on future developments, including the deployment, efficacy, availability and utilization of vaccines, the emergence of new variant strains of COVID-19,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rely on sole suppliers for some of the reagents, equipment and other materials used to perform our tests, and we may not be able to find replacements or transition to alternative suppliers.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sole suppliers for critical supply of reagents, equipment and other materials and services that we use to perform our tests and for the manufacture of the nCounter Analysis System for diagnostic use and Prosigna test kits sold to customers. We also purchase components used in our sample collection testing kits from sole-source suppliers. Some of these items are unique to these suppliers and vendors. In addition, we utilize a sole source to assemble and distribute our sample collection kits.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NanoString for the supply of the nCounter Analysis System for diagnostic use and Prosigna test kits. As part of the HalioDx Acquisition we intend to migrate manufacture of the test kits for the nCounter from NanoString to HalioDx.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Periodically, as a result of the COVID-19 pandemic and other challenges to global supply chains, we experienced supply chain disruptions in the supply of plastic materials used in the processing of samples, although this has not resulted in delays in our ability to timely return test results. 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Carriers responsible for transporting samples to us are currently operating at lower than usual capacity because of COVID-19, causing delays in the timeliness of our receipt of samples.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depend on a specialized cytopathology practice to perform the cytopathology component of our Afirma test, and our ability to perform our diagnostic solution would be harmed if we were required to secure a replacement.</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ind w:left="0" w:right="0" w:firstLine="144"/>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financial and operating results depend on sales of our products in the markets we operate and are sensitive to a number of factors, including patient and clinician demand, market condition,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pStyle w:val="TextBody"/>
        <w:spacing w:before="0" w:after="0"/>
        <w:rPr/>
      </w:pPr>
      <w:r>
        <w:rPr/>
      </w:r>
    </w:p>
    <w:p>
      <w:pPr>
        <w:pStyle w:val="TextBody"/>
        <w:spacing w:lineRule="auto" w:line="288" w:before="0" w:after="60"/>
        <w:ind w:left="0" w:right="0" w:firstLine="90"/>
        <w:jc w:val="both"/>
        <w:rPr/>
      </w:pPr>
      <w:r>
        <w:rPr>
          <w:color w:val="000000"/>
        </w:rPr>
        <w:t>•</w:t>
      </w:r>
      <w:r>
        <w:rPr>
          <w:rFonts w:ascii="Times New Roman;sans-serif" w:hAnsi="Times New Roman;sans-serif"/>
          <w:b w:val="false"/>
          <w:color w:val="000000"/>
          <w:sz w:val="20"/>
        </w:rPr>
        <w:t>conduct substantial research and development;</w:t>
      </w:r>
    </w:p>
    <w:p>
      <w:pPr>
        <w:pStyle w:val="TextBody"/>
        <w:spacing w:lineRule="auto" w:line="288" w:before="0" w:after="60"/>
        <w:ind w:left="0" w:right="0" w:firstLine="90"/>
        <w:jc w:val="both"/>
        <w:rPr/>
      </w:pPr>
      <w:r>
        <w:rPr>
          <w:color w:val="000000"/>
        </w:rPr>
        <w:t>•</w:t>
      </w:r>
      <w:r>
        <w:rPr>
          <w:rFonts w:ascii="Times New Roman;sans-serif" w:hAnsi="Times New Roman;sans-serif"/>
          <w:b w:val="false"/>
          <w:color w:val="000000"/>
          <w:sz w:val="20"/>
        </w:rPr>
        <w:t>obtain the necessary testing samples and related data;</w:t>
      </w:r>
    </w:p>
    <w:p>
      <w:pPr>
        <w:pStyle w:val="TextBody"/>
        <w:spacing w:lineRule="auto" w:line="288" w:before="0" w:after="60"/>
        <w:ind w:left="0" w:right="0" w:firstLine="90"/>
        <w:jc w:val="both"/>
        <w:rPr/>
      </w:pPr>
      <w:r>
        <w:rPr>
          <w:color w:val="000000"/>
        </w:rPr>
        <w:t>•</w:t>
      </w:r>
      <w:r>
        <w:rPr>
          <w:rFonts w:ascii="Times New Roman;sans-serif" w:hAnsi="Times New Roman;sans-serif"/>
          <w:b w:val="false"/>
          <w:color w:val="000000"/>
          <w:sz w:val="20"/>
        </w:rPr>
        <w:t>conduct clinical validation studies;</w:t>
      </w:r>
    </w:p>
    <w:p>
      <w:pPr>
        <w:pStyle w:val="TextBody"/>
        <w:spacing w:lineRule="auto" w:line="288" w:before="0" w:after="60"/>
        <w:ind w:left="0" w:right="0" w:firstLine="90"/>
        <w:jc w:val="both"/>
        <w:rPr/>
      </w:pPr>
      <w:r>
        <w:rPr>
          <w:color w:val="000000"/>
        </w:rPr>
        <w:t>•</w:t>
      </w:r>
      <w:r>
        <w:rPr>
          <w:rFonts w:ascii="Times New Roman;sans-serif" w:hAnsi="Times New Roman;sans-serif"/>
          <w:b w:val="false"/>
          <w:color w:val="000000"/>
          <w:sz w:val="20"/>
        </w:rPr>
        <w:t>expend significant funds;</w:t>
      </w:r>
    </w:p>
    <w:p>
      <w:pPr>
        <w:pStyle w:val="TextBody"/>
        <w:spacing w:lineRule="auto" w:line="288" w:before="0" w:after="60"/>
        <w:ind w:left="0" w:right="0" w:firstLine="90"/>
        <w:jc w:val="both"/>
        <w:rPr/>
      </w:pPr>
      <w:r>
        <w:rPr>
          <w:color w:val="000000"/>
        </w:rPr>
        <w:t>•</w:t>
      </w:r>
      <w:r>
        <w:rPr>
          <w:rFonts w:ascii="Times New Roman;sans-serif" w:hAnsi="Times New Roman;sans-serif"/>
          <w:b w:val="false"/>
          <w:color w:val="000000"/>
          <w:sz w:val="20"/>
        </w:rPr>
        <w:t>expand and scale-up our laboratory processes;</w:t>
      </w:r>
    </w:p>
    <w:p>
      <w:pPr>
        <w:pStyle w:val="TextBody"/>
        <w:spacing w:lineRule="auto" w:line="288" w:before="0" w:after="60"/>
        <w:ind w:left="0" w:right="0" w:firstLine="90"/>
        <w:jc w:val="both"/>
        <w:rPr/>
      </w:pPr>
      <w:r>
        <w:rPr>
          <w:color w:val="000000"/>
        </w:rPr>
        <w:t>•</w:t>
      </w:r>
      <w:r>
        <w:rPr>
          <w:rFonts w:ascii="Times New Roman;sans-serif" w:hAnsi="Times New Roman;sans-serif"/>
          <w:b w:val="false"/>
          <w:color w:val="000000"/>
          <w:sz w:val="20"/>
        </w:rPr>
        <w:t>expand and train our sales force;</w:t>
      </w:r>
    </w:p>
    <w:p>
      <w:pPr>
        <w:pStyle w:val="TextBody"/>
        <w:spacing w:lineRule="auto" w:line="288" w:before="0" w:after="60"/>
        <w:ind w:left="0" w:right="0" w:firstLine="90"/>
        <w:jc w:val="both"/>
        <w:rPr/>
      </w:pPr>
      <w:r>
        <w:rPr>
          <w:color w:val="000000"/>
        </w:rPr>
        <w:t>•</w:t>
      </w:r>
      <w:r>
        <w:rPr>
          <w:rFonts w:ascii="Times New Roman;sans-serif" w:hAnsi="Times New Roman;sans-serif"/>
          <w:b w:val="false"/>
          <w:color w:val="000000"/>
          <w:sz w:val="20"/>
        </w:rPr>
        <w:t>gain acceptance from ordering clinicians at a larger number of hospitals;</w:t>
      </w:r>
    </w:p>
    <w:p>
      <w:pPr>
        <w:pStyle w:val="TextBody"/>
        <w:spacing w:lineRule="auto" w:line="288" w:before="0" w:after="60"/>
        <w:ind w:left="0" w:right="0" w:firstLine="90"/>
        <w:jc w:val="both"/>
        <w:rPr/>
      </w:pPr>
      <w:r>
        <w:rPr>
          <w:color w:val="000000"/>
        </w:rPr>
        <w:t>•</w:t>
      </w:r>
      <w:r>
        <w:rPr>
          <w:rFonts w:ascii="Times New Roman;sans-serif" w:hAnsi="Times New Roman;sans-serif"/>
          <w:b w:val="false"/>
          <w:color w:val="000000"/>
          <w:sz w:val="20"/>
        </w:rPr>
        <w:t>gain acceptance from ordering laboratories; and</w:t>
      </w:r>
    </w:p>
    <w:p>
      <w:pPr>
        <w:pStyle w:val="TextBody"/>
        <w:spacing w:lineRule="auto" w:line="288" w:before="0" w:after="0"/>
        <w:ind w:left="0" w:right="0" w:firstLine="90"/>
        <w:jc w:val="both"/>
        <w:rPr/>
      </w:pPr>
      <w:r>
        <w:rPr>
          <w:color w:val="000000"/>
        </w:rPr>
        <w:t>•</w:t>
      </w:r>
      <w:r>
        <w:rPr>
          <w:rFonts w:ascii="Times New Roman;sans-serif" w:hAnsi="Times New Roman;sans-serif"/>
          <w:b w:val="false"/>
          <w:color w:val="000000"/>
          <w:sz w:val="20"/>
        </w:rPr>
        <w:t>seek and obtain regulatory clearances, approvals or certifications of our new solutions, as required by applicable regulatory bodies.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process involves a high degree of risk and may take up to several years or more. Our test development and commercialization efforts may be delayed or fail for many reasons, including:</w:t>
      </w:r>
    </w:p>
    <w:p>
      <w:pPr>
        <w:pStyle w:val="TextBody"/>
        <w:spacing w:before="0" w:after="0"/>
        <w:rPr/>
      </w:pPr>
      <w:r>
        <w:rPr/>
      </w:r>
    </w:p>
    <w:p>
      <w:pPr>
        <w:pStyle w:val="TextBody"/>
        <w:spacing w:lineRule="auto" w:line="288" w:before="0" w:after="60"/>
        <w:ind w:left="0" w:right="0" w:hanging="630"/>
        <w:jc w:val="both"/>
        <w:rPr/>
      </w:pPr>
      <w:r>
        <w:rPr>
          <w:color w:val="000000"/>
        </w:rPr>
        <w:t>•</w:t>
      </w:r>
      <w:r>
        <w:rPr>
          <w:rFonts w:ascii="Times New Roman;sans-serif" w:hAnsi="Times New Roman;sans-serif"/>
          <w:b w:val="false"/>
          <w:color w:val="000000"/>
          <w:sz w:val="20"/>
        </w:rPr>
        <w:t>failure of the test at the research or development stage;</w:t>
      </w:r>
    </w:p>
    <w:p>
      <w:pPr>
        <w:pStyle w:val="TextBody"/>
        <w:spacing w:lineRule="auto" w:line="288" w:before="0" w:after="60"/>
        <w:ind w:left="0" w:right="0" w:hanging="630"/>
        <w:jc w:val="both"/>
        <w:rPr/>
      </w:pPr>
      <w:r>
        <w:rPr>
          <w:color w:val="000000"/>
        </w:rPr>
        <w:t>•</w:t>
      </w:r>
      <w:r>
        <w:rPr>
          <w:rFonts w:ascii="Times New Roman;sans-serif" w:hAnsi="Times New Roman;sans-serif"/>
          <w:b w:val="false"/>
          <w:color w:val="000000"/>
          <w:sz w:val="20"/>
        </w:rPr>
        <w:t>difficulty in accessing suitable testing samples, especially testing samples with known clinical results;</w:t>
      </w:r>
    </w:p>
    <w:p>
      <w:pPr>
        <w:pStyle w:val="TextBody"/>
        <w:spacing w:lineRule="auto" w:line="288" w:before="0" w:after="60"/>
        <w:ind w:left="0" w:right="0" w:hanging="630"/>
        <w:jc w:val="both"/>
        <w:rPr/>
      </w:pPr>
      <w:r>
        <w:rPr>
          <w:color w:val="000000"/>
        </w:rPr>
        <w:t>•</w:t>
      </w:r>
      <w:r>
        <w:rPr>
          <w:rFonts w:ascii="Times New Roman;sans-serif" w:hAnsi="Times New Roman;sans-serif"/>
          <w:b w:val="false"/>
          <w:color w:val="000000"/>
          <w:sz w:val="20"/>
        </w:rPr>
        <w:t>lack of clinical validation data to support the effectiveness of the test;</w:t>
      </w:r>
    </w:p>
    <w:p>
      <w:pPr>
        <w:pStyle w:val="TextBody"/>
        <w:spacing w:lineRule="auto" w:line="288" w:before="0" w:after="60"/>
        <w:ind w:left="0" w:right="0" w:hanging="630"/>
        <w:jc w:val="both"/>
        <w:rPr/>
      </w:pPr>
      <w:r>
        <w:rPr>
          <w:color w:val="000000"/>
        </w:rPr>
        <w:t>•</w:t>
      </w:r>
      <w:r>
        <w:rPr>
          <w:rFonts w:ascii="Times New Roman;sans-serif" w:hAnsi="Times New Roman;sans-serif"/>
          <w:b w:val="false"/>
          <w:color w:val="000000"/>
          <w:sz w:val="20"/>
        </w:rPr>
        <w:t>delays resulting from the failure of third-party suppliers or contractors to meet their obligations in a timely and cost-effective manner;</w:t>
      </w:r>
    </w:p>
    <w:p>
      <w:pPr>
        <w:pStyle w:val="TextBody"/>
        <w:spacing w:lineRule="auto" w:line="288" w:before="0" w:after="60"/>
        <w:ind w:left="0" w:right="0" w:hanging="630"/>
        <w:jc w:val="both"/>
        <w:rPr/>
      </w:pPr>
      <w:r>
        <w:rPr>
          <w:color w:val="000000"/>
        </w:rPr>
        <w:t>•</w:t>
      </w:r>
      <w:r>
        <w:rPr>
          <w:rFonts w:ascii="Times New Roman;sans-serif" w:hAnsi="Times New Roman;sans-serif"/>
          <w:b w:val="false"/>
          <w:color w:val="000000"/>
          <w:sz w:val="20"/>
        </w:rPr>
        <w:t>failure to obtain or maintain necessary clearances, approvals or certifications to market the test; or</w:t>
      </w:r>
    </w:p>
    <w:p>
      <w:pPr>
        <w:pStyle w:val="TextBody"/>
        <w:spacing w:lineRule="auto" w:line="288" w:before="0" w:after="0"/>
        <w:ind w:left="0" w:right="0" w:hanging="630"/>
        <w:jc w:val="both"/>
        <w:rPr/>
      </w:pPr>
      <w:r>
        <w:rPr>
          <w:color w:val="000000"/>
        </w:rPr>
        <w:t>•</w:t>
      </w:r>
      <w:r>
        <w:rPr>
          <w:rFonts w:ascii="Times New Roman;sans-serif" w:hAnsi="Times New Roman;sans-serif"/>
          <w:b w:val="false"/>
          <w:color w:val="000000"/>
          <w:sz w:val="20"/>
        </w:rPr>
        <w:t>lack of commercial acceptance by patients, clinicians or third-party payers.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revenues from those new diagnostic tests. In addition, as we develop diagnostic tests, we will have to make additional investments in our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be unable to manage our future growth effectively, which could make it difficult to execute our business strategy.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support demand for our commercial tests, our business could suffer.</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Changes in healthcare policy, including legislation reforming the U.S. healthcare system, may have a material adverse effect on our financial condition and operations.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2030).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 </w:t>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PAMA includes a substantial new payment system for clinical laboratory tests under the CLFS. Under PAMA, laboratories that receive the majority of their Medicare revenues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There can be no assurance that the payment rate for Afirma or Prosigna will not decrease in the future or that the payment rates for Afirma Xpression Atlas, Afirma MTC, Decipher Prostate Biopsy, Decipher Prostate RP, Percepta, Decipher Bladder or Immunoscore will not be adversely affected by the PAMA law and regulations.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 </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incentivizes physicians to enroll in alternative payment methods. At this time, we do not know whether these changes to the physician payment systems will have any impact on orders or payments for our tests.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in 2021 implemented the No Surprises Act through Interim Final Rules issued on July 1, 2021 and September 30, 2021. The No Surprises Act, and regulations and subregulatory guidance promulgated thereunder, could limit our ability to achieve payment in full for our testing services.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 xml:space="preserve">Because of Medicare billing rules, we may not receive reimbursement for all tests provided to Medicare patients.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Decipher Prostate Biopsy, Decipher Prostate RP, Percepta,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CY 2020 Hospital Outpatient Prospective Payment System Proposed Rule, CMS solicited comments on potential revisions to these billing rules that could have impacted our ability to bill Medicare directly for our Afirma, Decipher Prostate Biopsy, Decipher Prostate RP, Percepta, Envisia, and Decipher Bladder classifiers, as well as for Prosigna, when performed on specimens collected from hospital outpatients. Although these changes were not finalized, if CMS makes similar changes in the future, it could negatively impact our business.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must maintain CLIA compliance and certification to sell our tests and be eligible to bill for diagnostic services provided to Medicare beneficiaries.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the FDA or foreign authorities were to begin regulating those of our tests that are not currently regulated, we could incur substantial costs and delays associated with trying to obtain premarket clearance, approval or certification.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While the FDA maintains its authority to regulate LDTs, it continues to exercise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and used by their customers to manufacture or perform diagnostic tests may be subject to regulation under certain circumstances. Further, FDA has raised concerns about companies who manufacture, and label finished clinical test kits or clinical testing components as “research use only”, or RUO, or “investigational use only”, or IUO, and either knowingly use them or sell them for use in patient care. We believe that the Afirma, Decipher Prostate Biopsy, Decipher Prostate RP, Percepta, Envisia, and Decipher Bladder classifiers, as well as Immunoscore, have been developed and are performed in a manner consistent with FDA’s enforcement discretion policy.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in vitro diagnostics that have been reviewed, cleared, authorized or approved by the FDA. If the FDA were to determine that Afirma, Decipher Prostate Biopsy, Decipher Prostate RP, Percepta, Envisia, and Decipher Bladder classifiers, as well as Immunoscore, offered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released in June 2021.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changes in the way the European Union, or EU, regulates LDTs, or in-house tests, could result in additional expenses for offering our current and any future tests or possibly delay or suspend development, or commercialization of such tests. In the EU, LDTs are exempt from the regulations that govern medical devices and in vitro diagnostic medical devices, or IVD MDs, under certain conditions. The EU In Vitro Diagnostic Medical Devices Directive (Directive 98/79/EC), or IVDD, currently governs the exemptions applicable to LDTs. However, the EU regulatory landscape is significantly changing and the EU Regulation (EU) 2017/746 of April 5, 2017, repealing the IVDD, referred to as the IVD Medical Devices Regulation, or IVDR, becomes applicable on May 26, 2022. Under the IVDR, the general safety and performance requirements set out in Annex I will also be applicable to devices manufactured and used only within health institutions unless certain conditions are met. The exemptions provided under the IVDR for LDTs remain to be further interpreted and clarified and there are proposals currently being considered by the EU institutions meaning that the date of application of the relevant provisions will be extended to May 2024 and May 2028. As such, the extent of such exemptions or when they are applicable is not yet fully determined.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 it will apply in Northern Ireland), but the UK government is currently undertaking a consultation on the regime applicable to in vitro diagnostics in the UK, and it is anticipated that similar provisions will be introduced as under the IVDR.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or foreign authorities were to require us to seek clearance, approval or certification for our existing tests that are not currently cleared, approved, or certified or any of our future products for clinical use, we may not be able to obtain such approvals or certifications on a timely basis, or at all. While we believe our Afirma, Decipher Prostate Biopsy, Decipher Prostate RP, Percepta, Envisia, and Decipher Bladder classifiers, as well as Immunoscore, would likely qualify for the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color w:val="000000"/>
        </w:rPr>
      </w:pPr>
      <w:r>
        <w:rPr>
          <w:color w:val="000000"/>
        </w:rPr>
        <w:t>“</w:t>
      </w:r>
      <w:r>
        <w:rPr>
          <w:rFonts w:ascii="Times New Roman;sans-serif" w:hAnsi="Times New Roman;sans-serif"/>
          <w:b w:val="false"/>
          <w:color w:val="000000"/>
          <w:sz w:val="20"/>
        </w:rPr>
        <w:t>grandfathered” tests treatment, there can be no assurance of what the FDA might ultimately require if it issues a rule. If premarket reviews or certifications are required, our business could be negatively impacted if we are required to stop selling our products pending their clearance, approval or certification. In addition, the launch of any new products that we develop could be delayed by the implementation of future FDA or foreign regulations. The cost of complying with premarket review or certification requirements, including obtaining clinical data, could be significant. In addition, future regulation by the FDA or foreign authorities could subject our business to further regulatory risks and costs. 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has taken the position that if evidence demonstrates that a product which otherwise meets the definition of a regulated medical device is inappropriately labeled RUO or IUO, distribution, sale, or use of the product could violate the misbranding or adulteration provisions of the Federal Food, Drug, and Cosmetic Act, or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FDA to investigate our purchase and use of supplier products and for the Agency to question whether or not Veracyte has violated the FDC Act.</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We may also be able to obtain marketing authorization through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process rather than through a PMA if the 510(k) pathway is not available. In September 2013, we obtained FDA 510(k) clearance for Prosigna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 </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regulations,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instance, in order to sell some of our products in the EU, those products must currently comply with the essential requirements of the IVDD. Compliance with these requirements is a prerequisite to be able to affix the European Conformity, or CE, mark to our products, without which they cannot be sold or marketed in the EU. All medical devices placed on the market in the EU must meet the essential requirements laid down in Annex I to the IVDD, unless an exemption applies,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essential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most IVD MDs, the manufacturer can self-declare the conformity of its products with the essential requirements of the IVDD. For some types of IVDs listed in Annex II of the IVDD, a conformity assessment procedure requires the intervention of a notified body. Notified regulatory bodies are independent organizations designated by EU member states to assess the conformity of devices before being placed on the market. The notified body would typically audit and examine the product’s technical file and the manufacturer’s quality system (notified body must presume that quality systems which implement the relevant harmonized standards – which is ISO 13485:2016 for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remain in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 regulatory landscape concerning medical devices is significantly changing, and the new IVDR governing IVD MDs will become applicable on May 26, 2022. The new requirements in the IVDR will have a significant effect on the way we conduct our business in the EU and the EEA. In particularly, substantially more IVDs will require the involvement of a notified body to be able to affix a CE Mark to the product, which may lead to delay in being able to place such products on the market. Given the large number of products on the market that will now require the involvement of a notified body to be placed on the market under the IVDR, the EU institutions are currently finalizing amendments to the transitional provisions applicable to certain products, meaning that where such transitional provisions apply, the products can continue to be placed on the market under the IVDD for a certain period of time.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(but manufacturers were given a grace period of four to 12 months to comply with the new registration process) before being placed on Great Britain market. The MHRA only registers devices where the manufacturer or their United Kingdom, or UK, Responsible Person has a registered place of business in the UK. Manufacturers based outside the UK will need to appoint a UK Responsible Person that has a registered place of business in the UK to register devices with the MHRA. By July 1, 2023, in Great Britain, all medical devices will require a UK Conformity Assessed, or UKCA, mark but CE marks issued by EU notified regulatory bodies will remain valid until this time. Manufacturers may choose to use the UKCA mark on a voluntary basis until June 30, 2023. However, UKCA marking will not be recognized in the EU. The MHRA is also currently consulting on the UK regime going forward, and it is expected that requirements similar to those under the IVDR will be put in place in the UK.</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MHRA public consultation was opened until end of November 2021 on the post-Brexit regulatory framework for medical devices and diagnostics. The MHRA seeks to amend the UK Medical Devices Regulations 2002 (which are based on EU legislation, primarily the EU Medical Devices Directive 93/42/EEC and the IVDD), in particular to create a new access pathway to support innovation, create an innovative framework for regulating software and artificial intelligence as medical devices, reform IVD MD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Northern Ireland Protocol,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marketing authorizations or certifications, approvals, clearances or certifications to market Prosigna or our other assays on the nCounter Analysis System in additional countries or if regulatory limitations are placed on our diagnostic kit products, our business and growth will be harmed.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our current certificates. The EU institutions are currently finalizing amendments to the transitional provisions applicable to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products, meaning that where such transitional provisions apply, the products can continue to be placed on the market under the IVDD for a certain period of time.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IVDR will not be implemented in Great Britain, and the previous legislation that implemented the IVDD, the Medical Devices Regulations 2002 (SI 2002 No 618, as amended), applies. For the time being, the regulatory regime for medical devices and IVD MDs in Great Britain (England, Scotland and Wales) continues to be based on the requirements derived from current EU legislation, but 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2023. For medical devices, including IVD MDs, placed on the market in Great Britain after this period, the UKCA marking will be mandatory. In contrast, UKCA marking and certificates issued by UK notified regulatory bodies are not recognized on the EU market. The rules for placing medical devices on the Northern Ireland market differ from those in Great Britain, and the IVDR will apply in Northern Ireland. These modifications may have an effect on the way we intend to conduct our business in these countries.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EU, there is currently no legal definition or classification system for companion diagnostics. Companion diagnostics are deemed to be IVD MDs, governed by the IVDD, and are required to conform with the essential requirements of the IVDD. The conformity assessment varies according to the type of IVD MD. As there is currently no classification system for companion diagnostics, the conformity assessment varies depending on the companion diagnostics’ characteristics and they will be either subject to a conformity assessment by a notified body or to a self-assessment by the manufacturer (without the intervention of a notified body). The regulation of companion diagnostics will be subject to further requirements once the IVDR will become applicable on May 26, 2022, although if the current proposals being discussed by the EU institutions are finalized, this requirement will be applicable to companion diagnostics in May 2026. The IVDR introduces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will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investors that we will be successful in obtaining or maintaining regulatory clearances, certifications, approvals, or marketing authorizations. If we do not obtain or maintain regulatory clearances, certifications,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are subject to ongoing and increasingly extensive regulatory requirements, which may be subject to change, and our failure to comply with these requirements could substantially harm our business.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FDA, CMS, and other health authorities, of our manufacturing facilities and our records for compliance with standards such as ISO 13485 and QSR regulations, which establish extensive requirements for quality assurance and control as well as manufacturing and change control procedures, among other things. These inspections may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IVDR increases the regulatory requirements applicable to in vitro diagnostics in the EU and would require that we re-classify and obtain new certificates of conformity for our existing CE-marked IVD products by May 25, 2022, unless a transitional provision applies to our current certificates. </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IVDR will become applicable five years after publication (on May 26, 2022), subject to relevant transitional periods, and once applicable to a particular product, the IVDR will among other things:</w:t>
      </w:r>
    </w:p>
    <w:p>
      <w:pPr>
        <w:pStyle w:val="TextBody"/>
        <w:spacing w:before="0" w:after="0"/>
        <w:ind w:left="0" w:right="0" w:firstLine="45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strengthen the rules on placing devices on the market and reinforce surveillance once they are available;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 explicit provisions on manufacturers’ responsibilities for the follow-up of the quality, performance and safety of devices placed on the market;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establish explicit provisions on importers’ and distributors’ obligations and responsibilities;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impose an obligation to identify a responsible person who is ultimately responsible for all aspects of compliance with the requirements of the new regulation;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set up a central database (Eudamed) to provide patients, healthcare professionals and the public with comprehensive information on products available in the EU;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strengthen rules for the assessment of certain high-risk devices that may have to undergo an additional check by experts before they are placed on the market.</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a severe shortage of capacity of the European notified regulatory bodies designated for IVDR certification to assess all IVD MDs that will require notified body certification under IVDR, the EU institutions are currently finalizing proposed amendments to the transitional periods, so that longer periods may apply to certain IVDs. Failure to secure these re-certifications in time will halt our ability to commercialize our products in relevant countries. Currently our tests that require recertification are Prosigna and Immunoscore. Moreover, complying with the stricter regulatory requirements of the IVDR, including with respect to clinical evaluation requirements, quality systems, and post-market surveillance, may require us to incur significant expenditures. Failure to meet these requirements could adversely impact our business in the EU and EEA and other regions that tie their product registrations or regulations to the EU requirements.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 IVDR will not be implemented in Great Britain, and the previous legislation that implemented the IVDD, the Medical Devices Regulations 2002 (SI 2002 No 618, as amended), applies. Therefore, the regulatory regime for medical devices in Great Britain (England, Scotland and Wales) will continue to be based on the requirements derived from current EU legislation, and the UK is currently conducting a consultation on the medical device regime, including whether to align with the EU Medical Devices Regulation, going forward. EU CE markings will continue to be recognized in the UK, and certificates issued by EU-registered notified regulatory bodies will be valid in the UK, until June 30, 2023. For medical devices placed on the market in Great Britain after this period, the UKCA marking will be mandatory. In contrast, UKCA marking and certificates issued by UK notified regulatory bodies are not recognized on the EU market. The rules for placing medical devices on the Northern Ireland market differ from those in Great Britain, and the EU IVDR will apply in Northern Ireland. These modifications may have an effect on the way we intend to conduct our business in these countries.</w:t>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additional FDA or foreign regulatory authority post-marketing obligations or requirements by the FDA or foreign regulatory authority to change our current product classifications which would impose additional regulatory obligations on us. The promotional claims we can make for Prosigna are limited to the indications for use in the United States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compete successfully, we may be unable to increase or sustain our revenue or achieve profitability.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competition for our tests comes from traditional methods used by physicians to diagnose and manage patient care decisions or diagnostic tests provided by other commercial and academic laboratories. For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Decipher Prostate test faces competition from Myriad Genetics and Exact Sciences, which offer genomic testing for prognostic purposes within localized prostate cancer. Additionally, traditional methods used by pathologists and clinicians to estimate risk of disease progression pose competitive threats to our business. Companies combining these traditional methods with artificial intelligence could potentially emerge as competitors, but most of these technologies are currently in the research stage.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primary competition in pulmonology with our Percepta and Envisia classifiers will similarly come from traditional methods used by physicians to diagnose the related diseases. For the Percepta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 As we expand our portfolio of tests to address clinical questions across the clinical care continuum, we may also face competition from companies focused on screening at-risk patients for cancer or companies informing treatment decisions such as Guardant Health or Foundation Medicine, Inc. Competition could also emerge from competitors, including GRAIL, Inc. (which was acquired by our supplier Illumina Inc. in August 2021), using alternative samples, such as blood, urine or sputum. </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compete successfully, we must be able to demonstrate, among other things, that our diagnostic test results are accurate and cost effective, and we must secure a meaningful level of reimbursement for our products.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pStyle w:val="TextBody"/>
        <w:spacing w:before="0" w:after="0"/>
        <w:rPr/>
      </w:pPr>
      <w:r>
        <w:rPr/>
      </w:r>
    </w:p>
    <w:p>
      <w:pPr>
        <w:pStyle w:val="TextBody"/>
        <w:spacing w:lineRule="auto" w:line="26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have experienced significant changes in our senior management team, the loss of one or more of our executive officers, or any inability to attract and retain highly-skilled employees and other key personnel could adversely affect our business.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the skills, experience and performance of key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 </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Decipher Prostate, Prosigna, Percepta, Envisia, Decipher Bladder and Immunoscore tests,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man insurance for any of our employees.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Billing for our diagnostic tests is complex, and we must dedicate substantial time and resources to the billing process to be paid.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Several factors make the billing process complex, including:</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differences between the list price for our tests and the reimbursement rates of payers;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compliance with complex federal and state regulations related to billing government payers, such as Medicare and Medicaid, including requirements to have an active CLIA certificate;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 of government audits related to billing Medicare and other government payers;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disputes among payers as to which party is responsible for payment;</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differences in coverage and in information and billing requirements among payers, including the need for prior authorization and/or advanced notification;</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patient co-payments or co-insurance;</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to billing codes used for our tests;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incorrect or missing billing information; and</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resources required to manage the billing and claims appeals process.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standard industry billing codes, known as CPT codes, to bill for cytopathology. Through December 31, 2020, we used the CPT code 81545 to bill for our Afirma classifier. Effective January 1, 2021, we began using the new CPT code 81546 to bill for our Afirma classifier, and code 81545 was retired. Effective October 1, 2020, we began using the CPT code 0204U to bill for Afirma Xpression Atlas, and CPT code 0208U to bill for Afirma MTC. Effective January 1, 2020, we began using CPT code 81542 to bill for Decipher Prostate Biopsy and Decipher Prostate RP tests.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 Effective January 1, 2021, we began using the new CPT code 81554 to bill for our Envisia classifier. Effective October 1, 2020, we began using CPT code 0016M to bill for our Decipher Bladder test. Effective October 1, 2021, we began using the new CPT code 0261U to bill for the Immunoscore test. </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revenues and cash flow.</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rely on a third-party provider to transmit claims to payers, and any delay in transmitting claims could have an adverse effect on our revenue.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pStyle w:val="TextBody"/>
        <w:spacing w:before="0" w:after="0"/>
        <w:rPr/>
      </w:pPr>
      <w:r>
        <w:rPr/>
      </w:r>
    </w:p>
    <w:p>
      <w:pPr>
        <w:pStyle w:val="TextBody"/>
        <w:spacing w:lineRule="auto" w:line="288" w:before="0" w:after="0"/>
        <w:ind w:left="0" w:right="0" w:firstLine="454"/>
        <w:jc w:val="both"/>
        <w:rPr>
          <w:rFonts w:ascii="Times New Roman;sans-serif" w:hAnsi="Times New Roman;sans-serif"/>
          <w:b w:val="false"/>
          <w:color w:val="000000"/>
          <w:sz w:val="20"/>
        </w:rPr>
      </w:pPr>
      <w:r>
        <w:rPr>
          <w:rFonts w:ascii="Times New Roman;sans-serif" w:hAnsi="Times New Roman;sans-serif"/>
          <w:b w:val="false"/>
          <w:color w:val="000000"/>
          <w:sz w:val="20"/>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pStyle w:val="TextBody"/>
        <w:spacing w:before="0" w:after="0"/>
        <w:rPr/>
      </w:pPr>
      <w:r>
        <w:rPr/>
      </w:r>
    </w:p>
    <w:p>
      <w:pPr>
        <w:pStyle w:val="TextBody"/>
        <w:spacing w:lineRule="auto" w:line="276" w:before="0" w:after="0"/>
        <w:ind w:left="0" w:right="0" w:firstLine="144"/>
        <w:rPr/>
      </w:pPr>
      <w:r>
        <w:rPr>
          <w:rFonts w:ascii="Times New Roman;sans-serif" w:hAnsi="Times New Roman;sans-serif"/>
          <w:b/>
          <w:i/>
          <w:color w:val="000000"/>
          <w:sz w:val="20"/>
        </w:rPr>
        <w:t xml:space="preserve">Developing new products involves a lengthy and complex process, and </w:t>
      </w:r>
      <w:r>
        <w:rPr>
          <w:rFonts w:ascii="Times New Roman;sans-serif" w:hAnsi="Times New Roman;sans-serif"/>
          <w:b/>
          <w:i/>
          <w:color w:val="000000"/>
          <w:sz w:val="20"/>
          <w:highlight w:val="white"/>
        </w:rPr>
        <w:t>if we do not achieve our projected development and commercialization goals in the time frames we announce and expect, our business will suffer and our stock price may decline</w:t>
      </w:r>
      <w:r>
        <w:rPr>
          <w:rFonts w:ascii="Times New Roman;sans-serif" w:hAnsi="Times New Roman;sans-serif"/>
          <w:b/>
          <w:i/>
          <w:color w:val="000000"/>
          <w:sz w:val="20"/>
        </w:rPr>
        <w:t>.</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including the impact of the COVID-19 pandemic. We cannot be certain that we will meet our projected targets and if we do not meet these targets as publicly announced, the commercialization of our diagnostic solutions may be delayed or may not occur at all and, as a result, our business will suffer and our stock price may decline.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seek to develop enhancements to our current test offerings and additional diagnostic tests that requires us to devote considerable resources to research and development. We may face challenges obtaining sufficient numbers of samples to validate a genomic signature for a molecular diagnostic product. After launching new products, we still must complete studies that meet the clinical evidence required to obtain reimbursement. Moreover, we may experience delays in the development and introduction of new products due to the effects of the current COVID-19 pandemic.</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develop and commercialize diagnostic tests, we need to:</w:t>
      </w:r>
    </w:p>
    <w:p>
      <w:pPr>
        <w:pStyle w:val="TextBody"/>
        <w:spacing w:before="0" w:after="0"/>
        <w:ind w:left="0" w:right="0" w:firstLine="45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expend significant funds to conduct substantial research and development;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conduct successful analytical and clinical studies;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scale our laboratory processes to accommodate new tests;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build the commercial, regulatory, and compliance infrastructure to market and sell new products.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development process involves a high degree of risk and may take several years. Our product development efforts may fail for many reasons, including:</w:t>
      </w:r>
    </w:p>
    <w:p>
      <w:pPr>
        <w:pStyle w:val="TextBody"/>
        <w:spacing w:before="0" w:after="0"/>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failure to identify a genomic signature in biomarker discovery;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inability to secure sufficient numbers of samples at an acceptable cost and on an acceptable timeframe to conduct analytical and clinical studies;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of clinical validation studies to support the effectiveness of the test.</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cannot enter into new clinical study collaborations, our product development and subsequent commercialization could be delayed.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studies,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products to keep pace with rapid technological, medical and scientific change, our operating results and competitive position could be harmed.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Complying with numerous statutes and regulations pertaining to our business is an expensive and time-consuming process, and any failure to comply could result in substantial penalties.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other extensive federal, state, local, and foreign laws and regulations, all of which are subject to change. These laws and regulations currently include, among others: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Medicare billing and payment regulations applicable to clinical laboratories, including requirements to have an active CLIA certificate;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False Claims Act, which imposes liability on any person or entity who knowingly presents, or causes to be presented, a false, fictitious, or fraudulent claim for payment to the federal government;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prohibition on reassignment of Medicare claims, which, subject to certain exceptions, precludes the reassignment of Medicare claims to any other party;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Protecting Access to Medicare Act of 2014, which requires us to report private payer rates and test volumes for specific CPT codes on a triennial basis and imposes penalties for failures to report, omissions, or misrepresentations;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No Surprises Act and its implementing regulations (effective January 1, 2022), which prohibit an out-of-network provider from billing a patient at an amount in excess of the in-network cost sharing for services furnished with respect to a visit at certain in-network health care facilities, as well as various state laws restricting balance billing of patients;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Foreign Corrupt Practices Act of 1977, and other similar laws, which apply to our international activities;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unclaimed property (escheat) laws and regulations, which may require us to turn over to governmental authorities the property of others held by us that has been unclaimed for a specified period of time;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enforcing our intellectual property rights;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foreign laws and regulations equivalent to the above.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use hazardous materials in a manner that causes contamination or injury, we could be liable for resulting damages.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International expansion of our business exposes us to business, regulatory, political, operational, financial and economic risks associated with doing business outside of the United States.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In 2021, we acquired HalioDx, a France based immuno-oncology diagnostics company, with global operations. Doing business internationally involves a number of risks, including:</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multiple, conflicting and changing laws and regulations such as tax laws, privacy laws, export and import restrictions, employment laws, regulatory requirements and other governmental approvals, permits and licenses;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by us to obtain regulatory approvals or certifications where required for the use of our solutions in various countries;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complexities associated with managing multiple payer reimbursement regimes, government payers or patient self-pay systems;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logistics and regulations associated with shipping tissue samples, including infrastructure conditions and transportation delays;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challenges associated with establishing laboratory partners, including proper sample collection techniques, management of supplies, sample logistics, billing and promotional activities;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limits on our ability to penetrate international markets if we are not able to process tests locally;</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financial risks, such as longer payment cycles, difficulty in collecting from payers, the effect of local and regional financial crises, and exposure to foreign currency exchange rate fluctuations;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natural disasters, political and economic instability, including wars, terrorism, and political unrest, outbreak of disease, including COVID-19, boycotts, curtailment of trade and other business restrictions; and</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future international expansion and operations and, consequently, our revenue and results of operations.</w:t>
      </w:r>
    </w:p>
    <w:p>
      <w:pPr>
        <w:pStyle w:val="TextBody"/>
        <w:spacing w:before="0" w:after="0"/>
        <w:ind w:left="0" w:right="0" w:firstLine="450"/>
        <w:jc w:val="both"/>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be adversely affected by unfavorable economic and market conditions.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or financial results may be adversely impacted by uncertain economic conditions, including: the impact of the COVID-19 pandemic, adverse changes in interest rates, foreign currency exchange rates, tax laws or tax rates; inflation;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U.S. and those in Europe, have experienced and continue to experience uncertain economic conditions, including increased inflation rates, resulting from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global as well as local factors. For example, on June 23, 2016, the UK, held a referendum pursuant to which voters elected to leave the EU, commonly referred to as Brexit. The UK formally left the EU on January 31, 2020 and began a transition period that ended on December 31, 2020. Although the impact of Brexit is evolving, and the UK is in the process of negotiating trade deals with other countries, Brexit has created additional uncertainties that may ultimately result in new regulatory costs and challenges for companies and increased restrictions on imports and exports throughout Europe, which could adversely affect our ability to conduct and expand our operations in Europe and which may have an adverse effect on our business, financial condition and results of operations. Additionally, Brexit may increase the possibility that other countries may decide to leave the European Union in the future.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as result of a global pandemic such as the COVID-19 pandemic or otherwise,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reliance on distributors for sales of our products outside of the United States, and on clinical laboratories for delivery of Prosigna testing services, could limit or prevent us from selling our products and impact our revenue.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pStyle w:val="TextBody"/>
        <w:spacing w:before="0" w:after="0"/>
        <w:rPr/>
      </w:pPr>
      <w:r>
        <w:rPr/>
      </w:r>
    </w:p>
    <w:p>
      <w:pPr>
        <w:pStyle w:val="TextBody"/>
        <w:spacing w:lineRule="auto" w:line="288" w:before="0" w:after="0"/>
        <w:ind w:left="0" w:right="0" w:firstLine="144"/>
        <w:rPr>
          <w:rFonts w:ascii="Times New Roman;sans-serif" w:hAnsi="Times New Roman;sans-serif"/>
          <w:b/>
          <w:i/>
          <w:color w:val="000000"/>
          <w:sz w:val="20"/>
        </w:rPr>
      </w:pPr>
      <w:r>
        <w:rPr>
          <w:rFonts w:ascii="Times New Roman;sans-serif" w:hAnsi="Times New Roman;sans-serif"/>
          <w:b/>
          <w:i/>
          <w:color w:val="000000"/>
          <w:sz w:val="20"/>
        </w:rPr>
        <w:t>Errors or defects in our products or services could harm our reputation, decrease market acceptance of our products or services or expose us to product liability claims, and we could face substantial liabilities that exceed our resources.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Percepta, Envisia, Decipher Bladder and Immunoscore tests, as well as tests we may develop or acquire in the future.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the risk of disruptions caused by pandemics, political events, war, terrorism, earthquakes, fire, power outages, floods, and other catastrophic events.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War, terrorism, geopolitical uncertainties,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a catastrophe strikes any of our laboratories or if any of our laboratories becomes inoperable for any other reason, we will be unable to perform our testing services and our business will be harmed.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all of the Afirma, Percepta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laboratory in Richmond, Virginia performs our Immunoscore test.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inability to raise additional capital on acceptable terms in the future may limit our ability to develop and commercialize new solutions and technologies and expand our operations.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cloud-based systems during the COVID-19 pandemic,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July 20, 2021. We cannot predict when the PHE declaration will be lifted.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 of certain sales of personal information. Amendments to the CCPA have been made since its enactment in 2018,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pStyle w:val="TextBody"/>
        <w:spacing w:before="0" w:after="0"/>
        <w:ind w:left="0" w:right="0" w:firstLine="45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Risks associated with data privacy issues, including evolving laws, regulations and associated compliance efforts, may adversely impact our business and financial results.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the United States and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must be migrated to the revised SCCs by December 27, 2022. We must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United Kingdom’s withdrawal from the EEA and the EU, and the expiry of the transition period, companies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state of California recently enacted the CCPA, which creates new individual privacy rights for California consumers and places increased privacy and data security obligations on entities handling personal information of consumers or households. The CCPA went into effect on January 1, 2020 and may impact our business activities and exemplifies the vulnerability of our business to the evolving regulatory environment related to personal information and protected health information. Additionally, although not effective until January 1, 2023, the California Privacy Rights Act, or the CPRA, which expands upon the CCPA, was passed in the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civil penalties and a private right of action for data breaches that is expected to increase data breach litigation. The CCPA and CPRA may increase our compliance costs and potential liability. Additionally, the CCPA has prompted a number of proposals for new federal and state- level privacy legislation, such as in New York, Virginia, Washington, Illinois, and Nebraska, that, could increase our potential liability, increase our compliance costs, and adversely affect our business.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countries outside of the United States and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cannot license rights to use technologies on reasonable terms, we may not be able to commercialize new products in the future.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our intellectual property effectively, our business would be harmed.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methods used in thyroid diagnostics, urological diagnostics, breast cancer diagnostics, lung diagnostics, colorectal cancer diagnostics and the nCounter Analysis System.</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harm our business. Even if we are successful in defending against these claims, litigation could result in substantial costs and be a distraction to management.</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be involved in litigation related to intellectual property, which could be time-intensive and costly and may adversely affect our business, operating results or financial condition.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may be limited and may result in increased future tax liability to us.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since our inception and may never achieve profitability. As of December 31, 2021, we had net operating loss, or NOL, carryforwards of approximately $437.1 million, $87.6 million and $133.1 million available to reduce future taxable income, if any, for federal, California and other state income tax purposes, respectively. The U.S. federal NOL carryforwards will begin to expire in 2026 while for state purposes, the NOL carryforwards begin to expire in 2022. In addition, as of December 31, 2021, we had foreign net operating loss carryforwards of approximately $74.7 million and $31.3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Impairment in the value of our goodwill or other intangible assets could have a material adverse effect on our operating results and financial condition.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pStyle w:val="TextBody"/>
        <w:spacing w:before="0" w:after="0"/>
        <w:rPr/>
      </w:pPr>
      <w:r>
        <w:rPr/>
      </w:r>
    </w:p>
    <w:p>
      <w:pPr>
        <w:pStyle w:val="TextBody"/>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effective tax rate may fluctuate and we may incur obligations in tax jurisdictions in excess of amounts that have been accrued.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pStyle w:val="TextBody"/>
        <w:spacing w:before="0" w:after="0"/>
        <w:rPr/>
      </w:pPr>
      <w:r>
        <w:rPr/>
      </w:r>
    </w:p>
    <w:p>
      <w:pPr>
        <w:pStyle w:val="TextBody"/>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Changes in financial accounting standards or practices may cause adverse, unexpected financial reporting fluctuations and affect our reported operating results.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consolidated financial statements are subject to change and if our estimates or judgments relating to our critical accounting policies prove to be incorrect, our operating results could be adversely affected.</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amounts reported in our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Annual Report on Form 10-K.</w:t>
      </w:r>
      <w:r>
        <w:rPr>
          <w:color w:val="000000"/>
        </w:rPr>
        <w:t xml:space="preserve"> </w:t>
      </w:r>
      <w:r>
        <w:rPr>
          <w:rFonts w:ascii="Times New Roman;sans-serif" w:hAnsi="Times New Roman;sans-serif"/>
          <w:b w:val="false"/>
          <w:color w:val="000000"/>
          <w:sz w:val="20"/>
        </w:rPr>
        <w:t>The results of these estimates form the basis for making judgments about the carrying values of assets, liabilities, and equity, and the amount of revenue and expenses that are not readily apparent from other sources. Critical accounting policies and estimates used in preparing our consolidated financial statements include those related to: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pStyle w:val="TextBody"/>
        <w:spacing w:before="0" w:after="0"/>
        <w:ind w:left="0" w:right="0" w:firstLine="864"/>
        <w:jc w:val="both"/>
        <w:rPr/>
      </w:pPr>
      <w:r>
        <w:rPr/>
      </w:r>
    </w:p>
    <w:p>
      <w:pPr>
        <w:pStyle w:val="TextBody"/>
        <w:spacing w:lineRule="auto" w:line="288" w:before="0" w:after="0"/>
        <w:ind w:left="0" w:right="0" w:firstLine="144"/>
        <w:rPr>
          <w:rFonts w:ascii="Times New Roman;sans-serif" w:hAnsi="Times New Roman;sans-serif"/>
          <w:b/>
          <w:color w:val="000000"/>
          <w:sz w:val="20"/>
        </w:rPr>
      </w:pPr>
      <w:r>
        <w:rPr>
          <w:rFonts w:ascii="Times New Roman;sans-serif" w:hAnsi="Times New Roman;sans-serif"/>
          <w:b/>
          <w:color w:val="000000"/>
          <w:sz w:val="20"/>
        </w:rPr>
        <w:t>Risks Related to our Recent Acquisitions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recently completed acquisitions of HalioDx and Decipher Biosciences each present risks and we must successfully integrate the HalioDx and Decipher Biosciences businesses to realize the financial goals that we currently anticipate.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Risks we face in connection with the recently completed acquisition and ongoing integration of HalioDx and Decipher Biosciences include:</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not realize the benefits we expect to receive from these transactions, such as anticipated synergies;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have difficulties managing acquired products and tests or retaining key personnel from the acquired businesses;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not successfully integrate the acquired businesses as planned,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Decipher Biosciences Merger Agreement does not provide for post-closing indemnification protection related to pre-closing Decipher Biosciences operations and, therefore, we may incur unforeseen costs as a result of Decipher Biosciences’ pre-closing activities, over which we have limited control, including Decipher Biosciences’ breach of the covenants contained in the Merger Agreement;</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Neither HalioDx nor Decipher Biosciences was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HalioDx's or Decipher Biosciences' respective financial and disclosure controls and procedures;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experience a failure of development activities on behalf of a HalioDx customer where HalioDx bears development risk resulting in a refund of development fees;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may fail to transition manufacturing of the test kits for the nCounter, currently produced by NanoString, to HalioDx’s manufacturing facility in Marseille, France in a timely manner or at all, or we may experience manufacturing irregularities or challenges in connection with the transition; </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not realize the anticipated accretion to our gross margins as a result of transitioning manufacturing of test kits to HalioDx;</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experience disagreements with the employee French work council;</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Decipher Biosciences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have failed to identify or assess the magnitude of certain liabilities, shortcomings or other circumstances prior to acquiring either of the acquired businesses, which could result in unexpected litigation or regulatory exposure, unfavorable accounting treatment, a diversion of management’s attention and resources, and other adverse effects on our business, financial condition, and operating results.</w:t>
      </w:r>
    </w:p>
    <w:p>
      <w:pPr>
        <w:pStyle w:val="TextBody"/>
        <w:spacing w:before="0" w:after="0"/>
        <w:rPr/>
      </w:pPr>
      <w:r>
        <w:rPr/>
      </w:r>
    </w:p>
    <w:p>
      <w:pPr>
        <w:pStyle w:val="TextBody"/>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Doing business internationally at the scale of HalioDx creates operational risk for our business.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Conducting and launching operations on an international scale requires close coordination of activities across multiple jurisdictions and consumes significant management resources. If we fail to coordinate and manage these activities effectively for any reason, including the risks noted below, our business, financial condition, or results of operations could be adversely affected.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increases the following risks and challenges associated with conducting business outside the U.S., where we expect a growing proportion of our operations and revenue to be located:</w:t>
      </w:r>
    </w:p>
    <w:p>
      <w:pPr>
        <w:pStyle w:val="TextBody"/>
        <w:spacing w:before="0" w:after="0"/>
        <w:ind w:left="0" w:right="0" w:firstLine="144"/>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longer payment cycles and difficulties in collecting accounts receivable outside of the United States;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longer sales cycles due to the volume of transactions taking place through public tenders;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challenges in staffing and managing foreign operations;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lack of consistency, and unexpected changes, in legislative or regulatory requirements of foreign countries into which we sell our products;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increased risk of governmental and regulatory scrutiny and investigations;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burden of complying with a wide variety of foreign laws, regulations, and legal standards;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import and export requirements, tariffs, taxes, and other trade barriers;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possible enactment of laws regarding the management of and access to data and public networks and websites;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potential negative impact of a global health crisis, such as the outbreak of a serious infectious disease, to our commercial or manufacturing operations, including the loss of productivity from our own workforce and consequences of any restrictions on the movement of people or materials;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possible future limitations on foreign-owned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significant taxes;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beyond our control, including political, social and economic instability, and security concerns in general.</w:t>
      </w:r>
    </w:p>
    <w:p>
      <w:pPr>
        <w:pStyle w:val="TextBody"/>
        <w:spacing w:before="0" w:after="0"/>
        <w:ind w:left="0" w:right="0" w:firstLine="144"/>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must comply with complex foreign and U.S. laws and regulations, such as the U.S. Foreign Corrupt Practices Act, the U.K. Bribery Act, and other local laws prohibiting corrupt payments to governmental officials and requiring issuers to maintain accurate books and records or maintain appropriate accounting controls, fair competition regulations, the U.S. Office of Foreign Assets Control sanctions compliance program, and other similar laws and regulations. Violations of these laws and regulations could result in fines and penalties, criminal sanctions, restrictions on our business conduct and on our ability to offer our products in one or more countries, our ability to enter into governmental sale, supply, or service contracts,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 or that our policies will be adopted or enforceable in all jurisdictions.</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pStyle w:val="TextBody"/>
        <w:spacing w:before="0" w:after="0"/>
        <w:ind w:left="0" w:right="0" w:firstLine="144"/>
        <w:jc w:val="both"/>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are exposed to risks associated with transactions denominated in foreign currency.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revenues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pStyle w:val="TextBody"/>
        <w:spacing w:before="0" w:after="0"/>
        <w:ind w:left="0" w:right="0" w:firstLine="144"/>
        <w:jc w:val="both"/>
        <w:rPr/>
      </w:pPr>
      <w:r>
        <w:rPr/>
      </w:r>
    </w:p>
    <w:p>
      <w:pPr>
        <w:pStyle w:val="TextBody"/>
        <w:spacing w:lineRule="auto" w:line="268" w:before="0" w:after="0"/>
        <w:ind w:left="0" w:right="0" w:firstLine="144"/>
        <w:jc w:val="both"/>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will continue to incur increased costs and demands on management as a result of compliance with laws and regulations applicable to public companies, which could harm our operating results.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acquisitions of Decipher Biosciences and HalioDx,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spacing w:before="0" w:after="0"/>
        <w:rPr/>
      </w:pPr>
      <w:r>
        <w:rPr/>
      </w:r>
    </w:p>
    <w:p>
      <w:pPr>
        <w:pStyle w:val="TextBody"/>
        <w:spacing w:lineRule="auto" w:line="288" w:before="0" w:after="0"/>
        <w:ind w:left="0" w:right="0" w:firstLine="144"/>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stock price may be volatile, and you may not be able to sell shares of our common stock at or above the price you paid.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continue to be highly volatile and could be subject to wide fluctuations in response to various factors, some of which are beyond our control. These factors include:</w:t>
      </w:r>
    </w:p>
    <w:p>
      <w:pPr>
        <w:pStyle w:val="TextBody"/>
        <w:spacing w:before="0" w:after="0"/>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actual or anticipated variations in our and our competitors’ results of operations;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global macroeconomic impact of the current COVID-19 outbreak;</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announcements by us or our competitors of new products, commercial relationships or capital commitments;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reimbursement by current or potential payers, including governmental payers;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issuance of new securities analysts’ reports or changed recommendations for our stock;</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fluctuations in our revenue, due in part to the way in which we recognize revenue;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actual or anticipated changes in regulatory oversight of our products;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commencement of, or our involvement in, litigation;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announced or completed acquisitions of businesses or technologies by us or our competitors, including the effect of additional equity we or our competitors issue as consideration for such acquisitions;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any major change in our management; and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general economic conditions, including inflation and changes in interest rates, and slow or negative growth of our markets.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discourage, delay or prevent a change in control and may affect the trading price of our common stock.</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pStyle w:val="TextBody"/>
        <w:spacing w:before="0" w:after="0"/>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authorize our board of directors to issue, without further action by the stockholders, up to 5.0 million shares of undesignated preferred stock;</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specify that special meetings of our stockholders can be called only by our board of directors, our chairman of the board, or our chief executive officer;</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 that our board of directors is divided into three classes, Class I, Class II and Class III, with each class serving staggered terms;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that our directors may be removed only for cause;</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that vacancies on our board of directors may, except as otherwise required by law, be filled only by a majority of directors then in office, even if less than a quorum;</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that the federal district courts of the United States shall be the exclusive forum for the resolution of any complaint asserting a cause of action arising under the Securities Act of 1933, as amended;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specify that no stockholder is permitted to cumulate votes at any election of directors;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require a super-majority of votes to amend certain of the above-mentioned provisions.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pStyle w:val="TextBody"/>
        <w:spacing w:before="0" w:after="0"/>
        <w:rPr/>
      </w:pPr>
      <w:r>
        <w:rPr/>
      </w:r>
    </w:p>
    <w:p>
      <w:pPr>
        <w:pStyle w:val="TextBody"/>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have never paid dividends on our capital stock, and we do not anticipate paying dividends in the foreseeable future.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lease office and laboratory facilities in South San Francisco (approximately 59,000 square feet) and San Diego (approximately 28,400 square feet), California; Austin, Texas (approximately 10,400 square feet); Marseille, France (approximately 31,400 square feet); and Richmond, Virginia (approximately 8,200 square feet). We believe our facilities are in good condition and adequate for their current use. We may expand or improve our current facilities or add additional facilities as appropriate to meet the needs of our operations.</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We may from time to time become involved in legal proceedings arising in the ordinary course of business.</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Global Market under the symbol "VCYT". </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dividends on our common stock and do not expect to pay dividends on our common stock for the foreseeable future. Instead, we anticipate that all of our earnings in the foreseeable future will be used for the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credit agreement restrict our ability to pay dividends on our common stock, and we may also enter into credit agreements or other borrowing arrangements in the future that will further restrict our ability to declare or pay dividends on our common stock.</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 of Unregistered Securities and Use of Proceeds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not deemed to be "soliciting material" or to be "filed" with the Securities and Exchange Commission or subject to Regulation 14A or 14C under the Securities Exchange Act of 1934, as amended, or the Exchange Act, or to the liabilities of Section 18 of the Exchange Act, and will not be deemed to be incorporated by reference into any filing under the Securities Act or the Exchange Act, except to the extent we specifically incorporate it by reference into such a filing.</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 below compares the cumulative total stockholder return of our common stock to the Nasdaq Global Market Index and the Nasdaq Biotechnology Index. The graph and table below assume that $100 was invested on the starting date and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if any, were reinvested on the date of payment without payment of any commissions. The comparisons in the table are required by the SEC and are not intended to forecast or be indicative of future performance of our common stock.</w:t>
      </w:r>
    </w:p>
    <w:p>
      <w:pPr>
        <w:pStyle w:val="TextBody"/>
        <w:spacing w:before="0" w:after="0"/>
        <w:ind w:left="0" w:right="0" w:firstLine="495"/>
        <w:jc w:val="both"/>
        <w:rPr/>
      </w:pPr>
      <w:r>
        <w:rPr/>
      </w:r>
    </w:p>
    <w:p>
      <w:pPr>
        <w:pStyle w:val="TextBody"/>
        <w:spacing w:before="0" w:after="0"/>
        <w:jc w:val="center"/>
        <w:rPr/>
      </w:pPr>
      <w:r>
        <w:rPr/>
        <w:drawing>
          <wp:inline distT="0" distB="63500" distL="0" distR="0">
            <wp:extent cx="6515100" cy="3705225"/>
            <wp:effectExtent l="0" t="0" r="0" b="0"/>
            <wp:docPr id="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 descr=""/>
                    <pic:cNvPicPr>
                      <a:picLocks noChangeAspect="1" noChangeArrowheads="1"/>
                    </pic:cNvPicPr>
                  </pic:nvPicPr>
                  <pic:blipFill>
                    <a:blip r:embed="rId3"/>
                    <a:stretch>
                      <a:fillRect/>
                    </a:stretch>
                  </pic:blipFill>
                  <pic:spPr bwMode="auto">
                    <a:xfrm>
                      <a:off x="0" y="0"/>
                      <a:ext cx="6515100" cy="3705225"/>
                    </a:xfrm>
                    <a:prstGeom prst="rect">
                      <a:avLst/>
                    </a:prstGeom>
                  </pic:spPr>
                </pic:pic>
              </a:graphicData>
            </a:graphic>
          </wp:inline>
        </w:drawing>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87"/>
        <w:gridCol w:w="565"/>
        <w:gridCol w:w="567"/>
        <w:gridCol w:w="109"/>
        <w:gridCol w:w="109"/>
        <w:gridCol w:w="109"/>
        <w:gridCol w:w="215"/>
        <w:gridCol w:w="736"/>
        <w:gridCol w:w="111"/>
        <w:gridCol w:w="109"/>
        <w:gridCol w:w="109"/>
        <w:gridCol w:w="109"/>
        <w:gridCol w:w="215"/>
        <w:gridCol w:w="736"/>
        <w:gridCol w:w="111"/>
        <w:gridCol w:w="109"/>
        <w:gridCol w:w="109"/>
        <w:gridCol w:w="109"/>
        <w:gridCol w:w="215"/>
        <w:gridCol w:w="736"/>
        <w:gridCol w:w="111"/>
        <w:gridCol w:w="109"/>
        <w:gridCol w:w="109"/>
        <w:gridCol w:w="109"/>
        <w:gridCol w:w="215"/>
        <w:gridCol w:w="736"/>
        <w:gridCol w:w="111"/>
        <w:gridCol w:w="109"/>
        <w:gridCol w:w="109"/>
        <w:gridCol w:w="109"/>
        <w:gridCol w:w="215"/>
        <w:gridCol w:w="736"/>
        <w:gridCol w:w="111"/>
        <w:gridCol w:w="109"/>
        <w:gridCol w:w="109"/>
        <w:gridCol w:w="109"/>
        <w:gridCol w:w="215"/>
        <w:gridCol w:w="735"/>
        <w:gridCol w:w="164"/>
      </w:tblGrid>
      <w:tr>
        <w:trPr/>
        <w:tc>
          <w:tcPr>
            <w:tcW w:w="687"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1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Global Market Index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167.00 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239.00 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Biotechnology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financial condition and results of operations should be read together with the consolidated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before="0" w:after="0"/>
        <w:ind w:left="0" w:right="0" w:firstLine="720"/>
        <w:rPr/>
      </w:pPr>
      <w:r>
        <w:rPr/>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diagnostics company that improves patient care by answering important clinical questions to inform diagnosis and treatment decisions throughout the patient journey in cancer and other diseases. Our growing menu of tests leverages advances in molecular science and machine learning technology to improve care for patients, enabling them to avoid risky, costly procedures and interventions, and reduce time to appropriate treatment.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tests address eight of the 10 most prevalent cancers by incidence in the United States. In addition to making our tests available in the United States through our central laboratories, our exclusive license to the nCounter Analysis System positions us to deliver our tests to patients worldwide through laboratories and hospitals that can perform the tests locally.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tests that address significant unmet clinical needs in the diagnosis, prognosis and treatment of cancer and other diseases. We deploy a comprehensive strategic planning approach that broadly examines the clinical care spectrum in areas where our unique approach and expertise may potentially benefit physicians, patients and payers. In each disease area, our medical affairs and research teams focus intensely on understanding the patient journey and analyzing critical points of clinical decision-making, where having better information can impact what happens next for the patient.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extensive team of research, bioinformatics and clinical professionals rely on deep scientific expertise and an extensive network of practicing physicians and key opinion leaders, or KOLs, to inform new product development. This includes determining what clinical question each test should answer, where it should be positioned in the patient work-up and what sample type and technology should be used. We develop our molecular tests using advanced scientific methods, such as RNA whole-transcriptome sequencing and machine learning. Veracyte’s tests are purposefully designed to integrate easily into current physician protocols, delivering clinical utility and economic value to physicians, payers, and the healthcare system.</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offer tests in thyroid cancer (Afirma); prostate cancer (Decipher Prostate); breast cancer (Prosigna); lung cancer (Percepta); interstitial lung diseases (Envisia); bladder cancer (Decipher Bladder); and colon cancer (Immunoscore). Our tests for kidney cancer and lymphoma are in development, the latter as a companion diagnostic.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global markets with two complementary and inter-related core models. In the United States, we offer laboratory developed tests, or LDTs, which we perform in our centralized, CLIA-certified laboratories in South San Francisco and San Diego, California, and Richmond, Virginia, supported by our cytopathology expertise in our Austin, Texas CLIA lab. In addition, outside of the United States, we intend to offer our tests as in vitro diagnostic, or IVD, tests that run on the nCounter Analysis System by laboratories that perform them for physicians and their patients locally. We believe our broad menu of advanced diagnostic tests, combined with our ability to deliver them globally, uniquely position us in the diagnostics sector.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process of developing leading diagnostics across the oncology market, we have collected a significant number of patient samples and proprietary data related to various cancer types. We combine these assets with our robust machine learning core competency to further enhance our research capabilities, as well as build opportunities with biopharmaceutical and other partners.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early 2021, Veracyte acquired Decipher Biosciences, expanding our genomic testing menu into urologic cancers. The acquisition also provided Veracyte with Decipher GRID (Genomic Resource for Intelligent Discovery), a platform and database that helps drive biopharmaceutical partnerships, KOL engagement and pipeline development in urologic cancers.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mid-2021, we acquired HalioDx, giving us the capabilities and expertise to manufacture our own IVD test kits for use on the nCounter Analysis System. The acquisition also deepened our scientific expertise into the rapidly growing area of immuno-oncology, expanded our reach into colon cancer with the Immunoscore test and further strengthened our offerings to biopharmaceutical and other partners.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spacing w:before="0" w:after="0"/>
        <w:ind w:left="0" w:right="0" w:firstLine="13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continuation of the COVID-19 outbreak and its recent escalation due to the Delta and Omicron variants has impacted our test volumes. Our customers, third-party contract manufacturers, carriers, suppliers and collaboration partners have been affected by the closure of hospitals, doctors' offices, manufacturing sites, or country borders, among other measures put in place around the world. Layoffs, furloughs and unplanned loss of staff (due to vaccination status or other reasons)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Decipher Prostate test has been least impacted by the pandemic because our customers are mostly community-based urology practices, which generally remain more accessible to patients and our sales reps. Our Afirma thyroid cancer test has been impacted by COVID-19 because a majority of our samples come from institutions, which are less accessible to patients and our reps. We believe our pulmonology business continues to be most impacted since the bronchoscopy procedures used to collect samples for our Percepta and Envisia tests are considered elective procedures and are performed in hospital settings, which continue to be more restrictive, and these tests are ordered by pulmonologists who are currently largely preoccupied with caring for COVID-19 patients. </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rapid increase in daily COVID-19 testing consumes reagents and supplies otherwise available to diagnostic testing companies like ours across the United States. When not limited by the expiration date of products and when we feel it reasonable and feasible to do so, we are taking steps to manage our level of stock reserves, to develop alternative sources of supply and to implement procedures to mitigate the impact on our supply chain and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extent of the impact of COVID-19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and the impact to our sales and renewal cycles. See Risk Factors for further discussion of the possible impact of the COVID-19 pandemic on our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before="0" w:after="0"/>
        <w:ind w:left="0" w:right="0" w:firstLine="864"/>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Reported Test Volume</w:t>
      </w:r>
    </w:p>
    <w:p>
      <w:pPr>
        <w:pStyle w:val="TextBody"/>
        <w:spacing w:lineRule="auto" w:line="288" w:before="0" w:after="0"/>
        <w:ind w:left="0" w:right="0" w:firstLine="135"/>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the number of tests that we perform and report as completed in our CLIA-certified laboratories and tests processed on the nCounter Analysis System. Factors impacting the number of tests that we report as completed include, but are not limited to:</w:t>
      </w:r>
    </w:p>
    <w:p>
      <w:pPr>
        <w:pStyle w:val="TextBody"/>
        <w:spacing w:lineRule="auto" w:line="288" w:before="0" w:after="0"/>
        <w:ind w:left="0" w:right="0" w:firstLine="855"/>
        <w:jc w:val="both"/>
        <w:rPr>
          <w:color w:val="000000"/>
        </w:rPr>
      </w:pPr>
      <w:r>
        <w:rPr>
          <w:color w:val="000000"/>
        </w:rPr>
        <w:t>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COVID-19 on patients seeking to have tests performed;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availability of hospital staff to perform and support procedures needed to collect samples for our tests;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number of samples that we receive that meet the medical indication for each test performed;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quantity and quality of the sample received;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receipt of the necessary documentation, such as physician order and patient consent, required to perform, bill and collect for our tests;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patient's ability to pay or provide necessary insurance coverage for the tests performed;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time it takes us to perform our tests and report the results;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seasonality inherent in our business, such as the impact of work days per period, timing of industry conferences and the timing of when patient deductibles are exceeded, which also impacts the reimbursement we receive from insurers;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prior authorization or meet other requirements instituted by payers, benefit managers, or regulators necessary to be paid for our tests.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 substantial amount of our revenue from Afirma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pStyle w:val="TextBody"/>
        <w:spacing w:lineRule="auto" w:line="288" w:before="0" w:after="0"/>
        <w:ind w:left="0" w:right="0" w:firstLine="135"/>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Continued Adoption of and Reimbursement for our Products</w:t>
      </w:r>
    </w:p>
    <w:p>
      <w:pPr>
        <w:pStyle w:val="TextBody"/>
        <w:spacing w:lineRule="auto" w:line="288" w:before="0" w:after="0"/>
        <w:ind w:left="0" w:right="0" w:firstLine="135"/>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pStyle w:val="TextBody"/>
        <w:spacing w:lineRule="auto" w:line="288" w:before="0" w:after="0"/>
        <w:ind w:left="0" w:right="0" w:firstLine="135"/>
        <w:jc w:val="both"/>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Integrating acquired assets and advances to our collaborations</w:t>
      </w:r>
    </w:p>
    <w:p>
      <w:pPr>
        <w:pStyle w:val="TextBody"/>
        <w:spacing w:lineRule="auto" w:line="288" w:before="0" w:after="0"/>
        <w:ind w:left="0" w:right="0" w:firstLine="135"/>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operational results and advances to our business strategy depends on our ability to integrate any acquired assets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Decipher Biosciences in March 2021 and HalioDx in August 2021 may impact our revenue and operating results through integration of various functions.</w:t>
      </w:r>
    </w:p>
    <w:p>
      <w:pPr>
        <w:pStyle w:val="TextBody"/>
        <w:spacing w:lineRule="auto" w:line="288" w:before="0" w:after="0"/>
        <w:ind w:left="0" w:right="0" w:firstLine="45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growth or reimbursement from our biopharmaceutical and IVD contract manufacturing partners depends on our ability to deliver services or information and achieve milestones required from our collaborative partners. Our collaboration partners pay us for the provision of data and other services and the achievement of milestones.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How We Recognize Revenue</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We recognize revenue in accordance with the provisions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w:t>
      </w:r>
    </w:p>
    <w:p>
      <w:pPr>
        <w:pStyle w:val="TextBody"/>
        <w:spacing w:before="0" w:after="0"/>
        <w:ind w:left="0" w:right="0" w:firstLine="450"/>
        <w:jc w:val="both"/>
        <w:rPr/>
      </w:pPr>
      <w:r>
        <w:rPr/>
      </w:r>
    </w:p>
    <w:p>
      <w:pPr>
        <w:pStyle w:val="TextBody"/>
        <w:spacing w:lineRule="auto" w:line="256" w:before="0" w:after="0"/>
        <w:rPr>
          <w:rFonts w:ascii="Times New Roman;sans-serif" w:hAnsi="Times New Roman;sans-serif"/>
          <w:b/>
          <w:color w:val="000000"/>
          <w:sz w:val="20"/>
        </w:rPr>
      </w:pPr>
      <w:r>
        <w:rPr>
          <w:rFonts w:ascii="Times New Roman;sans-serif" w:hAnsi="Times New Roman;sans-serif"/>
          <w:b/>
          <w:color w:val="000000"/>
          <w:sz w:val="20"/>
        </w:rPr>
        <w:t>Testing Revenue</w:t>
      </w:r>
    </w:p>
    <w:p>
      <w:pPr>
        <w:pStyle w:val="TextBody"/>
        <w:spacing w:lineRule="auto" w:line="288" w:before="0" w:after="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tests performed during the relevant period divided by the number of these tests performed during that same period.</w:t>
      </w:r>
    </w:p>
    <w:p>
      <w:pPr>
        <w:pStyle w:val="TextBody"/>
        <w:spacing w:lineRule="auto" w:line="288" w:before="0" w:after="0"/>
        <w:ind w:left="0" w:right="0" w:firstLine="45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w:t>
      </w:r>
    </w:p>
    <w:p>
      <w:pPr>
        <w:pStyle w:val="TextBody"/>
        <w:spacing w:lineRule="auto" w:line="288" w:before="0" w:after="0"/>
        <w:ind w:left="0" w:right="0" w:firstLine="45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incur expense for tests in the period in which the test is conducted and recognize revenue for tests in the period in which our revenue recognition criteria are met.</w:t>
      </w:r>
    </w:p>
    <w:p>
      <w:pPr>
        <w:pStyle w:val="TextBody"/>
        <w:spacing w:before="0" w:after="0"/>
        <w:ind w:left="0" w:right="0" w:firstLine="450"/>
        <w:jc w:val="both"/>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Product Revenue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consist of the Prosigna breast cancer assay, the nCounter Analysis System and related diagnostic kits.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Revenues are presented net of the taxes that are collected from customers and remitted to governmental authorities.</w:t>
      </w:r>
    </w:p>
    <w:p>
      <w:pPr>
        <w:pStyle w:val="TextBody"/>
        <w:spacing w:before="0" w:after="0"/>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Biopharmaceutical and Other Revenues</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We enter into arrangements to license or provide access to our assets or services, including testing services, clinical and medical services, research and development, contract manufacturing and other services. Such arrangements may require us to deliver various rights, data, services, manufactured diagnostic test kits, access and/or testing services to partner biopharmaceutical companies. One such arrangement is a collaborative arrangement that falls under the scope of ASC Topic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or ASC 808.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Milestone payments which fall under the scope of ASC 808, are recognized in the same manner as milestone payments from customers and are considered to be collaboration revenue. Payments received that are not related to sales or services to a customer or collaboration revenue are recorded as offsets against research and development expense or cost of biopharmaceutical and other revenue in our consolidated statements of operations.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Development of Additional Tests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advance our portfolio of diagnostic tests to further improve patient guidance and care globally. For this, we leverage innovations in genomic science, sequencing technology, spatial immunohistochemistry and machine learning, as well as our robust biorepositories and our exclusive diagnostics rights to the nCounter Analysis System.</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Timing of Our Research and Development Expenses</w:t>
      </w:r>
    </w:p>
    <w:p>
      <w:pPr>
        <w:pStyle w:val="TextBody"/>
        <w:spacing w:lineRule="auto" w:line="288" w:before="0" w:after="0"/>
        <w:ind w:left="0" w:right="0" w:firstLine="45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pStyle w:val="TextBody"/>
        <w:spacing w:before="0" w:after="0"/>
        <w:ind w:left="0" w:right="0" w:firstLine="45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Through December 31, 2021, we had derived most of our revenue from the sale of Afirma and the Decipher urologic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tbl>
      <w:tblPr>
        <w:tblW w:w="4141" w:type="dxa"/>
        <w:jc w:val="left"/>
        <w:tblInd w:w="0" w:type="dxa"/>
        <w:tblCellMar>
          <w:top w:w="28" w:type="dxa"/>
          <w:left w:w="28" w:type="dxa"/>
          <w:bottom w:w="28" w:type="dxa"/>
          <w:right w:w="28" w:type="dxa"/>
        </w:tblCellMar>
      </w:tblPr>
      <w:tblGrid>
        <w:gridCol w:w="560"/>
        <w:gridCol w:w="492"/>
        <w:gridCol w:w="494"/>
        <w:gridCol w:w="180"/>
        <w:gridCol w:w="181"/>
        <w:gridCol w:w="271"/>
        <w:gridCol w:w="109"/>
        <w:gridCol w:w="109"/>
        <w:gridCol w:w="109"/>
        <w:gridCol w:w="180"/>
        <w:gridCol w:w="181"/>
        <w:gridCol w:w="271"/>
        <w:gridCol w:w="109"/>
        <w:gridCol w:w="109"/>
        <w:gridCol w:w="109"/>
        <w:gridCol w:w="180"/>
        <w:gridCol w:w="181"/>
        <w:gridCol w:w="316"/>
      </w:tblGrid>
      <w:tr>
        <w:trPr/>
        <w:tc>
          <w:tcPr>
            <w:tcW w:w="5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UnitedHealthcare</w:t>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pStyle w:val="TextBody"/>
        <w:spacing w:lineRule="auto" w:line="288" w:before="0" w:after="0"/>
        <w:jc w:val="both"/>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Cost of Testing Revenue</w:t>
      </w:r>
    </w:p>
    <w:p>
      <w:pPr>
        <w:pStyle w:val="TextBody"/>
        <w:spacing w:lineRule="auto" w:line="288" w:before="0" w:after="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cost of testing revenue are laboratory expenses, sample collection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quality control batches, test batches and registry samples, and generally incur costs that may suppress or reduce gross margins. This will disproportionately increase our aggregate cost of testing revenue until we achieve efficiencies in processing these new tests.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Cost of Product Revenue</w:t>
      </w:r>
    </w:p>
    <w:p>
      <w:pPr>
        <w:pStyle w:val="TextBody"/>
        <w:spacing w:lineRule="auto" w:line="288" w:before="0" w:after="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Cost of Biopharmaceutical Revenue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biopharmaceutical and other revenue are the costs of performing activities under arrangements that require us to perform research and development, commercialization, contract manufacturing and contract testing services on behalf of a customer, and is mainly comprised of compensation expense, laboratory supplies and pass-through costs.</w:t>
      </w:r>
    </w:p>
    <w:p>
      <w:pPr>
        <w:pStyle w:val="TextBody"/>
        <w:spacing w:before="0" w:after="0"/>
        <w:ind w:left="0" w:right="0" w:firstLine="864"/>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0" w:after="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a majority of our research and development expenses in years ended December 31, 2021 and December 31, 2020 in support of our pipeline products. Going forward, we are investing in the development of our pipeline products, including required clinical studies, the development of current tests for the nCounter instrument and the transition of manufacturing to our Veracyte SAS facility.</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Selling and Marketing</w:t>
      </w:r>
    </w:p>
    <w:p>
      <w:pPr>
        <w:pStyle w:val="TextBody"/>
        <w:spacing w:lineRule="auto" w:line="288" w:before="0" w:after="0"/>
        <w:ind w:left="0" w:right="0" w:firstLine="45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consist of compensation expenses, direct marketing expenses, professional fees, other expenses such as travel and communications costs and allocation of facility and information technology expenses. Our sales team of approximately 150 representatives is organized by business unit, with separate teams calling on thyroid cancer, urologic cancers, breast cancer, pulmonology and colorectal cancers physicians. The business units have dedicated marketing support, as well as a marketing operations team that serves the commercial organization broadly. Prosigna sales outside of the U.S. are led by direct sales teams that call on laboratories and breast cancer oncologists, and have dedicated marketing support.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spacing w:lineRule="auto" w:line="288" w:before="0" w:after="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include compensation expenses for executive officers and administrative, billing and client service personnel, professional fees for legal and audit services, occupancy costs, depreciation and amortization, and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such as information technology and miscellaneous expenses offset by allocation of facility and information technology expenses to other functions. For the year ended December 31, 2021, costs related to the acquisitions of Decipher Biosciences and HalioDx were included in general and administrative compensation expense and professional fees. For the year ended December 31, 2021, approximately 50% of the average headcount classified as general and administrative encompass our billing and customer care teams. We expect general and administrative expenses to continue to increase as we build our general and administration functions to support our global revenue growth.</w:t>
      </w:r>
    </w:p>
    <w:p>
      <w:pPr>
        <w:pStyle w:val="TextBody"/>
        <w:spacing w:lineRule="auto" w:line="288" w:before="0" w:after="0"/>
        <w:ind w:left="0" w:right="0" w:firstLine="45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Intangible Asset Amortization</w:t>
      </w:r>
    </w:p>
    <w:p>
      <w:pPr>
        <w:pStyle w:val="TextBody"/>
        <w:spacing w:lineRule="auto" w:line="288" w:before="0" w:after="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finite-lived intangible assets, acquired in business combinations, are being amortized over 4 to 15 years, using the straight-line method. Amortization expense is expected to be approximately $22.0 million per year through 2024 and decreases thereafter. </w:t>
      </w:r>
    </w:p>
    <w:p>
      <w:pPr>
        <w:pStyle w:val="TextBody"/>
        <w:spacing w:lineRule="auto" w:line="288" w:before="0" w:after="0"/>
        <w:ind w:left="0" w:right="0" w:firstLine="45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attributable to our borrowings under debt agreements and costs associated with the prepayment of debt. </w:t>
      </w:r>
    </w:p>
    <w:p>
      <w:pPr>
        <w:pStyle w:val="TextBody"/>
        <w:spacing w:lineRule="auto" w:line="288" w:before="0" w:after="0"/>
        <w:ind w:left="0" w:right="0" w:firstLine="45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0" w:after="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consists primarily of realized and unrealized gains and losses on foreign currency transactions, French research tax credits, interest expense on our debt and interest income from our cash held in interest bearing accounts. The French research tax credits (crédit d’impôt recherche or CIR) are generated by our wholly owned subsidiary, Veracyte SAS, in connection with its research efforts performed in Marseille, France.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audited consolidated financial statements, which have been prepared in accordance with United States generally accepted accounting principles, or U.S. GAAP. The preparation of the consolidated financial statements requires us to make estimates and assumptions that affect the reported amounts of assets and liabilities and the disclosure of contingent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Testing Revenue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bill for testing services at the time of test completion as defined by the delivery of test results. We recognize revenue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the agreed upon rate (if applicable), amount paid per test and any current developments or changes that could impact reimbursement. These estimates require significant judgment by management.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we determine accrual rates based on the average reimbursement from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judgment in determining accrual rates and our judgments will continue to evolve in the future as we continue to gain reimbursement experience.</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Product Revenue</w:t>
      </w:r>
    </w:p>
    <w:p>
      <w:pPr>
        <w:pStyle w:val="TextBody"/>
        <w:spacing w:lineRule="auto" w:line="288" w:before="0" w:after="0"/>
        <w:ind w:left="0" w:right="0" w:firstLine="135"/>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consist of the Prosigna breast cancer assay, the nCounter Analysis System and related diagnostic kits. We recognize product revenue when control of the promised goods is transferred to our customers, in an amount that reflects the consideration expected to be received in exchange for those products. Shipping and handling costs incurred for product shipments are charged to our customers and included in product revenue. Revenues are presented net of the taxes that are collected from customers and remitted to governmental authorities.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Biopharmaceutical and Other Revenues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biopharmaceutical and other revenue, we develop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revenues or costs, development timelines, discount rates, and probabilities of technical and regulatory success. We evaluate each performance obligation to determine if they can be satisfied at a point in time or over time, and we measure the services delivered to the collaborative partner which are periodically reviewed based on the progress of the related program. For licenses that are bundled with other promises, we utilize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each arrangement that includes milestone payments (variable consideration), we evaluate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we re-evaluate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revenues and earnings in the period of adjustment. Revisions to our estimate of the transaction price may also result in negative revenues and earnings in the period of adjustment. One collaboration arrangement with milestone payments falls under the scope of ASC 808. These milestone payments are recognized in the same manner as milestone payments from customers and are classified under biopharmaceutical and other revenue.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Significant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first determine whether a set of assets acquired and liabilities assumed constitute a business and should be accounted for as a business combination. If the assets acquired are not a business, we account for the transaction as 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earnings. The estimation of the fair value of the contingent consideration is based on the present value of the expected payments calculated by assessing the likelihood of when the related milestones would be achieved, discounted using our estimated borrowing rate.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 Amortization</w:t>
      </w:r>
    </w:p>
    <w:p>
      <w:pPr>
        <w:pStyle w:val="TextBody"/>
        <w:spacing w:before="0" w:after="0"/>
        <w:ind w:left="0" w:right="0" w:firstLine="495"/>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We have acquired finite-lived and indefinite-lived intangible assets in business combinations. These </w:t>
      </w:r>
      <w:r>
        <w:rPr>
          <w:rFonts w:ascii="Times New Roman;sans-serif" w:hAnsi="Times New Roman;sans-serif"/>
          <w:b w:val="false"/>
          <w:color w:val="000000"/>
          <w:sz w:val="20"/>
          <w:highlight w:val="white"/>
        </w:rPr>
        <w:t xml:space="preserve">intangible assets are measured at their respective fair values as of the acquisition date and are subject to potential adjustments within the measurement period, which may be up to one year from the acquisition dates. The fair values of the intangible assets are generally determined using income approaches such as the multi-period excess earnings method, the with-and-without method and the relief from royalty method. These income approaches are based on various estimates for each asset including the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highlight w:val="white"/>
        </w:rPr>
        <w:t xml:space="preserve">estimate of future cash flows including, revenue assumptions (such as projected testing volumes, growth rates), discount rates and the expected economic life/obsolescence factors of the respective assets. </w:t>
      </w:r>
      <w:r>
        <w:rPr>
          <w:rFonts w:ascii="Times New Roman;sans-serif" w:hAnsi="Times New Roman;sans-serif"/>
          <w:b w:val="false"/>
          <w:color w:val="000000"/>
          <w:sz w:val="20"/>
        </w:rPr>
        <w:t>Our finite-lived intangible assets are being amortized using the straight-line method over their estimated useful lives of 4 to 15 years, based on management's estimate of the period over which their economic benefits will be realized, product life and patent life. Our in-process research and development, or IPR&amp;D, is not amortized until it becomes commercially viable and placed in service. At the time when the IPR&amp;D is placed in service, we will determine a useful life. We test these intangible assets for impairment on an annual basis or when events or circumstances indicate a reduction in the fair value below their carrying amounts. There was no impairment recognized during the years ended December 31, 2021, 2020, or 2019.</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recognized during the years ended December 31, 2021, 2020, or 2019.</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Performance-based stock units, which vest upon the achievement of certain performance conditions, are subject to the employees’ continued service with the Company. The probability of vesting is assessed at each reporting period and compensation cost is adjusted based on this probability assessment.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Revenues and expenses from our foreign subsidiaries are translated using the monthly average exchange rates in effect during the period in which the transactions occur. Foreign currency transaction gains and losses are recorded in other (loss) income, net, on the consolidated statements of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2021 and 2020 (in thousands, except percentages)</w:t>
      </w:r>
    </w:p>
    <w:p>
      <w:pPr>
        <w:pStyle w:val="TextBody"/>
        <w:spacing w:before="0" w:after="0"/>
        <w:jc w:val="both"/>
        <w:rPr/>
      </w:pPr>
      <w:r>
        <w:rPr/>
      </w:r>
    </w:p>
    <w:tbl>
      <w:tblPr>
        <w:tblW w:w="9086" w:type="dxa"/>
        <w:jc w:val="left"/>
        <w:tblInd w:w="0" w:type="dxa"/>
        <w:tblCellMar>
          <w:top w:w="28" w:type="dxa"/>
          <w:left w:w="28" w:type="dxa"/>
          <w:bottom w:w="28" w:type="dxa"/>
          <w:right w:w="28" w:type="dxa"/>
        </w:tblCellMar>
      </w:tblPr>
      <w:tblGrid>
        <w:gridCol w:w="1361"/>
        <w:gridCol w:w="1198"/>
        <w:gridCol w:w="1206"/>
        <w:gridCol w:w="211"/>
        <w:gridCol w:w="826"/>
        <w:gridCol w:w="109"/>
        <w:gridCol w:w="109"/>
        <w:gridCol w:w="109"/>
        <w:gridCol w:w="109"/>
        <w:gridCol w:w="211"/>
        <w:gridCol w:w="796"/>
        <w:gridCol w:w="109"/>
        <w:gridCol w:w="109"/>
        <w:gridCol w:w="109"/>
        <w:gridCol w:w="109"/>
        <w:gridCol w:w="306"/>
        <w:gridCol w:w="310"/>
        <w:gridCol w:w="271"/>
        <w:gridCol w:w="109"/>
        <w:gridCol w:w="109"/>
        <w:gridCol w:w="109"/>
        <w:gridCol w:w="211"/>
        <w:gridCol w:w="826"/>
        <w:gridCol w:w="154"/>
      </w:tblGrid>
      <w:tr>
        <w:trPr/>
        <w:tc>
          <w:tcPr>
            <w:tcW w:w="1361"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2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Testing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 and other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testing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benefit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Data:</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tests reported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tests sold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test volume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$102.0 million, or 87%, for the year ended December 31, 2021 compared to 2020. This was primarily due to an $86.2 million increase in testing revenue from an 88% volume increase in our diagnostic tests, as well as a $1.6 million increase in sales of Prosigna. Tests reported for the year ended December 31, 2021 also includes the Decipher urology tests, which contributed $65.9 million of revenue during the year ended December 31, 2021. Biopharmaceutical and other revenue increased $14.2 million for the year ended December 31, 2021 compared to 2020. Biopharmaceutical and other revenue for the year ended December 31, 2021 includes $4.0 million of collaboration revenue from the fulfillment of obligations relating to development milestones under a Johnson &amp; Johnson diagnostic development agreement. Biopharmaceutical and other revenue for the year ended December 31, 2021 also includes the operations of HalioDx following its acquisition.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Comparison of revenue for the years ended December 31, 2020 and 2019 is included in Item 8 of Part II of the Annual Report on Form 10-K filed with the Securities and Exchange Commission dated February 22, 2021.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years ended December 31, 2021 and 2020 was as follows (in thousands of dollars, except percentages):</w:t>
      </w:r>
    </w:p>
    <w:p>
      <w:pPr>
        <w:pStyle w:val="TextBody"/>
        <w:spacing w:before="0" w:after="0"/>
        <w:ind w:left="0" w:right="0" w:firstLine="495"/>
        <w:jc w:val="both"/>
        <w:rPr/>
      </w:pPr>
      <w:r>
        <w:rPr/>
      </w:r>
    </w:p>
    <w:tbl>
      <w:tblPr>
        <w:tblW w:w="8861" w:type="dxa"/>
        <w:jc w:val="left"/>
        <w:tblInd w:w="0" w:type="dxa"/>
        <w:tblCellMar>
          <w:top w:w="28" w:type="dxa"/>
          <w:left w:w="28" w:type="dxa"/>
          <w:bottom w:w="28" w:type="dxa"/>
          <w:right w:w="28" w:type="dxa"/>
        </w:tblCellMar>
      </w:tblPr>
      <w:tblGrid>
        <w:gridCol w:w="1383"/>
        <w:gridCol w:w="1218"/>
        <w:gridCol w:w="1224"/>
        <w:gridCol w:w="211"/>
        <w:gridCol w:w="721"/>
        <w:gridCol w:w="109"/>
        <w:gridCol w:w="109"/>
        <w:gridCol w:w="109"/>
        <w:gridCol w:w="109"/>
        <w:gridCol w:w="211"/>
        <w:gridCol w:w="721"/>
        <w:gridCol w:w="109"/>
        <w:gridCol w:w="109"/>
        <w:gridCol w:w="109"/>
        <w:gridCol w:w="109"/>
        <w:gridCol w:w="307"/>
        <w:gridCol w:w="309"/>
        <w:gridCol w:w="271"/>
        <w:gridCol w:w="109"/>
        <w:gridCol w:w="109"/>
        <w:gridCol w:w="109"/>
        <w:gridCol w:w="211"/>
        <w:gridCol w:w="721"/>
        <w:gridCol w:w="154"/>
      </w:tblGrid>
      <w:tr>
        <w:trPr/>
        <w:tc>
          <w:tcPr>
            <w:tcW w:w="1383"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3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testing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Sample collection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 and royalties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 and royalties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 and royalties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testing revenue increased $22.9 million for the year ended December 31, 2021 compared to 2020. Following the acquisition of Decipher Biosciences in March 2021, its operations are included in cost of testing revenue and contributed approximately $15.2 million for the year ended December 31, 2021. The increase in laboratory costs was primarily related to an 88% increase in the volume of diagnostic tests reported, including Decipher tests. The increase in sample collection costs primarily related to the 88% increase in the volume of diagnostic tests reported. The increase in compensation expense related to a headcount increase of 162%, including the addition of Decipher Biosciences employees.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revenue is related to sales of Prosigna. Cost of product revenue increased $1.0 million, or 20%, for the year ended December 31, 2021 compared to the same period in 2020, primarily due to a 15% increase in product tests sold.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 includes labor costs incurred by our employees working on customer projects and laboratory supplies and pass-through expenses incurred on these projects. Cost of biopharmaceutical and other revenue includes the operations of HalioDx following its acquisition on August 2, 2021, which contributed approximately $9.3 million to cost of revenue.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Comparison of cost of revenue for the years ended December 31, 2020 and 2019 are included in Item 8 of Part II of the Annual Report on Form 10-K filed with the Securities and Exchange Commission dated February 22, 2021.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before="0" w:after="0"/>
        <w:ind w:left="0" w:right="0" w:firstLine="40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years ended December 31, 2021 and 2020 was as follows (in thousands of dollars, except percentages):</w:t>
      </w:r>
    </w:p>
    <w:p>
      <w:pPr>
        <w:pStyle w:val="TextBody"/>
        <w:spacing w:before="0" w:after="0"/>
        <w:ind w:left="0" w:right="0" w:firstLine="495"/>
        <w:jc w:val="both"/>
        <w:rPr/>
      </w:pPr>
      <w:r>
        <w:rPr/>
      </w:r>
    </w:p>
    <w:tbl>
      <w:tblPr>
        <w:tblW w:w="8366" w:type="dxa"/>
        <w:jc w:val="left"/>
        <w:tblInd w:w="0" w:type="dxa"/>
        <w:tblCellMar>
          <w:top w:w="28" w:type="dxa"/>
          <w:left w:w="28" w:type="dxa"/>
          <w:bottom w:w="28" w:type="dxa"/>
          <w:right w:w="28" w:type="dxa"/>
        </w:tblCellMar>
      </w:tblPr>
      <w:tblGrid>
        <w:gridCol w:w="1262"/>
        <w:gridCol w:w="1106"/>
        <w:gridCol w:w="1112"/>
        <w:gridCol w:w="211"/>
        <w:gridCol w:w="721"/>
        <w:gridCol w:w="109"/>
        <w:gridCol w:w="109"/>
        <w:gridCol w:w="109"/>
        <w:gridCol w:w="109"/>
        <w:gridCol w:w="211"/>
        <w:gridCol w:w="721"/>
        <w:gridCol w:w="109"/>
        <w:gridCol w:w="109"/>
        <w:gridCol w:w="109"/>
        <w:gridCol w:w="109"/>
        <w:gridCol w:w="232"/>
        <w:gridCol w:w="234"/>
        <w:gridCol w:w="271"/>
        <w:gridCol w:w="109"/>
        <w:gridCol w:w="109"/>
        <w:gridCol w:w="109"/>
        <w:gridCol w:w="211"/>
        <w:gridCol w:w="721"/>
        <w:gridCol w:w="154"/>
      </w:tblGrid>
      <w:tr>
        <w:trPr/>
        <w:tc>
          <w:tcPr>
            <w:tcW w:w="1262"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8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increased $12.6 million or 73% for the year ended December 31, 2021 compared to 2020. Compensation expense increased $9.4 million, primarily due to an increase in average headcount including the addition of Decipher Biosciences and HalioDx employees. </w:t>
      </w:r>
    </w:p>
    <w:p>
      <w:pPr>
        <w:pStyle w:val="TextBody"/>
        <w:spacing w:before="0" w:after="0"/>
        <w:ind w:left="0" w:right="0" w:firstLine="72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research and development expense for the years ended December 31, 2020 and 2019 are included in Item 8 of Part II of the Annual Report on Form 10-K filed with the Securities and Exchange Commission dated February 22, 2021.</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and marketing</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years ended December 31, 2021 and 2020 was as follows (in thousands of dollars, except percentages):</w:t>
      </w:r>
    </w:p>
    <w:p>
      <w:pPr>
        <w:pStyle w:val="TextBody"/>
        <w:spacing w:before="0" w:after="0"/>
        <w:rPr/>
      </w:pPr>
      <w:r>
        <w:rPr/>
      </w:r>
    </w:p>
    <w:tbl>
      <w:tblPr>
        <w:tblW w:w="7466" w:type="dxa"/>
        <w:jc w:val="left"/>
        <w:tblInd w:w="0" w:type="dxa"/>
        <w:tblCellMar>
          <w:top w:w="28" w:type="dxa"/>
          <w:left w:w="28" w:type="dxa"/>
          <w:bottom w:w="28" w:type="dxa"/>
          <w:right w:w="28" w:type="dxa"/>
        </w:tblCellMar>
      </w:tblPr>
      <w:tblGrid>
        <w:gridCol w:w="971"/>
        <w:gridCol w:w="854"/>
        <w:gridCol w:w="860"/>
        <w:gridCol w:w="211"/>
        <w:gridCol w:w="721"/>
        <w:gridCol w:w="109"/>
        <w:gridCol w:w="109"/>
        <w:gridCol w:w="109"/>
        <w:gridCol w:w="109"/>
        <w:gridCol w:w="211"/>
        <w:gridCol w:w="721"/>
        <w:gridCol w:w="109"/>
        <w:gridCol w:w="109"/>
        <w:gridCol w:w="109"/>
        <w:gridCol w:w="109"/>
        <w:gridCol w:w="180"/>
        <w:gridCol w:w="181"/>
        <w:gridCol w:w="271"/>
        <w:gridCol w:w="109"/>
        <w:gridCol w:w="109"/>
        <w:gridCol w:w="109"/>
        <w:gridCol w:w="211"/>
        <w:gridCol w:w="721"/>
        <w:gridCol w:w="154"/>
      </w:tblGrid>
      <w:tr>
        <w:trPr/>
        <w:tc>
          <w:tcPr>
            <w:tcW w:w="971"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8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marketing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 increased $27.5 million, or 52%, for the year ended December 31, 2021 compared to 2020. The increase in compensation expense was primarily due to temporary furloughs and termination of employees in 2020 as a result of the COVID-19 pandemic, by the addition of Decipher Biosciences employees in March 2021 and HalioDx employees in August 2021. The increase in direct marketing expenses were primarily due to increased outside marketing costs and the addition of Decipher Biosciences. </w:t>
      </w:r>
    </w:p>
    <w:p>
      <w:pPr>
        <w:pStyle w:val="TextBody"/>
        <w:spacing w:before="0" w:after="0"/>
        <w:ind w:left="0" w:right="0" w:firstLine="72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selling and marketing expense for the years ended December 31, 2020 and 2019 are included in Item 8 of Part II of the Annual Report on Form 10-K filed with the Securities and Exchange Commission dated February 22, 2021.</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years ended December 31, 2021 and 2020 was as follows (in thousands of dollars, except percentages):</w:t>
      </w:r>
    </w:p>
    <w:p>
      <w:pPr>
        <w:pStyle w:val="TextBody"/>
        <w:spacing w:before="0" w:after="0"/>
        <w:ind w:left="0" w:right="0" w:firstLine="495"/>
        <w:jc w:val="both"/>
        <w:rPr/>
      </w:pPr>
      <w:r>
        <w:rPr/>
      </w:r>
    </w:p>
    <w:tbl>
      <w:tblPr>
        <w:tblW w:w="8066" w:type="dxa"/>
        <w:jc w:val="left"/>
        <w:tblInd w:w="0" w:type="dxa"/>
        <w:tblCellMar>
          <w:top w:w="28" w:type="dxa"/>
          <w:left w:w="28" w:type="dxa"/>
          <w:bottom w:w="28" w:type="dxa"/>
          <w:right w:w="28" w:type="dxa"/>
        </w:tblCellMar>
      </w:tblPr>
      <w:tblGrid>
        <w:gridCol w:w="1115"/>
        <w:gridCol w:w="979"/>
        <w:gridCol w:w="981"/>
        <w:gridCol w:w="211"/>
        <w:gridCol w:w="826"/>
        <w:gridCol w:w="109"/>
        <w:gridCol w:w="109"/>
        <w:gridCol w:w="109"/>
        <w:gridCol w:w="109"/>
        <w:gridCol w:w="211"/>
        <w:gridCol w:w="721"/>
        <w:gridCol w:w="109"/>
        <w:gridCol w:w="109"/>
        <w:gridCol w:w="109"/>
        <w:gridCol w:w="109"/>
        <w:gridCol w:w="233"/>
        <w:gridCol w:w="233"/>
        <w:gridCol w:w="271"/>
        <w:gridCol w:w="109"/>
        <w:gridCol w:w="109"/>
        <w:gridCol w:w="109"/>
        <w:gridCol w:w="211"/>
        <w:gridCol w:w="721"/>
        <w:gridCol w:w="154"/>
      </w:tblGrid>
      <w:tr>
        <w:trPr/>
        <w:tc>
          <w:tcPr>
            <w:tcW w:w="1115"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9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$64.6 million, or 176%, for the year ended December 31, 2021 compared to 2020. General and administrative expense for the year ended December 31, 2021 consists of costs related to the acquisitions of Decipher Biosciences and HalioDx, including $27.0 million of stock-based compensation as well as $20.1 million of professional fees and other costs associated with the transactions. Following the acquisitions, Decipher Biosciences and HalioDx operations also contributed to the increase in general and administrative expenses. The increase in compensation expense was also due to an increase in headcount, including the addition of Decipher Biosciences and HalioDx employees. The increase in other expenses was primarily due to higher IT costs. General and administrative expenses related to occupancy costs and information technology costs are allocated monthly to general and administrative expense, selling and marketing expense, research and development expense, and cost of revenue based on the headcount and employee location.</w:t>
      </w:r>
    </w:p>
    <w:p>
      <w:pPr>
        <w:pStyle w:val="TextBody"/>
        <w:spacing w:before="0" w:after="0"/>
        <w:ind w:left="0" w:right="0" w:firstLine="72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general and administrative expense for the years ended December 31, 2020 and 2019 are included in Item 8 of Part II of the Annual Report on Form 10-K filed with the Securities and Exchange Commission dated February 22,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decreased $0.2 million for the year ended December 31, 2021 compared to 2020, primarily due to a decrease of $1.1 million of unrealized foreign currency gain(loss) and a decrease of $0.5 million of interest and dividend income partially offset by an increase of $1.5 million from the CIR related to operations in France. The CIR are generated by our wholly owned subsidiary, Veracyte SAS, in connection with its research efforts performed in Marseille, France. We recognize other income from the CIR over time based on when the research and development expenses are incurred.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Other income, net, for the years ended December 31, 2020 and 2019 are included in Item 8 of Part II of the Annual Report on Form 10-K filed with the Securities and Exchange Commission dated February 22, 2021.</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through December 31, 2021, we have been financed primarily through net proceeds from the sale of our equity securities. We have incurred net losses since our inception. For the years ended December 31, 2021, 2020 and 2019, we had net losses of $75.6 million, $34.9 million and $12.6 million, respectively, and we expect to incur additional losses in 2022 and potentially in future years. As of December 31, 2021, we had an accumulated deficit of $357.2 million.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existing cash and cash equivalents of $173.2 million as of December 31, 2021,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8 to our audited consolidated financial statements included in this Annual Report on Form 10-K for more information about our Loan and Security Agreement), capital expenditures, lease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including due to the impacts of the COVID-19 pandemic,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Public Offering of Common Stock</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9, 2021, we issued and sold 8,547,297 shares of common stock in a registered public offering, including 1,114,864 shares issued and sold upon the underwriters' exercise in full of their option to purchase additional shares, at a price to the public of $74.00 per share. Our net proceeds from the offering were $593.8 million, after deducting underwriting commissions and offering expenses of $38.7 million.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we issued and sold 6,900,000 shares of common stock in a registered public offering, including 900,000 shares issued and sold upon the underwriters’ exercise in full of their option to purchase additional shares, at a price to the public of $30.00 per share. Our net proceeds from the offering were approximately $193.8 million, after deducting underwriting discounts and commissions and offering expenses of $13.2 million.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2019, we issued and sold 6,325,000 shares of common stock in a registered public offering, including 825,000 shares issued and sold upon the underwriters’ exercise in full of their option to purchase additional shares, at a price to the public of $23.25 per share. Our net proceeds from the offering were approximately $137.8 million, after deducting underwriting discounts and commissions and offering expenses of $9.2 million.</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office and laboratory facilities in South San Francisco and San Diego, California; Austin, Texas; Marseille, France; and Richmond, Virginia, and lease certain equipment under various non-cancelable lease agreements. The lease terms extend to October 2030 and contain extension of lease term and expansion options. As of December 31, 2021, the leases have a weighted average remaining lease term of 4.8 years and total future minimum lease payments of $20.7 million.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Veracyte SAS has signed a lease agreement for facilities which will be constructed in Marseille, France. The lease will commence upon completion of the construction of the office building which we currently expect to occur in the fourth quarter of 2023 at which time we will record a lease liability and a corresponding ROU asset. The initial term of the lease will be twelve years with annual rent of approximately $1.4 million, which is subject to change based on final construction. </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Loan and Security Agreement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2017, we entered into the Loan and Security Agreement with Silicon Valley Bank. The Loan and Security Agreement allows us to borrow up to $35.0 million, with a $25.0 million term loan, or Term Loan, and a revolving line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prepay the outstanding principal amount under the Term Loan plus accrued and unpaid interest and, if the Term Loan is repaid in full, a prepayment premium of $250,000. If the Loan and Security Agreement is terminated before maturity, then a termination fee equal to 1% of the Revolving Line of Credit, or $0.1 million, will be due. In addition, a final payment on the Term Loan in the amount of $1.2 million is due upon the earlier of the maturity date of the Term Loan or its payment in full. In 2019 and 2020, we prepaid $24.9 million and $0.1 million, respectively, of the principal amount of the Term Loan Advance and did not incur any prepayment premium as we did not repay the Term Loan Advance in full. As of December 31, 2021, the principal balance outstanding was one dollar.</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and Security Agreement contains customary representations, warranties, and events of default, as well as affirmative and negative covenants. As of December 31, 2021, we were in compliance with debt covenants. </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under the Loan and Security Agreement are secured by substantially all of our assets (excluding intellectual property), subject to certain customary exceptions.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years ended December 31, 2021, 2020 and 2019 (in thousands of dollars):</w:t>
      </w:r>
    </w:p>
    <w:p>
      <w:pPr>
        <w:pStyle w:val="TextBody"/>
        <w:spacing w:before="0" w:after="0"/>
        <w:ind w:left="0" w:right="0" w:firstLine="450"/>
        <w:jc w:val="both"/>
        <w:rPr/>
      </w:pPr>
      <w:r>
        <w:rPr/>
      </w:r>
    </w:p>
    <w:tbl>
      <w:tblPr>
        <w:tblW w:w="7301" w:type="dxa"/>
        <w:jc w:val="left"/>
        <w:tblInd w:w="0" w:type="dxa"/>
        <w:tblCellMar>
          <w:top w:w="28" w:type="dxa"/>
          <w:left w:w="28" w:type="dxa"/>
          <w:bottom w:w="28" w:type="dxa"/>
          <w:right w:w="28" w:type="dxa"/>
        </w:tblCellMar>
      </w:tblPr>
      <w:tblGrid>
        <w:gridCol w:w="1253"/>
        <w:gridCol w:w="1104"/>
        <w:gridCol w:w="1107"/>
        <w:gridCol w:w="211"/>
        <w:gridCol w:w="796"/>
        <w:gridCol w:w="109"/>
        <w:gridCol w:w="109"/>
        <w:gridCol w:w="109"/>
        <w:gridCol w:w="109"/>
        <w:gridCol w:w="211"/>
        <w:gridCol w:w="691"/>
        <w:gridCol w:w="109"/>
        <w:gridCol w:w="109"/>
        <w:gridCol w:w="109"/>
        <w:gridCol w:w="109"/>
        <w:gridCol w:w="211"/>
        <w:gridCol w:w="691"/>
        <w:gridCol w:w="154"/>
      </w:tblGrid>
      <w:tr>
        <w:trPr/>
        <w:tc>
          <w:tcPr>
            <w:tcW w:w="1253"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(739,206)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for the year ended December 31, 2021 was $31.6 million. The net loss of $75.6 million includes non-cash charges of $22.5 million of stock-based compensation expense, $19.6 million of depreciation and amortization, which includes $16.0 million of intangible asset amortization, $6.3 million of deferred income taxes, noncash lease expense of $1.6 million, $1.2 million of foreign currency loss, and a $0.8 million expense for the revaluation of the contingent consideration related to the NanoString transaction. Cash provided by changes in operating assets and liabilities was $4.2 million, primarily comprised of an increase in accrued liabilities of $14.4 million and an increase in accounts payable of $5.2 million partially offset by an increase in accounts receivable of $8.6 million, an increase in prepaid expense and other current assets of $3.3 million, an increase in supplies of $1.5 million and a decrease in operating lease liability of $1.8 million.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for the year ended December 31, 2020 was $9.7 million. The net loss of $34.9 million includes non-cash charges of $13.0 million of stock-based compensation expense, $7.9 million of depreciation and amortization, which includes $5.1 million of intangible asset amortization, a $1.1 million write-down of supplies, noncash lease expense of $1.0 million, impairment loss of $1.0 million and a $1.5 million expense for the revaluation of the contingent consideration related to the NanoString transaction. Cash used as a result of changes in operating assets and liabilities was $0.5 million, primarily comprised of a decrease in accrued liabilities of $0.9 million, a decrease in operating lease liability of $1.4 million, and an increase in prepaid expense and other current assets of $1.0 million, partially offset by a decrease in accounts receivable of $1.0 million, and an increase in accounts payable of $0.7 million and a decrease in supplies of $1.1 million.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for the year ended December 31, 2019 was $3.2 million. The net loss of $12.6 million includes non-cash charges of $9.8 million of stock-based compensation expense and $4.1 million of depreciation and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which includes $1.4 million of intangible asset amortization, noncash lease expense of $1.0 million, and $0.2 million of end-of-term debt obligation accruals. Cash used as a result of changes in operating assets and liabilities was $5.9 million, primarily comprised of an increase in accounts receivable of $6.2 million, an increase in supplies of $3.4 million, a decrease in operating lease liability of $1.2 million and an increase in other assets of $0.4 million, partially offset by an increase in accrued liabilities and deferred rent of $5.2 million.</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year ended December 31, 2021 was $739.2 million consisting of $574.4 million for the acquisition of Decipher Biosciences, $162.4 million for the acquisition of HalioDx and $5.4 million for the acquisition of property and equipment partially offset by $3.0 million of proceeds from the sale of an equity investment.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year ended December 31, 2020 was $2.8 million for the acquisition of property and equipment and $1.0 million for the purchase of equity securities of MAVIDx, Inc.</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year ended December 31, 2019 was $42.7 million, consisting of $40.0 million for the acquisition of NanoString's diagnostics business, and $2.7 million for the acquisition of property and equipment, net of proceeds from the disposal of property and equipment.</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2021 was $596.3 million, consisting of $593.8 million in net proceeds from the issuance of common stock in a public offering in February 2021, $11.5 million in proceeds from the exercise of options to purchase our common stock and purchase of stock under our Employee Stock Purchase Plan, or ESPP, partially offset by $9.0 million in tax payments during the period related to the vesting of restricted stock units granted to employees.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2020 was $203.6 million, consisting of $193.8 million in net proceeds from the issuance of common stock in a public offering in August 2020, $13.7 million in proceeds from the exercise of options to purchase our common stock and purchase of stock under our ESPP partially offset by $3.8 million in tax payments during the period related to the vesting of restricted stock units granted to employees.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2019 was $127.3 million, consisting of $137.8 million in net proceeds from the issuance of common stock in a public offering in May 2019 and $15.6 million in proceeds from the exercise of options to purchase our common stock and purchase of stock under our ESPP, during the year, partially offset by $24.9 million of loan principal repayments, $1.0 million in tax payments during the period related to the vesting of restricted stock units granted to employees and finance lease payments of $0.3 million.</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spacing w:before="0" w:after="0"/>
        <w:ind w:left="0" w:right="0" w:firstLine="450"/>
        <w:rPr/>
      </w:pPr>
      <w:r>
        <w:rPr/>
      </w:r>
    </w:p>
    <w:p>
      <w:pPr>
        <w:pStyle w:val="TextBody"/>
        <w:spacing w:lineRule="auto" w:line="276" w:before="0" w:after="0"/>
        <w:ind w:left="0" w:right="0" w:firstLine="450"/>
        <w:jc w:val="both"/>
        <w:rPr/>
      </w:pPr>
      <w:r>
        <w:rPr>
          <w:rFonts w:ascii="Times New Roman;sans-serif" w:hAnsi="Times New Roman;sans-serif"/>
          <w:b w:val="false"/>
          <w:color w:val="000000"/>
          <w:sz w:val="20"/>
        </w:rPr>
        <w:t xml:space="preserve">In December 2019, the Financial Accounting Standards Board, or the FASB, issued Accounting Standards Update, or ASU, 2019-12, </w:t>
      </w:r>
      <w:r>
        <w:rPr>
          <w:rFonts w:ascii="Times New Roman;sans-serif" w:hAnsi="Times New Roman;sans-serif"/>
          <w:b w:val="false"/>
          <w:i/>
          <w:color w:val="000000"/>
          <w:sz w:val="20"/>
        </w:rPr>
        <w:t>Income Taxes (Topic 740): Simplifying the Accounting for Income Taxes</w:t>
      </w:r>
      <w:r>
        <w:rPr>
          <w:rFonts w:ascii="Times New Roman;sans-serif" w:hAnsi="Times New Roman;sans-serif"/>
          <w:b w:val="false"/>
          <w:color w:val="000000"/>
          <w:sz w:val="20"/>
        </w:rPr>
        <w:t>. This standard simplifies the accounting for income taxes by removing certain exceptions to the general principles in Topic 740. This ASU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The amendments in this ASU also improve consistency and simplify other areas of Topic 740 by clarifying and amending existing guidance. The revised guidance will be applied prospectively and became effective for us beginning January 1, 2021. The adoption of ASU 2019-12 did not have a material impact on our consolidated financial statements.</w:t>
      </w:r>
    </w:p>
    <w:p>
      <w:pPr>
        <w:pStyle w:val="TextBody"/>
        <w:spacing w:before="0" w:after="0"/>
        <w:ind w:left="0" w:right="0" w:firstLine="450"/>
        <w:jc w:val="both"/>
        <w:rPr/>
      </w:pPr>
      <w:r>
        <w:rPr/>
      </w:r>
    </w:p>
    <w:p>
      <w:pPr>
        <w:pStyle w:val="TextBody"/>
        <w:spacing w:lineRule="auto" w:line="276" w:before="0" w:after="0"/>
        <w:ind w:left="0" w:right="0" w:firstLine="450"/>
        <w:jc w:val="both"/>
        <w:rPr/>
      </w:pPr>
      <w:r>
        <w:rPr>
          <w:rFonts w:ascii="Times New Roman;sans-serif" w:hAnsi="Times New Roman;sans-serif"/>
          <w:b w:val="false"/>
          <w:color w:val="000000"/>
          <w:sz w:val="20"/>
        </w:rPr>
        <w:t xml:space="preserve">In October 2021, the FASB issued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xml:space="preserve">,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consistent with those recorded by the acquiree immediately before the acquisition date rather than at fair value. The new standard is effective on a prospective basis for fiscal years beginning after December 15, 2022, with early adoption permitted. We do not expect to have a material impact on our consolidated financial statements and related disclosures from the adoption of this guidance.</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before="0" w:after="0"/>
        <w:ind w:left="0" w:right="0" w:firstLine="45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These risks primarily relate to interest rates. We had cash and cash equivalents of $173.2 million as of December 31, 2021 which consisted of bank deposits and money market funds. Such interest-bearing instruments carry a degree of risk; however, a hypothetical 10% change in interest rates during any of the periods presented would not have had a material impact on our consolidated financial statements.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held $10.3 million of bank deposits and time deposits denominated in Euros. Such Euro denominated deposits carry a degree of risk from changes in currency exchange rates as the gains or losses from changes in exchange rates are included in our net loss and comprehensive loss. As of December 31, 2021 a hypothetical 10% appreciation or depreciation of the U.S. dollar relative to the Euro would have increased or decreased our net loss by $1.0 million for the year ended December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before="0" w:after="0"/>
        <w:rPr/>
      </w:pPr>
      <w:r>
        <w:rPr/>
      </w:r>
    </w:p>
    <w:p>
      <w:pPr>
        <w:pStyle w:val="TextBody"/>
        <w:spacing w:before="0" w:after="0"/>
        <w:rPr/>
      </w:pPr>
      <w:r>
        <w:rPr/>
      </w:r>
    </w:p>
    <w:tbl>
      <w:tblPr>
        <w:tblW w:w="9525" w:type="dxa"/>
        <w:jc w:val="left"/>
        <w:tblInd w:w="0" w:type="dxa"/>
        <w:tblCellMar>
          <w:top w:w="28" w:type="dxa"/>
          <w:left w:w="28" w:type="dxa"/>
          <w:bottom w:w="28" w:type="dxa"/>
          <w:right w:w="28" w:type="dxa"/>
        </w:tblCellMar>
      </w:tblPr>
      <w:tblGrid>
        <w:gridCol w:w="3157"/>
        <w:gridCol w:w="2776"/>
        <w:gridCol w:w="2782"/>
        <w:gridCol w:w="236"/>
        <w:gridCol w:w="236"/>
        <w:gridCol w:w="338"/>
      </w:tblGrid>
      <w:tr>
        <w:trPr/>
        <w:tc>
          <w:tcPr>
            <w:tcW w:w="3157"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c>
          <w:tcPr>
            <w:tcW w:w="278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r>
      <w:tr>
        <w:trPr/>
        <w:tc>
          <w:tcPr>
            <w:tcW w:w="8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49">
              <w:r>
                <w:rPr>
                  <w:rStyle w:val="InternetLink"/>
                </w:rPr>
                <w:t xml:space="preserve">REPORT OF INDEPENDENT REGISTERED </w:t>
              </w:r>
            </w:hyperlink>
            <w:hyperlink w:anchor="ic9ddb02e06b745cb850d8331250b119a_49">
              <w:r>
                <w:rPr>
                  <w:rStyle w:val="InternetLink"/>
                </w:rPr>
                <w:t xml:space="preserve">PUBLIC </w:t>
              </w:r>
            </w:hyperlink>
            <w:hyperlink w:anchor="ic9ddb02e06b745cb850d8331250b119a_49">
              <w:r>
                <w:rPr>
                  <w:rStyle w:val="InternetLink"/>
                </w:rPr>
                <w:t>ACCOUNTING FIR</w:t>
              </w:r>
            </w:hyperlink>
            <w:hyperlink w:anchor="ic9ddb02e06b745cb850d8331250b119a_49">
              <w:r>
                <w:rPr>
                  <w:rStyle w:val="InternetLink"/>
                </w:rPr>
                <w:t>M</w:t>
              </w:r>
            </w:hyperlink>
            <w:r>
              <w:rPr>
                <w:color w:val="000000"/>
              </w:rPr>
              <w:t xml:space="preserve"> </w:t>
            </w:r>
            <w:r>
              <w:rPr>
                <w:rFonts w:ascii="Times New Roman;sans-serif" w:hAnsi="Times New Roman;sans-serif"/>
                <w:b w:val="false"/>
                <w:color w:val="000000"/>
                <w:sz w:val="20"/>
              </w:rPr>
              <w:t>(PCAOB ID: 42)</w:t>
            </w:r>
          </w:p>
        </w:tc>
        <w:tc>
          <w:tcPr>
            <w:tcW w:w="8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c9ddb02e06b745cb850d8331250b119a_49">
              <w:r>
                <w:rPr>
                  <w:rStyle w:val="InternetLink"/>
                  <w:rFonts w:ascii="Times New Roman;sans-serif" w:hAnsi="Times New Roman;sans-serif"/>
                  <w:b w:val="false"/>
                  <w:color w:val="0000FF"/>
                  <w:sz w:val="20"/>
                  <w:u w:val="single"/>
                </w:rPr>
                <w:t>88</w:t>
              </w:r>
            </w:hyperlink>
          </w:p>
        </w:tc>
      </w:tr>
      <w:tr>
        <w:trPr/>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52">
              <w:r>
                <w:rPr>
                  <w:rStyle w:val="InternetLink"/>
                </w:rPr>
                <w:t>Consolidated Balance Sheets as of December 31, 202</w:t>
              </w:r>
            </w:hyperlink>
            <w:hyperlink w:anchor="ic9ddb02e06b745cb850d8331250b119a_52">
              <w:r>
                <w:rPr>
                  <w:rStyle w:val="InternetLink"/>
                </w:rPr>
                <w:t>1</w:t>
              </w:r>
            </w:hyperlink>
            <w:hyperlink w:anchor="ic9ddb02e06b745cb850d8331250b119a_52">
              <w:r>
                <w:rPr>
                  <w:rStyle w:val="InternetLink"/>
                </w:rPr>
                <w:t xml:space="preserve"> and 20</w:t>
              </w:r>
            </w:hyperlink>
            <w:hyperlink w:anchor="ic9ddb02e06b745cb850d8331250b119a_52">
              <w:r>
                <w:rPr>
                  <w:rStyle w:val="InternetLink"/>
                </w:rPr>
                <w:t>20</w:t>
              </w:r>
            </w:hyperlink>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52">
              <w:r>
                <w:rPr>
                  <w:rStyle w:val="InternetLink"/>
                  <w:rFonts w:ascii="Times New Roman;sans-serif" w:hAnsi="Times New Roman;sans-serif"/>
                  <w:b w:val="false"/>
                  <w:color w:val="0000FF"/>
                  <w:sz w:val="20"/>
                  <w:u w:val="single"/>
                </w:rPr>
                <w:t>91</w:t>
              </w:r>
            </w:hyperlink>
          </w:p>
        </w:tc>
      </w:tr>
      <w:tr>
        <w:trPr/>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55">
              <w:r>
                <w:rPr>
                  <w:rStyle w:val="InternetLink"/>
                </w:rPr>
                <w:t xml:space="preserve">Consolidated Statements of Operations </w:t>
              </w:r>
            </w:hyperlink>
            <w:hyperlink w:anchor="ic9ddb02e06b745cb850d8331250b119a_55">
              <w:r>
                <w:rPr>
                  <w:rStyle w:val="InternetLink"/>
                </w:rPr>
                <w:t>for the Years Ended December 31, 202</w:t>
              </w:r>
            </w:hyperlink>
            <w:hyperlink w:anchor="ic9ddb02e06b745cb850d8331250b119a_55">
              <w:r>
                <w:rPr>
                  <w:rStyle w:val="InternetLink"/>
                </w:rPr>
                <w:t>1</w:t>
              </w:r>
            </w:hyperlink>
            <w:hyperlink w:anchor="ic9ddb02e06b745cb850d8331250b119a_55">
              <w:r>
                <w:rPr>
                  <w:rStyle w:val="InternetLink"/>
                </w:rPr>
                <w:t>, 20</w:t>
              </w:r>
            </w:hyperlink>
            <w:hyperlink w:anchor="ic9ddb02e06b745cb850d8331250b119a_55">
              <w:r>
                <w:rPr>
                  <w:rStyle w:val="InternetLink"/>
                </w:rPr>
                <w:t>20</w:t>
              </w:r>
            </w:hyperlink>
            <w:hyperlink w:anchor="ic9ddb02e06b745cb850d8331250b119a_55">
              <w:r>
                <w:rPr>
                  <w:rStyle w:val="InternetLink"/>
                </w:rPr>
                <w:t>, and 201</w:t>
              </w:r>
            </w:hyperlink>
            <w:hyperlink w:anchor="ic9ddb02e06b745cb850d8331250b119a_55">
              <w:r>
                <w:rPr>
                  <w:rStyle w:val="InternetLink"/>
                </w:rPr>
                <w:t>9</w:t>
              </w:r>
            </w:hyperlink>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55">
              <w:r>
                <w:rPr>
                  <w:rStyle w:val="InternetLink"/>
                  <w:rFonts w:ascii="Times New Roman;sans-serif" w:hAnsi="Times New Roman;sans-serif"/>
                  <w:b w:val="false"/>
                  <w:color w:val="0000FF"/>
                  <w:sz w:val="20"/>
                  <w:u w:val="single"/>
                </w:rPr>
                <w:t>92</w:t>
              </w:r>
            </w:hyperlink>
          </w:p>
        </w:tc>
      </w:tr>
      <w:tr>
        <w:trPr/>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281">
              <w:r>
                <w:rPr>
                  <w:rStyle w:val="InternetLink"/>
                </w:rPr>
                <w:t xml:space="preserve">Consolidated Statements of Comprehensive Loss </w:t>
              </w:r>
            </w:hyperlink>
            <w:hyperlink w:anchor="ic9ddb02e06b745cb850d8331250b119a_1281">
              <w:r>
                <w:rPr>
                  <w:rStyle w:val="InternetLink"/>
                </w:rPr>
                <w:t>for the Years Ended December 31, 2021, 2020, and 201</w:t>
              </w:r>
            </w:hyperlink>
            <w:hyperlink w:anchor="ic9ddb02e06b745cb850d8331250b119a_1281">
              <w:r>
                <w:rPr>
                  <w:rStyle w:val="InternetLink"/>
                </w:rPr>
                <w:t>9</w:t>
              </w:r>
            </w:hyperlink>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1281">
              <w:r>
                <w:rPr>
                  <w:rStyle w:val="InternetLink"/>
                  <w:rFonts w:ascii="Times New Roman;sans-serif" w:hAnsi="Times New Roman;sans-serif"/>
                  <w:b w:val="false"/>
                  <w:color w:val="0000FF"/>
                  <w:sz w:val="20"/>
                  <w:u w:val="single"/>
                </w:rPr>
                <w:t>93</w:t>
              </w:r>
            </w:hyperlink>
          </w:p>
        </w:tc>
      </w:tr>
      <w:tr>
        <w:trPr/>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58">
              <w:r>
                <w:rPr>
                  <w:rStyle w:val="InternetLink"/>
                </w:rPr>
                <w:t>Consolidated Statements of Stockholders' Equity for the Years Ended December 31, 202</w:t>
              </w:r>
            </w:hyperlink>
            <w:hyperlink w:anchor="ic9ddb02e06b745cb850d8331250b119a_58">
              <w:r>
                <w:rPr>
                  <w:rStyle w:val="InternetLink"/>
                </w:rPr>
                <w:t>1</w:t>
              </w:r>
            </w:hyperlink>
            <w:hyperlink w:anchor="ic9ddb02e06b745cb850d8331250b119a_58">
              <w:r>
                <w:rPr>
                  <w:rStyle w:val="InternetLink"/>
                </w:rPr>
                <w:t>, 20</w:t>
              </w:r>
            </w:hyperlink>
            <w:hyperlink w:anchor="ic9ddb02e06b745cb850d8331250b119a_58">
              <w:r>
                <w:rPr>
                  <w:rStyle w:val="InternetLink"/>
                </w:rPr>
                <w:t>20</w:t>
              </w:r>
            </w:hyperlink>
            <w:hyperlink w:anchor="ic9ddb02e06b745cb850d8331250b119a_58">
              <w:r>
                <w:rPr>
                  <w:rStyle w:val="InternetLink"/>
                </w:rPr>
                <w:t>,</w:t>
              </w:r>
            </w:hyperlink>
            <w:hyperlink w:anchor="ic9ddb02e06b745cb850d8331250b119a_58">
              <w:r>
                <w:rPr>
                  <w:rStyle w:val="InternetLink"/>
                </w:rPr>
                <w:t xml:space="preserve"> and 201</w:t>
              </w:r>
            </w:hyperlink>
            <w:hyperlink w:anchor="ic9ddb02e06b745cb850d8331250b119a_58">
              <w:r>
                <w:rPr>
                  <w:rStyle w:val="InternetLink"/>
                </w:rPr>
                <w:t>9</w:t>
              </w:r>
            </w:hyperlink>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58">
              <w:r>
                <w:rPr>
                  <w:rStyle w:val="InternetLink"/>
                  <w:rFonts w:ascii="Times New Roman;sans-serif" w:hAnsi="Times New Roman;sans-serif"/>
                  <w:b w:val="false"/>
                  <w:color w:val="0000FF"/>
                  <w:sz w:val="20"/>
                  <w:u w:val="single"/>
                </w:rPr>
                <w:t>94</w:t>
              </w:r>
            </w:hyperlink>
          </w:p>
        </w:tc>
      </w:tr>
      <w:tr>
        <w:trPr/>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61">
              <w:r>
                <w:rPr>
                  <w:rStyle w:val="InternetLink"/>
                </w:rPr>
                <w:t>Consolidated Statements of Cash Flows for the Years Ended December 31, 202</w:t>
              </w:r>
            </w:hyperlink>
            <w:hyperlink w:anchor="ic9ddb02e06b745cb850d8331250b119a_61">
              <w:r>
                <w:rPr>
                  <w:rStyle w:val="InternetLink"/>
                </w:rPr>
                <w:t>1</w:t>
              </w:r>
            </w:hyperlink>
            <w:hyperlink w:anchor="ic9ddb02e06b745cb850d8331250b119a_61">
              <w:r>
                <w:rPr>
                  <w:rStyle w:val="InternetLink"/>
                </w:rPr>
                <w:t>, 20</w:t>
              </w:r>
            </w:hyperlink>
            <w:hyperlink w:anchor="ic9ddb02e06b745cb850d8331250b119a_61">
              <w:r>
                <w:rPr>
                  <w:rStyle w:val="InternetLink"/>
                </w:rPr>
                <w:t>20</w:t>
              </w:r>
            </w:hyperlink>
            <w:hyperlink w:anchor="ic9ddb02e06b745cb850d8331250b119a_61">
              <w:r>
                <w:rPr>
                  <w:rStyle w:val="InternetLink"/>
                </w:rPr>
                <w:t>,</w:t>
              </w:r>
            </w:hyperlink>
            <w:hyperlink w:anchor="ic9ddb02e06b745cb850d8331250b119a_61">
              <w:r>
                <w:rPr>
                  <w:rStyle w:val="InternetLink"/>
                </w:rPr>
                <w:t xml:space="preserve"> and 201</w:t>
              </w:r>
            </w:hyperlink>
            <w:hyperlink w:anchor="ic9ddb02e06b745cb850d8331250b119a_61">
              <w:r>
                <w:rPr>
                  <w:rStyle w:val="InternetLink"/>
                </w:rPr>
                <w:t>9</w:t>
              </w:r>
            </w:hyperlink>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61">
              <w:r>
                <w:rPr>
                  <w:rStyle w:val="InternetLink"/>
                  <w:rFonts w:ascii="Times New Roman;sans-serif" w:hAnsi="Times New Roman;sans-serif"/>
                  <w:b w:val="false"/>
                  <w:color w:val="0000FF"/>
                  <w:sz w:val="20"/>
                  <w:u w:val="single"/>
                </w:rPr>
                <w:t>95</w:t>
              </w:r>
            </w:hyperlink>
          </w:p>
        </w:tc>
      </w:tr>
      <w:tr>
        <w:trPr/>
        <w:tc>
          <w:tcPr>
            <w:tcW w:w="87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64">
              <w:r>
                <w:rPr>
                  <w:rStyle w:val="InternetLink"/>
                  <w:rFonts w:ascii="Times New Roman;sans-serif" w:hAnsi="Times New Roman;sans-serif"/>
                  <w:b w:val="false"/>
                  <w:color w:val="0000FF"/>
                  <w:sz w:val="20"/>
                  <w:u w:val="single"/>
                </w:rPr>
                <w:t>Notes to Consolidated Financial Statements</w:t>
              </w:r>
            </w:hyperlink>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9ddb02e06b745cb850d8331250b119a_64">
              <w:r>
                <w:rPr>
                  <w:rStyle w:val="InternetLink"/>
                  <w:rFonts w:ascii="Times New Roman;sans-serif" w:hAnsi="Times New Roman;sans-serif"/>
                  <w:b w:val="false"/>
                  <w:color w:val="0000FF"/>
                  <w:sz w:val="20"/>
                  <w:u w:val="single"/>
                </w:rPr>
                <w:t>97</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Veracyte, Inc.</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Veracyte, Inc. (the Company) as of December 31, 2021 and 2020, the related consolidated statements of operations and comprehensive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Critical Audit Matters</w:t>
      </w:r>
      <w:r>
        <w:rPr>
          <w:color w:val="000000"/>
        </w:rPr>
        <w:t xml:space="preserv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w:t>
      </w:r>
      <w:r>
        <w:rPr>
          <w:color w:val="000000"/>
        </w:rPr>
        <w:t xml:space="preserve"> </w:t>
      </w:r>
      <w:r>
        <w:rPr>
          <w:rFonts w:ascii="Times New Roman;sans-serif" w:hAnsi="Times New Roman;sans-serif"/>
          <w:b w:val="false"/>
          <w:color w:val="000000"/>
          <w:sz w:val="20"/>
        </w:rPr>
        <w:t>financial statements, taken as a whole, and we are not, by communicating the critical audit matters below, providing separate opinions on the critical audit matters or on the accounts or disclosures to which they relate.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473"/>
        <w:gridCol w:w="416"/>
        <w:gridCol w:w="419"/>
        <w:gridCol w:w="2837"/>
        <w:gridCol w:w="2509"/>
        <w:gridCol w:w="3551"/>
      </w:tblGrid>
      <w:tr>
        <w:trPr/>
        <w:tc>
          <w:tcPr>
            <w:tcW w:w="473"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2837" w:type="dxa"/>
            <w:tcBorders/>
            <w:shd w:fill="auto" w:val="clear"/>
            <w:vAlign w:val="center"/>
          </w:tcPr>
          <w:p>
            <w:pPr>
              <w:pStyle w:val="TableContents"/>
              <w:spacing w:before="0" w:after="283"/>
              <w:rPr>
                <w:sz w:val="4"/>
                <w:szCs w:val="4"/>
              </w:rPr>
            </w:pPr>
            <w:r>
              <w:rPr>
                <w:sz w:val="4"/>
                <w:szCs w:val="4"/>
              </w:rPr>
            </w:r>
          </w:p>
        </w:tc>
        <w:tc>
          <w:tcPr>
            <w:tcW w:w="2509" w:type="dxa"/>
            <w:tcBorders/>
            <w:shd w:fill="auto" w:val="clear"/>
            <w:vAlign w:val="center"/>
          </w:tcPr>
          <w:p>
            <w:pPr>
              <w:pStyle w:val="TableContents"/>
              <w:spacing w:before="0" w:after="283"/>
              <w:rPr>
                <w:sz w:val="4"/>
                <w:szCs w:val="4"/>
              </w:rPr>
            </w:pPr>
            <w:r>
              <w:rPr>
                <w:sz w:val="4"/>
                <w:szCs w:val="4"/>
              </w:rPr>
            </w:r>
          </w:p>
        </w:tc>
        <w:tc>
          <w:tcPr>
            <w:tcW w:w="3551" w:type="dxa"/>
            <w:tcBorders/>
            <w:shd w:fill="auto" w:val="clear"/>
            <w:vAlign w:val="center"/>
          </w:tcPr>
          <w:p>
            <w:pPr>
              <w:pStyle w:val="TableContents"/>
              <w:spacing w:before="0" w:after="283"/>
              <w:rPr>
                <w:sz w:val="4"/>
                <w:szCs w:val="4"/>
              </w:rPr>
            </w:pPr>
            <w:r>
              <w:rPr>
                <w:sz w:val="4"/>
                <w:szCs w:val="4"/>
              </w:rPr>
            </w:r>
          </w:p>
        </w:tc>
      </w:tr>
      <w:tr>
        <w:trPr/>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 from diagnostic services</w:t>
            </w:r>
          </w:p>
        </w:tc>
      </w:tr>
      <w:tr>
        <w:trPr/>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97" w:type="dxa"/>
            <w:gridSpan w:val="3"/>
            <w:tcBorders/>
            <w:shd w:fill="auto" w:val="clear"/>
            <w:tcMar>
              <w:top w:w="0" w:type="dxa"/>
              <w:left w:w="0" w:type="dxa"/>
              <w:bottom w:w="0" w:type="dxa"/>
              <w:right w:w="0" w:type="dxa"/>
            </w:tcMar>
            <w:vAlign w:val="center"/>
          </w:tcPr>
          <w:p>
            <w:pPr>
              <w:pStyle w:val="TableContents"/>
              <w:spacing w:lineRule="auto" w:line="261"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Company’s revenue from diagnostic services was approximately $188.2 million. As discussed in Note 2, the Company’s diagnostic services revenue is recognized upon the delivery of test results to the prescribing physician, at which time the Company bills for its services. The Company recognizes revenue related to billings based on estimates of the amount that will ultimately be realized.</w:t>
            </w:r>
          </w:p>
          <w:p>
            <w:pPr>
              <w:pStyle w:val="TableContents"/>
              <w:spacing w:before="0" w:after="0"/>
              <w:jc w:val="both"/>
              <w:rPr/>
            </w:pPr>
            <w:r>
              <w:rPr/>
            </w:r>
          </w:p>
          <w:p>
            <w:pPr>
              <w:pStyle w:val="TableContents"/>
              <w:spacing w:lineRule="auto" w:line="261"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measurement of the Company’s diagnostic services revenue was complex due to the judgments used in estimating the amount to be realized per test. In determining the amount to recognize for a delivered test the Company considers factors such as payment history, amount collected per test, payer coverage, and whether there is a reimbursement contract between the payer and the Company. The Company also considers whether historical collections per test are indicative of future collections or if there are any current or expected developments or changes that could affect reimbursement rates, which is an estimate that requires significant judgment by the Company.</w:t>
            </w:r>
          </w:p>
        </w:tc>
      </w:tr>
      <w:tr>
        <w:trPr/>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97" w:type="dxa"/>
            <w:gridSpan w:val="3"/>
            <w:tcBorders/>
            <w:shd w:fill="auto" w:val="clear"/>
            <w:tcMar>
              <w:top w:w="0" w:type="dxa"/>
              <w:left w:w="0" w:type="dxa"/>
              <w:bottom w:w="0" w:type="dxa"/>
              <w:right w:w="0" w:type="dxa"/>
            </w:tcMar>
            <w:vAlign w:val="center"/>
          </w:tcPr>
          <w:p>
            <w:pPr>
              <w:pStyle w:val="TableContents"/>
              <w:spacing w:lineRule="auto" w:line="261"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controls used by management in making this estimate. For example, we tested controls over management’s review of changes in collection trends, payer rates, contract terms, and payer behavior and expectations of how those changes are expected to impact future collections and the amount of revenue to be recognized per test. </w:t>
            </w:r>
          </w:p>
          <w:p>
            <w:pPr>
              <w:pStyle w:val="TableContents"/>
              <w:spacing w:before="0" w:after="0"/>
              <w:jc w:val="both"/>
              <w:rPr/>
            </w:pPr>
            <w:r>
              <w:rPr/>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management’s estimate of the amount of revenue to be recognized per test delivered our audit procedures included, among others, evaluating the methodology used, understanding and testing the significant assumptions discussed above, and testing the underlying data used by the Company (including the completeness and accuracy of historical data). We tested payment history and amount collected per test on a sample basis, including agreeing selections to supporting documentation such as physician requisition, cash collected, write-offs of receivables, and proof of delivery, as applicable. We evaluated and tested management’s assessment of changes in payer trends, behaviors, and contract terms and how those changes will impact future cash collections as well as management’s consideration of any contrary factors. We also assessed and tested management’s review of differences between prior period accrual rates and actual cash collections and how those differences were factored into management’s estimate of current period accrual rates.</w:t>
            </w:r>
          </w:p>
        </w:tc>
      </w:tr>
      <w:tr>
        <w:trPr/>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tbl>
      <w:tblPr>
        <w:tblW w:w="10205" w:type="dxa"/>
        <w:jc w:val="center"/>
        <w:tblInd w:w="0" w:type="dxa"/>
        <w:tblCellMar>
          <w:top w:w="28" w:type="dxa"/>
          <w:left w:w="28" w:type="dxa"/>
          <w:bottom w:w="28" w:type="dxa"/>
          <w:right w:w="28" w:type="dxa"/>
        </w:tblCellMar>
      </w:tblPr>
      <w:tblGrid>
        <w:gridCol w:w="505"/>
        <w:gridCol w:w="444"/>
        <w:gridCol w:w="447"/>
        <w:gridCol w:w="2667"/>
        <w:gridCol w:w="2535"/>
        <w:gridCol w:w="3607"/>
      </w:tblGrid>
      <w:tr>
        <w:trPr/>
        <w:tc>
          <w:tcPr>
            <w:tcW w:w="50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2667" w:type="dxa"/>
            <w:tcBorders/>
            <w:shd w:fill="auto" w:val="clear"/>
            <w:vAlign w:val="center"/>
          </w:tcPr>
          <w:p>
            <w:pPr>
              <w:pStyle w:val="TableContents"/>
              <w:spacing w:before="0" w:after="283"/>
              <w:rPr>
                <w:sz w:val="4"/>
                <w:szCs w:val="4"/>
              </w:rPr>
            </w:pPr>
            <w:r>
              <w:rPr>
                <w:sz w:val="4"/>
                <w:szCs w:val="4"/>
              </w:rPr>
            </w:r>
          </w:p>
        </w:tc>
        <w:tc>
          <w:tcPr>
            <w:tcW w:w="2535" w:type="dxa"/>
            <w:tcBorders/>
            <w:shd w:fill="auto" w:val="clear"/>
            <w:vAlign w:val="center"/>
          </w:tcPr>
          <w:p>
            <w:pPr>
              <w:pStyle w:val="TableContents"/>
              <w:spacing w:before="0" w:after="283"/>
              <w:rPr>
                <w:sz w:val="4"/>
                <w:szCs w:val="4"/>
              </w:rPr>
            </w:pPr>
            <w:r>
              <w:rPr>
                <w:sz w:val="4"/>
                <w:szCs w:val="4"/>
              </w:rPr>
            </w:r>
          </w:p>
        </w:tc>
        <w:tc>
          <w:tcPr>
            <w:tcW w:w="3607" w:type="dxa"/>
            <w:tcBorders/>
            <w:shd w:fill="auto" w:val="cle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Valuation of intangible assets acquired in business combinations</w:t>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Company completed its acquisition of Decipher Biosciences for total purchase consideration of $594.7 million and its acquisition of HalioDx for total purchase consideration of $319.6 million, as disclosed in Note 4 to the consolidated financial statements. The transactions were accounted for as business combinations. The acquisition date fair values of acquired intangible assets were estimated to be $161.6 million.</w:t>
            </w:r>
          </w:p>
          <w:p>
            <w:pPr>
              <w:pStyle w:val="TableContents"/>
              <w:spacing w:before="0" w:after="0"/>
              <w:jc w:val="both"/>
              <w:rPr/>
            </w:pPr>
            <w:r>
              <w:rPr/>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acquisition date fair values of the intangible assets was complex due to the subjective assumptions required in estimating the fair values of each asset. In particular, the fair value estimates required the use of valuation methodologies that were sensitive to significant assumptions, such as projected testing volumes, discount and obsolescence rates.</w:t>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controls used by management for the determination of the estimated fair value of the intangible assets. For example, we tested controls over management’s review of the valuation of intangible assets, including the review of the valuation models and significant assumptions used to develop the fair value estimates of the intangible assets. We also tested management's controls to validate that the data used in the fair value estimates were complete and accurate. </w:t>
            </w:r>
          </w:p>
          <w:p>
            <w:pPr>
              <w:pStyle w:val="TableContents"/>
              <w:spacing w:before="0" w:after="0"/>
              <w:jc w:val="both"/>
              <w:rPr/>
            </w:pPr>
            <w:r>
              <w:rPr/>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valuation of intangible assets included, among others, utilizing a valuation specialist to assist in evaluating the appropriateness of the Company’s valuation models and discount rates, performing sensitivity analyses to determine which assumptions had the most impact on the overall determination of value and testing the completeness and accuracy of the underlying data used to develop the assumptions. Our audit procedures included comparing significant assumptions, such as obsolescence rates, to other guideline companies within the same industry. In addition, we compared projected testing volumes to current industry trends, to historical results of the acquired business and to the Company’s historical results. </w:t>
            </w:r>
          </w:p>
        </w:tc>
      </w:tr>
    </w:tbl>
    <w:p>
      <w:pPr>
        <w:pStyle w:val="TextBody"/>
        <w:spacing w:before="0" w:after="200"/>
        <w:rPr/>
      </w:pPr>
      <w:r>
        <w:rPr/>
      </w:r>
    </w:p>
    <w:p>
      <w:pPr>
        <w:pStyle w:val="TextBody"/>
        <w:spacing w:lineRule="auto" w:line="288" w:before="100" w:after="283"/>
        <w:jc w:val="both"/>
        <w:rPr/>
      </w:pPr>
      <w:r>
        <w:rPr>
          <w:rFonts w:ascii="Times New Roman;sans-serif" w:hAnsi="Times New Roman;sans-serif"/>
          <w:b w:val="false"/>
          <w:color w:val="000000"/>
          <w:sz w:val="20"/>
        </w:rPr>
        <w:t>/s/ Ernst &amp; Young LLP</w:t>
      </w:r>
      <w:r>
        <w:rPr>
          <w:color w:val="333333"/>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2014.</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Redwood City, California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952"/>
        <w:gridCol w:w="2337"/>
        <w:gridCol w:w="2325"/>
        <w:gridCol w:w="196"/>
        <w:gridCol w:w="871"/>
        <w:gridCol w:w="109"/>
        <w:gridCol w:w="109"/>
        <w:gridCol w:w="109"/>
        <w:gridCol w:w="109"/>
        <w:gridCol w:w="196"/>
        <w:gridCol w:w="736"/>
        <w:gridCol w:w="156"/>
      </w:tblGrid>
      <w:tr>
        <w:trPr/>
        <w:tc>
          <w:tcPr>
            <w:tcW w:w="2952" w:type="dxa"/>
            <w:tcBorders/>
            <w:shd w:fill="auto" w:val="clear"/>
            <w:vAlign w:val="center"/>
          </w:tcPr>
          <w:p>
            <w:pPr>
              <w:pStyle w:val="TableContents"/>
              <w:spacing w:before="0" w:after="283"/>
              <w:rPr>
                <w:sz w:val="4"/>
                <w:szCs w:val="4"/>
              </w:rPr>
            </w:pPr>
            <w:r>
              <w:rPr>
                <w:sz w:val="4"/>
                <w:szCs w:val="4"/>
              </w:rPr>
            </w:r>
          </w:p>
        </w:tc>
        <w:tc>
          <w:tcPr>
            <w:tcW w:w="2337" w:type="dxa"/>
            <w:tcBorders/>
            <w:shd w:fill="auto" w:val="clear"/>
            <w:vAlign w:val="center"/>
          </w:tcPr>
          <w:p>
            <w:pPr>
              <w:pStyle w:val="TableContents"/>
              <w:spacing w:before="0" w:after="283"/>
              <w:rPr>
                <w:sz w:val="4"/>
                <w:szCs w:val="4"/>
              </w:rPr>
            </w:pPr>
            <w:r>
              <w:rPr>
                <w:sz w:val="4"/>
                <w:szCs w:val="4"/>
              </w:rPr>
            </w:r>
          </w:p>
        </w:tc>
        <w:tc>
          <w:tcPr>
            <w:tcW w:w="232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349,364 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 operating leases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457,163 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deferred revenue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other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net of current portion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net of current portion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5,000,000 shares authorized, no shares issued and outstanding as of December 31, 2021 and 2020</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125,000,000 shares authorized, 71,123,108 and 58,200,526 shares issued and outstanding as of December 31, 2021 and 2020,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702,768 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(281,594)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1,187,825 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457,163 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ind w:left="0" w:right="0" w:hanging="180"/>
        <w:rPr>
          <w:color w:val="000000"/>
        </w:rPr>
      </w:pPr>
      <w:r>
        <w:rPr>
          <w:color w:val="000000"/>
        </w:rPr>
        <w:t>   </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spacing w:before="0" w:after="0"/>
        <w:rPr/>
      </w:pPr>
      <w:r>
        <w:rPr/>
      </w:r>
    </w:p>
    <w:tbl>
      <w:tblPr>
        <w:tblW w:w="9954" w:type="dxa"/>
        <w:jc w:val="left"/>
        <w:tblInd w:w="0" w:type="dxa"/>
        <w:tblCellMar>
          <w:top w:w="28" w:type="dxa"/>
          <w:left w:w="28" w:type="dxa"/>
          <w:bottom w:w="28" w:type="dxa"/>
          <w:right w:w="28" w:type="dxa"/>
        </w:tblCellMar>
      </w:tblPr>
      <w:tblGrid>
        <w:gridCol w:w="2055"/>
        <w:gridCol w:w="1809"/>
        <w:gridCol w:w="1821"/>
        <w:gridCol w:w="219"/>
        <w:gridCol w:w="862"/>
        <w:gridCol w:w="109"/>
        <w:gridCol w:w="109"/>
        <w:gridCol w:w="109"/>
        <w:gridCol w:w="109"/>
        <w:gridCol w:w="219"/>
        <w:gridCol w:w="862"/>
        <w:gridCol w:w="109"/>
        <w:gridCol w:w="109"/>
        <w:gridCol w:w="109"/>
        <w:gridCol w:w="109"/>
        <w:gridCol w:w="219"/>
        <w:gridCol w:w="862"/>
        <w:gridCol w:w="154"/>
      </w:tblGrid>
      <w:tr>
        <w:trPr/>
        <w:tc>
          <w:tcPr>
            <w:tcW w:w="2055"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69"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Testing revenue</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 and other revenue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testing revenue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benefit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basic and 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net loss per common share,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67,890,328 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53,239,231 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46,138,177 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rPr/>
      </w:pPr>
      <w:r>
        <w:rPr/>
      </w:r>
    </w:p>
    <w:tbl>
      <w:tblPr>
        <w:tblW w:w="7691" w:type="dxa"/>
        <w:jc w:val="left"/>
        <w:tblInd w:w="0" w:type="dxa"/>
        <w:tblCellMar>
          <w:top w:w="28" w:type="dxa"/>
          <w:left w:w="28" w:type="dxa"/>
          <w:bottom w:w="28" w:type="dxa"/>
          <w:right w:w="28" w:type="dxa"/>
        </w:tblCellMar>
      </w:tblPr>
      <w:tblGrid>
        <w:gridCol w:w="1319"/>
        <w:gridCol w:w="1152"/>
        <w:gridCol w:w="1173"/>
        <w:gridCol w:w="211"/>
        <w:gridCol w:w="796"/>
        <w:gridCol w:w="109"/>
        <w:gridCol w:w="109"/>
        <w:gridCol w:w="109"/>
        <w:gridCol w:w="109"/>
        <w:gridCol w:w="211"/>
        <w:gridCol w:w="796"/>
        <w:gridCol w:w="109"/>
        <w:gridCol w:w="109"/>
        <w:gridCol w:w="109"/>
        <w:gridCol w:w="109"/>
        <w:gridCol w:w="211"/>
        <w:gridCol w:w="796"/>
        <w:gridCol w:w="154"/>
      </w:tblGrid>
      <w:tr>
        <w:trPr/>
        <w:tc>
          <w:tcPr>
            <w:tcW w:w="1319"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currency translation adjustments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801"/>
        <w:gridCol w:w="627"/>
        <w:gridCol w:w="629"/>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196"/>
        <w:gridCol w:w="760"/>
        <w:gridCol w:w="109"/>
        <w:gridCol w:w="109"/>
        <w:gridCol w:w="109"/>
        <w:gridCol w:w="109"/>
        <w:gridCol w:w="306"/>
        <w:gridCol w:w="1037"/>
        <w:gridCol w:w="171"/>
        <w:gridCol w:w="109"/>
        <w:gridCol w:w="109"/>
        <w:gridCol w:w="109"/>
        <w:gridCol w:w="196"/>
        <w:gridCol w:w="871"/>
        <w:gridCol w:w="158"/>
      </w:tblGrid>
      <w:tr>
        <w:trPr/>
        <w:tc>
          <w:tcPr>
            <w:tcW w:w="801"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0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0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2018</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Sale of common stock in a public offering, net of offering costs of $9,208</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137,848 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14,355 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 (ESPP)</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8,883 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(non-employee)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(ESPP)</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(12,599)</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2019</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Sale of common stock in a public offering, net of offering costs of $13,169</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193,831 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11,668 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ESPP</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portion of vested restricted stock units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(employee)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12,017 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(non-employee)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(34,909)</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2020</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421,232 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Sale of common stock in a public offering, net of offering costs of $38,677</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593,821 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147,089 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9,175 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ESPP</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2,353 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portion of vested restricted stock units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(9,029)</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(employee)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20,795 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(non-employee)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(75,563)</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(15,083)</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71,123 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1,468,683 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(357,157)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(15,083)</w:t>
            </w:r>
          </w:p>
        </w:tc>
        <w:tc>
          <w:tcPr>
            <w:tcW w:w="1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1,096,514 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p>
      <w:pPr>
        <w:pStyle w:val="TextBody"/>
        <w:spacing w:before="0" w:after="0"/>
        <w:jc w:val="center"/>
        <w:rPr/>
      </w:pPr>
      <w:r>
        <w:rPr/>
      </w:r>
    </w:p>
    <w:tbl>
      <w:tblPr>
        <w:tblW w:w="8682" w:type="dxa"/>
        <w:jc w:val="center"/>
        <w:tblInd w:w="0" w:type="dxa"/>
        <w:tblCellMar>
          <w:top w:w="28" w:type="dxa"/>
          <w:left w:w="28" w:type="dxa"/>
          <w:bottom w:w="28" w:type="dxa"/>
          <w:right w:w="28" w:type="dxa"/>
        </w:tblCellMar>
      </w:tblPr>
      <w:tblGrid>
        <w:gridCol w:w="1905"/>
        <w:gridCol w:w="1672"/>
        <w:gridCol w:w="1688"/>
        <w:gridCol w:w="181"/>
        <w:gridCol w:w="616"/>
        <w:gridCol w:w="109"/>
        <w:gridCol w:w="109"/>
        <w:gridCol w:w="109"/>
        <w:gridCol w:w="109"/>
        <w:gridCol w:w="181"/>
        <w:gridCol w:w="616"/>
        <w:gridCol w:w="109"/>
        <w:gridCol w:w="109"/>
        <w:gridCol w:w="109"/>
        <w:gridCol w:w="109"/>
        <w:gridCol w:w="181"/>
        <w:gridCol w:w="616"/>
        <w:gridCol w:w="154"/>
      </w:tblGrid>
      <w:tr>
        <w:trPr/>
        <w:tc>
          <w:tcPr>
            <w:tcW w:w="1905"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Operating activities</w:t>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(75,563)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used in operating activities:</w:t>
            </w:r>
          </w:p>
        </w:tc>
        <w:tc>
          <w:tcPr>
            <w:tcW w:w="906"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disposal of property and equipment</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Benefit from income taxes</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(6,258)</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and write-off of debt discount and issuance costs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on end-of-term debt obligation</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Write-down of excess supplies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lease expense</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1,632 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964 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1,034 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Revaluation of acquisition-related contingent consideration</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Impairment loss</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foreign currency on operations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w:t>
            </w:r>
          </w:p>
        </w:tc>
        <w:tc>
          <w:tcPr>
            <w:tcW w:w="906"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Supplies</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(1,464)</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1,061 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(3,404)</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current assets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(351)</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liability</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5,155 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711 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liabilities and deferred revenue</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operating activities</w:t>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(31,621)</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(9,711)</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(3,232)</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Investing activities</w:t>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Decipher Biosciences, net of cash acquired</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(574,411)</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HalioDx, net of cash acquired</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(162,419)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NanoString diagnostics platform</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equity securities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equity securities</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sale of property and equipment</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(5,376)</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(2,837)</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(2,756)</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(739,206)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Financing activities</w:t>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 in a public offering, net of issuance costs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137,848 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long-term debt</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(24,900)</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financial lease liability</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taxes on vested restricted stock units</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(9,029)</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(3,845)</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exercise of common stock options and employee stock purchases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financing activities</w:t>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596,320 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203,595 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127,287 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(Decrease) increase in cash, cash equivalents and restricted cash</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81,322 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Effect of foreign currency on cash, cash equivalents and restricted cash</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(1,514)</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(decrease) increase in cash, cash equivalents and restricted cash</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81,322 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at beginning of year</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349,967 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159,920 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78,598 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at end of year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159,920 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Supplementary cash flow information of non-cash investing and financing activities:</w:t>
            </w:r>
          </w:p>
        </w:tc>
        <w:tc>
          <w:tcPr>
            <w:tcW w:w="9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for purchase consideration for a business combination</w:t>
            </w:r>
          </w:p>
        </w:tc>
        <w:tc>
          <w:tcPr>
            <w:tcW w:w="181"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147,089 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purchase consideration for a business combination</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 included in accounts payable and accrued liabilities</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Supplementary cash flow information:</w:t>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 on debt</w:t>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tax</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pPr>
      <w:r>
        <w:rPr>
          <w:rFonts w:ascii="Times New Roman;sans-serif" w:hAnsi="Times New Roman;sans-serif"/>
          <w:b/>
          <w:color w:val="000000"/>
          <w:sz w:val="20"/>
        </w:rPr>
        <w:t>Cash, Cash Equivalents and Restricted Cash</w:t>
      </w:r>
      <w:r>
        <w:rPr>
          <w:rFonts w:ascii="Times New Roman;sans-serif" w:hAnsi="Times New Roman;sans-serif"/>
          <w:b w:val="false"/>
          <w:color w:val="000000"/>
          <w:sz w:val="20"/>
        </w:rPr>
        <w:t>:</w:t>
      </w:r>
    </w:p>
    <w:tbl>
      <w:tblPr>
        <w:tblW w:w="7181" w:type="dxa"/>
        <w:jc w:val="center"/>
        <w:tblInd w:w="0" w:type="dxa"/>
        <w:tblCellMar>
          <w:top w:w="28" w:type="dxa"/>
          <w:left w:w="28" w:type="dxa"/>
          <w:bottom w:w="28" w:type="dxa"/>
          <w:right w:w="28" w:type="dxa"/>
        </w:tblCellMar>
      </w:tblPr>
      <w:tblGrid>
        <w:gridCol w:w="1216"/>
        <w:gridCol w:w="1069"/>
        <w:gridCol w:w="1074"/>
        <w:gridCol w:w="196"/>
        <w:gridCol w:w="736"/>
        <w:gridCol w:w="109"/>
        <w:gridCol w:w="109"/>
        <w:gridCol w:w="109"/>
        <w:gridCol w:w="109"/>
        <w:gridCol w:w="196"/>
        <w:gridCol w:w="736"/>
        <w:gridCol w:w="109"/>
        <w:gridCol w:w="109"/>
        <w:gridCol w:w="109"/>
        <w:gridCol w:w="109"/>
        <w:gridCol w:w="196"/>
        <w:gridCol w:w="736"/>
        <w:gridCol w:w="154"/>
      </w:tblGrid>
      <w:tr>
        <w:trPr/>
        <w:tc>
          <w:tcPr>
            <w:tcW w:w="1216"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160" w:after="16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Veracyte, Inc., or Veracyte, or the Company, is a global diagnostics company that improves patient care by answering important clinical questions to inform diagnosis and treatment decisions throughout the patient journey in cancer and other diseases. The Company’s growing menu of tests leverage advances in genomic science and machine learning technology to influence care for patients, enabling them to avoid unnecessary and potentially harmful procedures and interventions, and accelerate time to more appropriate treatment. In addition to making its tests available in the United States through its central laboratories, the Company believes its exclusive access to the nCounter Analysis System, a diagnostics platform, positions the company to deliver its tests to patients worldwide through laboratories and hospitals that can perform them locally. </w:t>
      </w:r>
    </w:p>
    <w:p>
      <w:pPr>
        <w:pStyle w:val="TextBody"/>
        <w:spacing w:before="0" w:after="0"/>
        <w:ind w:left="0" w:right="0" w:firstLine="495"/>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Veracyte was incorporated in the state of Delaware on August 15, 2006, as Calderome, Inc. Calderome operated as an incubator until early 2008. On March 4, 2008, the Company changed its name to Veracyte, Inc. The Company’s headquarters are in South San Francisco, California, and it also has operations in San Diego, California; Austin, Texas; Richmond, Virginia; Vancouver, Canada; and Marseille, France. It performs diagnostic testing in its Clinical Laboratory Improvement Amendments of 1988, or CLIA, certified laboratories in South San Francisco, San Diego, Austin, Richmond and Marseille. </w:t>
      </w:r>
    </w:p>
    <w:p>
      <w:pPr>
        <w:pStyle w:val="TextBody"/>
        <w:spacing w:before="0" w:after="0"/>
        <w:ind w:left="0" w:right="0" w:firstLine="495"/>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Veracyte’s foundational approach for its tests begins with determining what clinical questions need to be answered in order to inform what happens next for the patient. The Company deploys rigorous science and technology to develop and validate its tests and collects extensive clinical utility data to demonstrate their ability to influence care. This approach has enabled the Company to obtain Medicare reimbursement for many of its commercially available tests. The Company positions its tests to integrate seamlessly into the way physicians currently evaluate patients, to facilitate adoption.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Veracyte currently offers genomic tests, which it believes are changing patient care in thyroid cancer (Afirma); prostate cancer (Decipher Prostate); breast cancer (Prosigna); lung cancer (Percepta); and interstitial lung diseases, or ILD, including idiopathic pulmonary fibrosis, or IPF (Envisia). The Company’s commercially available tests in each of these indications are covered by Medicare. Additionally, through its acquisition of HalioDx, the Company also offers a clinically validated immuno-oncology test in colon cancer (Immunoscore).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its genomic tests for thyroid cancer, lung cancer and IPF in its CLIA-certified laboratory in South San Francisco, California, and its genomic tests for prostate and bladder cancer in its College of American Pathologists, or CAP, accredited and CLIA-certified laboratory in San Diego, California. In 2019, the Company acquired from NanoString Technologies, Inc. or NanoString, the exclusive global diagnostics license to the nCounter Analysis System and the Prosigna Breast Cancer Prognostic Gene Signature Assay, which is commercially available, along with the LymphMark lymphoma subtyping assay, which is in development for use as a companion diagnostic with Acerta Pharma’s and AstraZeneca’s Calquence. Both tests are designed for use on the nCounter Analysis System. The Prosigna test kits and associated products are sold to laboratories and hospitals globally. Additionally, the Company’s Immunoscore Colon Cancer test is performed in Veracyte’s CLIA-certified laboratories in Marseille, France, and Richmond, Virginia. </w:t>
      </w:r>
    </w:p>
    <w:p>
      <w:pPr>
        <w:pStyle w:val="TextBody"/>
        <w:spacing w:before="0" w:after="0"/>
        <w:ind w:left="0" w:right="0" w:firstLine="495"/>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Veracyte’s scientific approach and capabilities in genomics and immuno-oncology also provide multiple opportunities for partnerships with biopharmaceutical and diagnostic testing companies. In developing and commercializing its products, the Company has built or gained access to unique data and sample biorepositories, and proprietary technology and bioinformatics that it believes are important to the development of new targeted therapies, determining clinical trial eligibility and guiding treatment selection.</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consolidated financial statements have been prepared in accordance with accounting principles generally accepted in the United States ("U.S. GAAP"). The consolidated financial statements include the accounts of the Company and its wholly-owned subsidiaries. All intercompany accounts and transactions have been eliminated in consolidation. </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 of contingent liabilities as of the date of the consolidated financial statements and the reported amounts of revenue and expenses during the reporting period. Significant items subject to such estimates include: revenue recognition; write-down of supplies; useful lives of property and equipment; recoverability of long-lived assets; incremental borrowing rates for leases; accounting for acquisitions; estimation of the fair value of intangible assets and contingent consideration; assessment of variable interest entities; stock based compensation; income tax uncertainties, including a valuation allowance for deferred tax assets;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Actual results could differ from those estimates and assumptions.</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net losses since its inception and as of December 31, 2021, the Company had an accumulated deficit of $357.2 million. The Company believes its cash and cash equivalents of $173.2 million as of December 31, 2021, and its revenue from sales in 2022 will be sufficient to meet its anticipated cash requirements through at least February 2022.</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9, 2021, the Company issued and sold 8,547,297 shares of common stock in a registered public offering, including 1,114,864 shares issued and sold upon the underwriters' exercise in full of their option to purchase additional shares, at a price to the public of $74.00 per share. The Company's net proceeds from the offering were $593.8 million, after deducting underwriting commissions and offering expenses of $38.7 million.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the Company issued and sold 6,900,000 shares of common stock in a registered public offering, including 900,000 shares issued and sold upon the underwriters' exercise in full of their option to purchase additional shares, at a price to the public of $30.00 per share. The Company's net proceeds from the offering were approximately $193.8 million, after deducting underwriting commissions and offering expenses of $13.2 million.</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May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commissions and offering expenses of $9.2 million.</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is not able to generate cash proceeds from revenue sufficient to satisfy its cash obligations, the Company will need to finance future cash needs primarily through public or private equity offerings, debt financings, borrowings or strategic collaborations or licensing arrangements. If the Company is not able to secure additional funding when needed, on acceptable terms, it may have to delay, reduce the scope of or eliminate one or more research and development programs or selling and marketing initiatives which may have a material adverse effect on the Company's business, results of operations, financial condition and/or its ability to fund its scheduled obligations on a timely basis or at all.</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worldwide spread of coronavirus, or COVID-19, has created significant uncertainty in the global economy. There have been no comparable recent events that provide guidance as to the effect the spread of COVID-19 as a global pandemic may have. As a result, the ultimate impact of COVID-19 and the extent to which COVID-19 impacts the Company’s business, results of operations and financial condition will depend on future developments, are highly uncertain and difficult to predict. If the financial markets or the overall economy are impacted for an extended period, the Company’s liquidity, revenues, supplies, goodwill and intangibles may be adversely affected. The Company considers the effects, to the extent knowable, of the COVID-19 pandemic in developing our estimates.</w:t>
      </w:r>
    </w:p>
    <w:p>
      <w:pPr>
        <w:pStyle w:val="TextBody"/>
        <w:spacing w:lineRule="auto" w:line="288" w:before="0" w:after="0"/>
        <w:ind w:left="0" w:right="0" w:firstLine="855"/>
        <w:jc w:val="both"/>
        <w:rPr>
          <w:color w:val="000000"/>
        </w:rPr>
      </w:pPr>
      <w:r>
        <w:rPr>
          <w:color w:val="000000"/>
        </w:rPr>
        <w:t> </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cash and cash equivalents are deposited with one major financial institution in the United States. Deposits in this institution may exceed the amount of insurance provided on such deposits. The Company has not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realized any losses on its deposits of cash and cash equivalents other than exchange rate losses related to foreign currency denominated accounts.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Several of the components of the Company's sample collection kit and test reagents, and its nCounter Analysis Systems and related test kits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December 31, 2021.</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Through December 31, 2021, the Company has derived most of its revenue from the sale of Afirma and the Decipher urologic tests, delivered primarily to physicians in the United States. The Company generally invoices third-party payers upon delivery of a patient report to the prescribing physician. As such, the Company takes the assignment of benefits and the risk of cash collection from the third-party payer and individual patients. The Company's total third-party payers and other customers in excess of 10% of revenue and their related revenue as a percentage of total revenue were as follows:</w:t>
      </w:r>
    </w:p>
    <w:p>
      <w:pPr>
        <w:pStyle w:val="TextBody"/>
        <w:spacing w:before="0" w:after="0"/>
        <w:ind w:left="0" w:right="0" w:firstLine="495"/>
        <w:jc w:val="both"/>
        <w:rPr/>
      </w:pPr>
      <w:r>
        <w:rPr/>
      </w:r>
    </w:p>
    <w:tbl>
      <w:tblPr>
        <w:tblW w:w="4141" w:type="dxa"/>
        <w:jc w:val="left"/>
        <w:tblInd w:w="0" w:type="dxa"/>
        <w:tblCellMar>
          <w:top w:w="28" w:type="dxa"/>
          <w:left w:w="28" w:type="dxa"/>
          <w:bottom w:w="28" w:type="dxa"/>
          <w:right w:w="28" w:type="dxa"/>
        </w:tblCellMar>
      </w:tblPr>
      <w:tblGrid>
        <w:gridCol w:w="560"/>
        <w:gridCol w:w="492"/>
        <w:gridCol w:w="494"/>
        <w:gridCol w:w="180"/>
        <w:gridCol w:w="181"/>
        <w:gridCol w:w="271"/>
        <w:gridCol w:w="109"/>
        <w:gridCol w:w="109"/>
        <w:gridCol w:w="109"/>
        <w:gridCol w:w="180"/>
        <w:gridCol w:w="181"/>
        <w:gridCol w:w="271"/>
        <w:gridCol w:w="109"/>
        <w:gridCol w:w="109"/>
        <w:gridCol w:w="109"/>
        <w:gridCol w:w="180"/>
        <w:gridCol w:w="181"/>
        <w:gridCol w:w="316"/>
      </w:tblGrid>
      <w:tr>
        <w:trPr/>
        <w:tc>
          <w:tcPr>
            <w:tcW w:w="5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UnitedHealthcare</w:t>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third-party payers and other customers in excess of 10% of total accounts receivable and their related accounts receivable balance as a percentage of total accounts receivable were as follows:</w:t>
      </w:r>
    </w:p>
    <w:p>
      <w:pPr>
        <w:pStyle w:val="TextBody"/>
        <w:spacing w:before="0" w:after="0"/>
        <w:ind w:left="0" w:right="0" w:firstLine="495"/>
        <w:jc w:val="both"/>
        <w:rPr/>
      </w:pPr>
      <w:r>
        <w:rPr/>
      </w:r>
    </w:p>
    <w:tbl>
      <w:tblPr>
        <w:tblW w:w="3324" w:type="dxa"/>
        <w:jc w:val="left"/>
        <w:tblInd w:w="0" w:type="dxa"/>
        <w:tblCellMar>
          <w:top w:w="28" w:type="dxa"/>
          <w:left w:w="28" w:type="dxa"/>
          <w:bottom w:w="28" w:type="dxa"/>
          <w:right w:w="28" w:type="dxa"/>
        </w:tblCellMar>
      </w:tblPr>
      <w:tblGrid>
        <w:gridCol w:w="560"/>
        <w:gridCol w:w="492"/>
        <w:gridCol w:w="494"/>
        <w:gridCol w:w="180"/>
        <w:gridCol w:w="181"/>
        <w:gridCol w:w="313"/>
        <w:gridCol w:w="126"/>
        <w:gridCol w:w="126"/>
        <w:gridCol w:w="126"/>
        <w:gridCol w:w="180"/>
        <w:gridCol w:w="181"/>
        <w:gridCol w:w="365"/>
      </w:tblGrid>
      <w:tr>
        <w:trPr/>
        <w:tc>
          <w:tcPr>
            <w:tcW w:w="5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UnitedHealthcare</w:t>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Equivalents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demand deposits in a bank, money market funds and highly liquid investments with an original maturity of 90 days or less to be cash equivalents. </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deposits of $749,000 and $603,000 included in long-term assets as of December 31, 2021 and December 31, 2020, respectively, restricted from withdrawal and held by banks in the form of collateral for irrevocable standby letters of credit held as security for the Company's leases.</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first determines whether a set of assets acquired and liabilities assumed constitute a business and should be accounted for as a business combination. If the assets acquired are not a business, the Company accounts for the transaction as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estimated fair value of intangible assets acquired are based on discounted cash flows utilizing certain assumptions including revenues (such as projected testing volumes, growth rates), discount rates and expected economic life/obsolescence factors of the respective assets.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general and administrative expense in the consolidated statements of operations. </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Equity Investment</w:t>
      </w:r>
    </w:p>
    <w:p>
      <w:pPr>
        <w:pStyle w:val="TextBody"/>
        <w:spacing w:before="0" w:after="0"/>
        <w:ind w:left="0" w:right="0" w:firstLine="495"/>
        <w:jc w:val="both"/>
        <w:rPr/>
      </w:pPr>
      <w:r>
        <w:rPr/>
      </w:r>
    </w:p>
    <w:p>
      <w:pPr>
        <w:pStyle w:val="TextBody"/>
        <w:spacing w:lineRule="auto" w:line="288" w:before="0" w:after="0"/>
        <w:ind w:left="0" w:right="0" w:firstLine="495"/>
        <w:jc w:val="both"/>
        <w:rPr/>
      </w:pPr>
      <w:r>
        <w:rPr>
          <w:rFonts w:ascii="Times New Roman;sans-serif" w:hAnsi="Times New Roman;sans-serif"/>
          <w:b w:val="false"/>
          <w:color w:val="000000"/>
          <w:sz w:val="20"/>
        </w:rPr>
        <w:t xml:space="preserve">In July 2020, the Company invested $1.0 million in the preferred stock of MAVIDx, Inc., or MAVIDx, a company developing a diagnostic platform for infectious diseases testing. MAVIDx is a variable interest entity, or VIE, and the Company's investment is a variable interest. The Company has determined that it is not the primary beneficiary of the VIE due to the fact that the Company does not have the power to direct the activities that impact the economic performance of MAVIDx or the obligation to fund its operations with ongoing financial support or contributions. MAVIDx is a private company and its equity securities are not traded or quoted in any securities exchange or in the over-the-counter market, and therefore does not have a readily determinable fair value. As such, the Company has elected to measure its investment in the preferred stock at cost, less any impairment, plus or minus changes resulting from observable price changes in orderly transactions for an identical or similar equity financings of MAVIDx, in accordance with Accounting Standards Codification, or ASC 321, </w:t>
      </w:r>
      <w:r>
        <w:rPr>
          <w:rFonts w:ascii="Times New Roman;sans-serif" w:hAnsi="Times New Roman;sans-serif"/>
          <w:b w:val="false"/>
          <w:i/>
          <w:color w:val="000000"/>
          <w:sz w:val="20"/>
        </w:rPr>
        <w:t>Investments—Equity Securities</w:t>
      </w:r>
      <w:r>
        <w:rPr>
          <w:rFonts w:ascii="Times New Roman;sans-serif" w:hAnsi="Times New Roman;sans-serif"/>
          <w:b w:val="false"/>
          <w:color w:val="000000"/>
          <w:sz w:val="20"/>
        </w:rPr>
        <w:t>. Based on the fourth quarter of 2020 operating performance of MAVIDx and the volatile nature of the market in which it operates, the Company determined that the investment in MAVIDx is fully impaired as of December 31, 2020. As a result, an impairment loss of $1.0 million was recorded in the fourth quarter of 2020 and is included in general and administrative expense in the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Finite-lived Intangible Assets </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consist of intangible assets acquired as part of business combinations. The Company amortizes finite-lived intangible assets using the straight-line method over their estimated useful lives of 4 to 15 years, based on management's estimate of the period over which their economic benefits will be realized, product life and patent life. The Company tests these finite-lived intangible assets for impairment when events or circumstances indicate a reduction in the fair value below their carrying amounts. There was no impairment for the years ended December 31, 2021, 2020 or 2019.</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consist of in-process research and development, or IPR&amp;D, acquired as part of business combinations. The IPR&amp;D is not amortized until it becomes commercially viable and placed in service. At the time when the intangible assets are placed in service the Company will determine a useful life. The Company also tests these indefinite-lived intangible assets for impairment when events or circumstances indicate a reduction in the fair value below their carrying amounts. There was no impairment for the years ended December 31, 2021, 2020 or 2019.</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There was no impairment for the years ended December 31, 2021, 2020 or 2019.</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Fair Value Measurements for further information on the fair value of the Company’s financial instruments.</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before="0" w:after="0"/>
        <w:ind w:left="0" w:right="0" w:firstLine="72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The Company recognizes revenue in accordance with the provisions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pStyle w:val="TextBody"/>
        <w:spacing w:before="0" w:after="0"/>
        <w:rPr/>
      </w:pPr>
      <w:r>
        <w:rPr/>
      </w:r>
    </w:p>
    <w:p>
      <w:pPr>
        <w:pStyle w:val="TextBody"/>
        <w:spacing w:lineRule="auto" w:line="256" w:before="0" w:after="0"/>
        <w:rPr>
          <w:rFonts w:ascii="Times New Roman;sans-serif" w:hAnsi="Times New Roman;sans-serif"/>
          <w:b/>
          <w:color w:val="000000"/>
          <w:sz w:val="20"/>
        </w:rPr>
      </w:pPr>
      <w:r>
        <w:rPr>
          <w:rFonts w:ascii="Times New Roman;sans-serif" w:hAnsi="Times New Roman;sans-serif"/>
          <w:b/>
          <w:color w:val="000000"/>
          <w:sz w:val="20"/>
        </w:rPr>
        <w:t>Testing Revenue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bills for testing services at the time of test completion as defined by the delivery of test results. The Company recognizes revenue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Company changed its testing revenue estimates due to actual and anticipated cash collections for tests delivered in 2020 or prior years and recognized additional revenue of $1.5 million, which resulted in a decrease in the Company's loss from operations of $1.5 million and a decrease in loss per share of $0.02 for the year ended December 31, 2021.</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the Company changed its testing revenue estimates due to actual and anticipated cash collections for tests delivered in 2019 or prior years and recognized additional revenue of $1.5 million, which resulted in a decrease in the Company's loss from operations of $1.5 million and a decrease in loss per share of $0.02 for the year ended December 31, 2020.</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2019, the Company changed its testing revenue estimates due to actual and anticipated cash collections for tests delivered in 2018 or prior years and recognized additional revenue of $1.6 million, which resulted in a decrease in the Company's loss from operations of $1.6 million and a decrease in loss per share of $0.04 for the year ended December 31, 2019.</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 Revenue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began recognizing product revenue in December 2019, when the Company executed an agreement with NanoString for the exclusive global license to the nCounter Analysis System for diagnostic use. More details on this agreement are in Note 4. Business Combination.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 from instruments and diagnostic kits is recognized generally upon shipment or when the instrument is ready for use by the end customer. Shipping and handling costs incurred for product shipments are included in product revenue. Revenues are presented net of the taxes that are collected from customers and remitted to governmental authorities. There was no revenue from instrument sales for the years ended December 31, 2021, 2020 or 2019.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Biopharmaceutical and Other Revenue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arrangements for research and development, commercialization, contract manufacturing and contract testing services which are classified under biopharmaceutical and other revenue. Such arrangements may require the Company to deliver various rights, manufactured diagnostic test kits, services and/or samples, including intellectual property rights/licenses, research and development services, and/or commercialization services. The Company receives consideration in the form of upfront license fees; payments on delivery of data, test results or manufactured products; costs of service plus margin; and development and commercial performance milestone payments.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 </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revenues and earnings in the period of adjustment. Revisions to the Company’s estimate of the transaction price may also result in negative revenues and earnings in the period of adjustment. One collaboration arrangement with milestone payments falls under the scope of ASC Topic 808, </w:t>
      </w:r>
      <w:r>
        <w:rPr>
          <w:rFonts w:ascii="Times New Roman;sans-serif" w:hAnsi="Times New Roman;sans-serif"/>
          <w:b w:val="false"/>
          <w:i/>
          <w:color w:val="000000"/>
          <w:sz w:val="20"/>
        </w:rPr>
        <w:t>Collaborative Arrangements</w:t>
      </w:r>
      <w:r>
        <w:rPr>
          <w:rFonts w:ascii="Times New Roman;sans-serif" w:hAnsi="Times New Roman;sans-serif"/>
          <w:b w:val="false"/>
          <w:color w:val="000000"/>
          <w:sz w:val="20"/>
        </w:rPr>
        <w:t>, or ASC 808. These milestone payments are recognized in the same manner as milestone payments from customers and are classified under biopharmaceutical and other revenue.</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from biopharmaceutical and other revenue was $11.6 million and $0.4 million at December 31, 2021 and 2020, respectively. There was $5.0 million and $1.2 million of deferred revenue related to these agreements at December 31, 2021 and 2020, respectively.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included in biopharmaceutical and other revenue for the years ended December 31, 2021, 2020 and 2019 were as follows (in thousands of dollars):</w:t>
      </w:r>
    </w:p>
    <w:p>
      <w:pPr>
        <w:pStyle w:val="TextBody"/>
        <w:spacing w:before="0" w:after="0"/>
        <w:ind w:left="0" w:right="0" w:firstLine="450"/>
        <w:jc w:val="both"/>
        <w:rPr/>
      </w:pPr>
      <w:r>
        <w:rPr/>
      </w:r>
    </w:p>
    <w:tbl>
      <w:tblPr>
        <w:tblW w:w="5337" w:type="dxa"/>
        <w:jc w:val="left"/>
        <w:tblInd w:w="0" w:type="dxa"/>
        <w:tblCellMar>
          <w:top w:w="28" w:type="dxa"/>
          <w:left w:w="28" w:type="dxa"/>
          <w:bottom w:w="28" w:type="dxa"/>
          <w:right w:w="28" w:type="dxa"/>
        </w:tblCellMar>
      </w:tblPr>
      <w:tblGrid>
        <w:gridCol w:w="679"/>
        <w:gridCol w:w="596"/>
        <w:gridCol w:w="600"/>
        <w:gridCol w:w="196"/>
        <w:gridCol w:w="646"/>
        <w:gridCol w:w="109"/>
        <w:gridCol w:w="109"/>
        <w:gridCol w:w="109"/>
        <w:gridCol w:w="109"/>
        <w:gridCol w:w="196"/>
        <w:gridCol w:w="556"/>
        <w:gridCol w:w="109"/>
        <w:gridCol w:w="109"/>
        <w:gridCol w:w="109"/>
        <w:gridCol w:w="109"/>
        <w:gridCol w:w="196"/>
        <w:gridCol w:w="646"/>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milestones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of data</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Milestones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rights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manufacturing</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testing</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Cost of Testing Revenue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 Cost of testing revenue for the year ended December 31, 2020 included a $1.1 million write-down of supplies for the expiration of reagents due to an anticipated decline in volumes resulting from the COVID-19 pandemic.</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Cost of Product Revenue </w:t>
      </w:r>
    </w:p>
    <w:p>
      <w:pPr>
        <w:pStyle w:val="TextBody"/>
        <w:spacing w:before="0" w:after="0"/>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revenue consists primarily of costs of purchasing instruments and diagnostic kits from third-party contract manufacturers, installation, service and packaging and delivery costs. In addition, cost of product includes royalty costs for licensed technologies included in the Company’s products, and labor expenses. Cost of product revenue for instruments and diagnostic kits is recognized in the period the related revenue is recognized. Shipping and handling costs incurred for product shipments are included in cost of product in the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Cost of Biopharmaceutical and Other Revenue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 consists of costs of performing activities under arrangements that require the Company to perform research and development, commercialization, contract manufacturing and contract testing services on behalf of a customer.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include expenses incurred to develop the Company's technology, collect clinical samples and conduct clinical studies to develop and support its products.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The Company expenses all research and development costs in the periods in which they are incurred. </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stock options issued to employees and non-employees is measured based on the grant-date fair value of the award. The fair value of each stock option is estimated on the date of grant using the Black-Scholes option-pricing model. Stock-based compensation expense for restricted stock units, or RSUs, is measured based on the fair value of the award, which is determined based upon the closing price of the Company’s common stock on the date of the grant. The Company grants performance-based stock units, or PSUs, to certain employees which vest upon the achievement of certain performance conditions, subject to the employees’ continued service with the Company. The probability of vesting is assessed at each reporting period and compensation cost is adjusted based on this probability assessment.</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costs on a straight-line basis for all employee stock-based compensation awards that are expected to vest over the requisite service period of the awards, which is generally the awards' vesting period. Forfeitures are estimated at the time of grant and revised, if necessary, in subsequent periods if actual forfeitures differ from those estimates.</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per Common Share</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RSUs and shares subject to purchase under our employee stock purchase plan are considered to be common stock equivalents and were excluded from the calculation of diluted net loss per common share because their effect would be anti-dilutive for all periods presented.</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French Research Tax Credits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French research tax credits (crédit d’impôt recherche or CIR) is generated by the Company’s wholly owned subsidiary, Veracyte SAS, in connection with its research efforts performed in Marseille, France. The Company recognizes other income from the CIR over time based on when the research and development expenses are incurred and includes the CIR in prepaids and other current assets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of the Company’s foreign subsidiary HalioDx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Revenues and expenses from the Company’s foreign subsidiaries are translated using the monthly average exchange rates in </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 during the period in which the transactions occur. Foreign currency transaction gains and losses are recorded in other income, net, on the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products and biopharmaceutical services.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 region based on the customer billing address was as follows (in thousands):</w:t>
      </w:r>
    </w:p>
    <w:p>
      <w:pPr>
        <w:pStyle w:val="TextBody"/>
        <w:spacing w:before="0" w:after="0"/>
        <w:ind w:left="0" w:right="0" w:firstLine="495"/>
        <w:jc w:val="both"/>
        <w:rPr/>
      </w:pPr>
      <w:r>
        <w:rPr/>
      </w:r>
    </w:p>
    <w:tbl>
      <w:tblPr>
        <w:tblW w:w="5382" w:type="dxa"/>
        <w:jc w:val="left"/>
        <w:tblInd w:w="0" w:type="dxa"/>
        <w:tblCellMar>
          <w:top w:w="28" w:type="dxa"/>
          <w:left w:w="28" w:type="dxa"/>
          <w:bottom w:w="28" w:type="dxa"/>
          <w:right w:w="28" w:type="dxa"/>
        </w:tblCellMar>
      </w:tblPr>
      <w:tblGrid>
        <w:gridCol w:w="452"/>
        <w:gridCol w:w="395"/>
        <w:gridCol w:w="398"/>
        <w:gridCol w:w="211"/>
        <w:gridCol w:w="826"/>
        <w:gridCol w:w="109"/>
        <w:gridCol w:w="109"/>
        <w:gridCol w:w="109"/>
        <w:gridCol w:w="109"/>
        <w:gridCol w:w="211"/>
        <w:gridCol w:w="826"/>
        <w:gridCol w:w="109"/>
        <w:gridCol w:w="109"/>
        <w:gridCol w:w="109"/>
        <w:gridCol w:w="109"/>
        <w:gridCol w:w="211"/>
        <w:gridCol w:w="826"/>
        <w:gridCol w:w="154"/>
      </w:tblGrid>
      <w:tr>
        <w:trPr/>
        <w:tc>
          <w:tcPr>
            <w:tcW w:w="45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long-lived assets were located in the United States as of December 31, 2021 and 2020.</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before="0" w:after="0"/>
        <w:jc w:val="both"/>
        <w:rPr/>
      </w:pPr>
      <w:r>
        <w:rPr/>
      </w:r>
    </w:p>
    <w:p>
      <w:pPr>
        <w:pStyle w:val="TextBody"/>
        <w:spacing w:lineRule="auto" w:line="276" w:before="0" w:after="0"/>
        <w:ind w:left="0" w:right="0" w:firstLine="450"/>
        <w:jc w:val="both"/>
        <w:rPr/>
      </w:pPr>
      <w:r>
        <w:rPr>
          <w:rFonts w:ascii="Times New Roman;sans-serif" w:hAnsi="Times New Roman;sans-serif"/>
          <w:b w:val="false"/>
          <w:color w:val="000000"/>
          <w:sz w:val="20"/>
        </w:rPr>
        <w:t xml:space="preserve">In December 2019, the Financial Accounting Standards Board, or the FASB, issued Accounting Standards Update, or ASU, 2019-12, </w:t>
      </w:r>
      <w:r>
        <w:rPr>
          <w:rFonts w:ascii="Times New Roman;sans-serif" w:hAnsi="Times New Roman;sans-serif"/>
          <w:b w:val="false"/>
          <w:i/>
          <w:color w:val="000000"/>
          <w:sz w:val="20"/>
        </w:rPr>
        <w:t>Income Taxes (Topic 740): Simplifying the Accounting for Income Taxes</w:t>
      </w:r>
      <w:r>
        <w:rPr>
          <w:rFonts w:ascii="Times New Roman;sans-serif" w:hAnsi="Times New Roman;sans-serif"/>
          <w:b w:val="false"/>
          <w:color w:val="000000"/>
          <w:sz w:val="20"/>
        </w:rPr>
        <w:t>. This standard simplifies the accounting for income taxes by removing certain exceptions to the general principles in Topic 740. This ASU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The amendments in this ASU also improve consistency and simplify other areas of Topic 740 by clarifying and amending existing guidance. The revised guidance will be applied prospectively and became effective for the Company beginning January 1, 2021. The adoption of ASU 2019-12 did not have a material impact on the Company's consolidated financial statements.</w:t>
      </w:r>
    </w:p>
    <w:p>
      <w:pPr>
        <w:pStyle w:val="TextBody"/>
        <w:spacing w:before="0" w:after="0"/>
        <w:ind w:left="0" w:right="0" w:firstLine="450"/>
        <w:jc w:val="both"/>
        <w:rPr/>
      </w:pPr>
      <w:r>
        <w:rPr/>
      </w:r>
    </w:p>
    <w:p>
      <w:pPr>
        <w:pStyle w:val="TextBody"/>
        <w:spacing w:lineRule="auto" w:line="276" w:before="0" w:after="0"/>
        <w:ind w:left="0" w:right="0" w:firstLine="450"/>
        <w:jc w:val="both"/>
        <w:rPr/>
      </w:pPr>
      <w:r>
        <w:rPr>
          <w:rFonts w:ascii="Times New Roman;sans-serif" w:hAnsi="Times New Roman;sans-serif"/>
          <w:b w:val="false"/>
          <w:color w:val="000000"/>
          <w:sz w:val="20"/>
        </w:rPr>
        <w:t xml:space="preserve">In October 2021, the FASB issued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Company does not expect to have a material impact on its consolidated financial statements and related disclosures from the adoption of this guidance.</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Net Loss Per Share</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common stock equivalents have been excluded from diluted net loss per common share for the years ended December 31, 2021, 2020 and 2019 because their inclusion would be anti-dilutive:</w:t>
      </w:r>
    </w:p>
    <w:p>
      <w:pPr>
        <w:pStyle w:val="TextBody"/>
        <w:spacing w:before="0" w:after="0"/>
        <w:ind w:left="0" w:right="0" w:firstLine="495"/>
        <w:jc w:val="both"/>
        <w:rPr/>
      </w:pPr>
      <w:r>
        <w:rPr/>
      </w:r>
    </w:p>
    <w:tbl>
      <w:tblPr>
        <w:tblW w:w="8849" w:type="dxa"/>
        <w:jc w:val="left"/>
        <w:tblInd w:w="0" w:type="dxa"/>
        <w:tblCellMar>
          <w:top w:w="28" w:type="dxa"/>
          <w:left w:w="28" w:type="dxa"/>
          <w:bottom w:w="28" w:type="dxa"/>
          <w:right w:w="28" w:type="dxa"/>
        </w:tblCellMar>
      </w:tblPr>
      <w:tblGrid>
        <w:gridCol w:w="1668"/>
        <w:gridCol w:w="1466"/>
        <w:gridCol w:w="1470"/>
        <w:gridCol w:w="488"/>
        <w:gridCol w:w="488"/>
        <w:gridCol w:w="156"/>
        <w:gridCol w:w="132"/>
        <w:gridCol w:w="132"/>
        <w:gridCol w:w="132"/>
        <w:gridCol w:w="488"/>
        <w:gridCol w:w="488"/>
        <w:gridCol w:w="156"/>
        <w:gridCol w:w="132"/>
        <w:gridCol w:w="132"/>
        <w:gridCol w:w="132"/>
        <w:gridCol w:w="488"/>
        <w:gridCol w:w="488"/>
        <w:gridCol w:w="213"/>
      </w:tblGrid>
      <w:tr>
        <w:trPr/>
        <w:tc>
          <w:tcPr>
            <w:tcW w:w="1668"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subject to outstanding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4,564,777 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5,394,944 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26,124 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1,106,938 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913,562 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712,122 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equivalents</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4,882,903 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5,499,345 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6,133,190 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Business Combinations</w:t>
      </w:r>
    </w:p>
    <w:p>
      <w:pPr>
        <w:pStyle w:val="TextBody"/>
        <w:spacing w:before="0" w:after="0"/>
        <w:rPr/>
      </w:pPr>
      <w:r>
        <w:rPr/>
      </w:r>
    </w:p>
    <w:p>
      <w:pPr>
        <w:pStyle w:val="TextBody"/>
        <w:spacing w:lineRule="auto" w:line="288" w:before="0" w:after="0"/>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 xml:space="preserve">HalioDx </w:t>
      </w:r>
    </w:p>
    <w:p>
      <w:pPr>
        <w:pStyle w:val="TextBody"/>
        <w:spacing w:before="0" w:after="0"/>
        <w:ind w:left="0" w:right="0" w:firstLine="13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2021, the Company acquired 100% of the equity interests (the "HalioDx Acquisition") of HalioDx SAS and 100% of the equity interest of HalioDx Inc., historically a wholly owned subsidiary of HalioDx SAS, (collectively referred to as “HalioDx”). HalioDx was a privately-held company providing immune-based diagnostic products and services. The consideration to acquire HalioDx was $319.6 million, comprised of $147.1 million in the form of 3.3 million shares of the Company’s common stock based on the Company's share price on the closing date, $4.2 million in liabilities, and the remainder in cash. The Company incurred $11.5 million of transaction costs related to the acquisition of HalioDx, which were recorded as general and administrative expense during the year ended December 31, 2021.</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HalioDx Acquisition, 11,031 unvested HalioDx free ordinary share awards, or free shares, were modified to provide the Company the right to purchase the vested free shares (call option) from the holders and the holders the right to sell the vested free shares to the Company (put option) from time to time through late 2023. As a result of the call and put options, the free shares are liability classified with an initial fair value of $5.1 million, based on the expected settlement amount. As the free shares require the holders to continue to provide services post-combination, the Company included $3.5 million, attributed to pre-combination services, in the purchase price and the remainder will be recorded in post-combination compensation expense, which will be recognized over the period the holders provide services to the Company.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connection with the HalioDx Acquisition, all of HalioDx's equity-classified options that were outstanding prior to the HalioDx Acquisition were terminated and cancelled at the acquisition date. The Company paid holders of vested options cash consideration of $0.4 million and as the payment is related to pre-combination services, the amount was included in the purchase price. The Company also committed to pay cash consideration of $1.5 million to holders of unvested options on the date the employee satisfies the original service requirement. As this payment requires continuing services and is forfeited if the holders' employment is terminated, the amount was considered nonrecurring post-combination compensation expense and will be recognized over the remaining service period.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agreement, the Company held back $16.8 million of the cash consideration, or the holdback, which will be payable to the founders of HalioDx based on their continuous employment with the Company. Fifty percent of the holdback will be placed in escrow on the founders' behalf on the first anniversary of the closing date and the remainder will be paid directly to the founders on the second anniversary. As this payment is dependent on the founders’ continuing employment and is forfeited if the employment is terminated, the holdback is not included in the purchase price and will be recognized as post-combination compensation expense over the two-year service period.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the Company recognized post-combination compensation expense of $4.5 million, of which $0.3 million was recorded as cost of revenue, $0.8 million was recorded as research and development, $1.3 million was recorded as sales and marketing, and the remainder was recorded as general and administrative.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included the financial results of HalioDx in its consolidated financial statements from the acquisition date, which contributed $11.5 million and $13.0 million of revenue and operating loss, respectively, during the year ended December 31, 2021.</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purchase price and post-combination compensation expense as a part of the HalioDx Acquisition (in thousands):</w:t>
      </w:r>
    </w:p>
    <w:p>
      <w:pPr>
        <w:pStyle w:val="TextBody"/>
        <w:spacing w:before="0" w:after="0"/>
        <w:rPr/>
      </w:pPr>
      <w:r>
        <w:rPr/>
      </w:r>
    </w:p>
    <w:tbl>
      <w:tblPr>
        <w:tblW w:w="6984" w:type="dxa"/>
        <w:jc w:val="center"/>
        <w:tblInd w:w="0" w:type="dxa"/>
        <w:tblCellMar>
          <w:top w:w="28" w:type="dxa"/>
          <w:left w:w="28" w:type="dxa"/>
          <w:bottom w:w="28" w:type="dxa"/>
          <w:right w:w="28" w:type="dxa"/>
        </w:tblCellMar>
      </w:tblPr>
      <w:tblGrid>
        <w:gridCol w:w="728"/>
        <w:gridCol w:w="639"/>
        <w:gridCol w:w="642"/>
        <w:gridCol w:w="231"/>
        <w:gridCol w:w="870"/>
        <w:gridCol w:w="128"/>
        <w:gridCol w:w="109"/>
        <w:gridCol w:w="109"/>
        <w:gridCol w:w="109"/>
        <w:gridCol w:w="672"/>
        <w:gridCol w:w="2217"/>
        <w:gridCol w:w="530"/>
      </w:tblGrid>
      <w:tr>
        <w:trPr/>
        <w:tc>
          <w:tcPr>
            <w:tcW w:w="72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Purchase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Post-Combination Compensation Expense</w:t>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transferred</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168,357 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incurred</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19,904 </w:t>
            </w:r>
          </w:p>
        </w:tc>
        <w:tc>
          <w:tcPr>
            <w:tcW w:w="5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transferred</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147,089 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319,640 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19,904 </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855"/>
        <w:jc w:val="center"/>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liabilities assumed, and the resulting amount of goodwill. The following table summarizes the fair values of assets acquired and liabilities assumed in the acquisition of HalioDx at the date of acquisition (in thousands):</w:t>
      </w:r>
    </w:p>
    <w:p>
      <w:pPr>
        <w:pStyle w:val="TextBody"/>
        <w:spacing w:lineRule="auto" w:line="288" w:before="0" w:after="0"/>
        <w:ind w:left="0" w:right="0" w:firstLine="855"/>
        <w:jc w:val="center"/>
        <w:rPr>
          <w:color w:val="000000"/>
        </w:rPr>
      </w:pPr>
      <w:r>
        <w:rPr>
          <w:color w:val="000000"/>
        </w:rPr>
        <w:t> </w:t>
      </w:r>
    </w:p>
    <w:tbl>
      <w:tblPr>
        <w:tblW w:w="4460" w:type="dxa"/>
        <w:jc w:val="center"/>
        <w:tblInd w:w="0" w:type="dxa"/>
        <w:tblCellMar>
          <w:top w:w="28" w:type="dxa"/>
          <w:left w:w="28" w:type="dxa"/>
          <w:bottom w:w="28" w:type="dxa"/>
          <w:right w:w="28" w:type="dxa"/>
        </w:tblCellMar>
      </w:tblPr>
      <w:tblGrid>
        <w:gridCol w:w="1223"/>
        <w:gridCol w:w="1072"/>
        <w:gridCol w:w="1079"/>
        <w:gridCol w:w="196"/>
        <w:gridCol w:w="736"/>
        <w:gridCol w:w="154"/>
      </w:tblGrid>
      <w:tr>
        <w:trPr/>
        <w:tc>
          <w:tcPr>
            <w:tcW w:w="122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Supplies inventory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financing lease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operating lease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identifiable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financing 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lease liability, net of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identifiable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purchase price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35"/>
        <w:rPr>
          <w:color w:val="000000"/>
        </w:rPr>
      </w:pPr>
      <w:r>
        <w:rPr>
          <w:color w:val="000000"/>
        </w:rPr>
        <w:t> </w:t>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Based on the guidance provided in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or ASC 805, the Company accounted for the acquisition of HalioDx as a business combination in which the Company determined that HalioDx was a business which combines inputs and processes to create outputs, and substantially all of the fair value of gross assets acquired was not concentrated in a single identifiable asset or group of similar identifiable assets.</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purchase price allocation for the HalioDx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certain income tax items, intangible assets, deferred revenue, accounts receivable, other assets, commitments and contingencies and goodwill. Additional information that existed as of the closing date but not known at the time of this filing may become known to the Company during the remainder of the measurement period, a period not to exceed 12 months from the closing date.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the Company recorded certain measurement period adjustments due to new information becoming available pertaining to the valuation of accounts payable and certain other assets. These adjustments were recorded as decreases to goodwill and did not impact the consolidated statements of operations.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intangible assets acquired include three developed technology assets (related to diagnostics, biopharma, and contract IVD), two customer relationships assets (related to biopharma and contract IVD manufacturing and development), and two customer backlog assets (related to biopharma and contract IVD manufacturing and development). The fair value of our intangible assets acquired as of the acquisition date and the method used to value these assets as well as the estimated economic lives for amortizable intangible assets were as follows (in thousands, except estimated useful life which is in years):</w:t>
      </w:r>
    </w:p>
    <w:p>
      <w:pPr>
        <w:pStyle w:val="TextBody"/>
        <w:spacing w:before="0" w:after="0"/>
        <w:jc w:val="both"/>
        <w:rPr/>
      </w:pPr>
      <w:r>
        <w:rPr/>
      </w:r>
    </w:p>
    <w:tbl>
      <w:tblPr>
        <w:tblW w:w="8339" w:type="dxa"/>
        <w:jc w:val="left"/>
        <w:tblInd w:w="0" w:type="dxa"/>
        <w:tblCellMar>
          <w:top w:w="28" w:type="dxa"/>
          <w:left w:w="28" w:type="dxa"/>
          <w:bottom w:w="28" w:type="dxa"/>
          <w:right w:w="28" w:type="dxa"/>
        </w:tblCellMar>
      </w:tblPr>
      <w:tblGrid>
        <w:gridCol w:w="1039"/>
        <w:gridCol w:w="910"/>
        <w:gridCol w:w="916"/>
        <w:gridCol w:w="196"/>
        <w:gridCol w:w="646"/>
        <w:gridCol w:w="109"/>
        <w:gridCol w:w="109"/>
        <w:gridCol w:w="109"/>
        <w:gridCol w:w="109"/>
        <w:gridCol w:w="554"/>
        <w:gridCol w:w="554"/>
        <w:gridCol w:w="556"/>
        <w:gridCol w:w="109"/>
        <w:gridCol w:w="109"/>
        <w:gridCol w:w="109"/>
        <w:gridCol w:w="645"/>
        <w:gridCol w:w="645"/>
        <w:gridCol w:w="915"/>
      </w:tblGrid>
      <w:tr>
        <w:trPr/>
        <w:tc>
          <w:tcPr>
            <w:tcW w:w="1039"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Valuation method</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 – diagnostics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Multi-period excess earnings</w:t>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 – biopharma</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Multi-period excess earnings</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 – contract IVD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Multi-period excess earnings</w:t>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 biopharma</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With-and-without</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 contract IVD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With-and-without</w:t>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backlog – biopharma</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Multi-period excess earnings</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backlog – contract IVD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Multi-period excess earnings</w:t>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amortization expense for all acquired intangible assets will be recognized on a straight-line basis and recorded within intangible asset amortization.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the net tangible and intangible assets acquired. The HalioDx Acquisition resulted in the recognition of $248.8 million of goodwill which the Company believes consists primarily of expanded market and product opportunities, including new areas of testing, as well as the potential manufacturing of the Company's product offerings for international markets. Goodwill created as a result of the HalioDx Acquisition is not deductible for tax purposes. The HalioDx Acquisition allows the Company to continue to develop and further enhance its business as a global diagnostics company and continues the Company’s ability to inform the diagnosis and treatment decisions related to cancer. The HalioDx portfolio complements and expands the existing business and allows for vertical integration through the addition of manufacturing capabilities for the Company’s test kits.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HalioDx acquisition, a net deferred tax liability was assumed with a fair value of $7.4 million which primarily relates to future intangible asset amortization which is not deductible for income tax purposes.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granted RSUs to new employees who joined the Company in connection with the HalioDx Acquisition with a fair value of $16.5 million, net of estimated forfeitures. As the number of shares that are expected to be issued is fixed, the awards are equity-classified. The RSUs vest over four years, subject to the employees’ continuous service. During the year ended December 31, 2021, the Company recorded $3.5 million in stock-based compensation expense which includes $2.0 million related to one employee whose continuing services were deemed non-substantive.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Decipher Biosciences</w:t>
      </w:r>
    </w:p>
    <w:p>
      <w:pPr>
        <w:pStyle w:val="TextBody"/>
        <w:spacing w:before="0" w:after="0"/>
        <w:ind w:left="0" w:right="0" w:firstLine="13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2021, the Company acquired 100% of the equity interests of Decipher Biosciences, a privately-held company developing diagnostic tests in urologic cancers, for approximately $594.7 million, comprised of approximately $550.5 million in the form of upfront cash consideration and the remainder in cash payable post-acquisition of which $43.8 million was paid prior to June 30, 2021 (the "Decipher Acquisition"). The Company incurred approximately $10.6 million of transaction costs related to the acquisition of Decipher Biosciences which were recorded as general and administrative expense during the year ended December 31, 2021.</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Decipher Acquisition, certain of Decipher Biosciences' equity awards that were outstanding and unvested prior to the Decipher Acquisition became fully vested per the terms of the merger agreement. The acceleration of vesting required the Company to allocate the fair value of the historical Decipher Biosciences’ employee stock awards attributable to pre-combination service to the purchase price and the remaining amount was considered the Company's nonrecurring post-combination expense. In March 2021, the Company recognized nonrecurring post-combination expense related to the acceleration and cash settlement of unvested historical Decipher Biosciences’ employee stock awards of $25.1 million, all of which was recorded as general and administrative expense during the quarter ended March 31, 2021.</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included the financial results of Decipher Biosciences in its consolidated financial statements from the acquisition date, which contributed $65.9 million and $18.2 million of revenue and operating income, respectively, during the year ended December 31, 2021. </w:t>
      </w:r>
    </w:p>
    <w:p>
      <w:pPr>
        <w:pStyle w:val="TextBody"/>
        <w:spacing w:before="0" w:after="0"/>
        <w:ind w:left="0" w:right="0" w:firstLine="85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purchase price and nonrecurring post-combination compensation expense recorded as a part of the Decipher Acquisition (in thousands):</w:t>
      </w:r>
    </w:p>
    <w:p>
      <w:pPr>
        <w:pStyle w:val="TextBody"/>
        <w:spacing w:before="0" w:after="0"/>
        <w:rPr/>
      </w:pPr>
      <w:r>
        <w:rPr/>
      </w:r>
    </w:p>
    <w:tbl>
      <w:tblPr>
        <w:tblW w:w="7015" w:type="dxa"/>
        <w:jc w:val="center"/>
        <w:tblInd w:w="0" w:type="dxa"/>
        <w:tblCellMar>
          <w:top w:w="28" w:type="dxa"/>
          <w:left w:w="28" w:type="dxa"/>
          <w:bottom w:w="28" w:type="dxa"/>
          <w:right w:w="28" w:type="dxa"/>
        </w:tblCellMar>
      </w:tblPr>
      <w:tblGrid>
        <w:gridCol w:w="739"/>
        <w:gridCol w:w="649"/>
        <w:gridCol w:w="652"/>
        <w:gridCol w:w="231"/>
        <w:gridCol w:w="870"/>
        <w:gridCol w:w="128"/>
        <w:gridCol w:w="109"/>
        <w:gridCol w:w="109"/>
        <w:gridCol w:w="109"/>
        <w:gridCol w:w="672"/>
        <w:gridCol w:w="2217"/>
        <w:gridCol w:w="530"/>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Purchase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Nonrecurring </w:t>
              <w:br/>
              <w:t>Post-Combination Compensation Expense</w:t>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Upfront cash consideration</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550,515 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Liabilities incurred </w:t>
            </w:r>
          </w:p>
        </w:tc>
        <w:tc>
          <w:tcPr>
            <w:tcW w:w="11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44,179 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24,809 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594,694 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25,079 </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855"/>
        <w:jc w:val="center"/>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liabilities assumed, and the resulting amount of goodwill. The following table summarizes the fair values of </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acquired and liabilities assumed through the Company's acquisition of Decipher Biosciences at the date of acquisition (in thousands):</w:t>
      </w:r>
    </w:p>
    <w:p>
      <w:pPr>
        <w:pStyle w:val="TextBody"/>
        <w:spacing w:lineRule="auto" w:line="288" w:before="0" w:after="0"/>
        <w:ind w:left="0" w:right="0" w:firstLine="855"/>
        <w:jc w:val="center"/>
        <w:rPr>
          <w:color w:val="000000"/>
        </w:rPr>
      </w:pPr>
      <w:r>
        <w:rPr>
          <w:color w:val="000000"/>
        </w:rPr>
        <w:t> </w:t>
      </w:r>
    </w:p>
    <w:tbl>
      <w:tblPr>
        <w:tblW w:w="4716" w:type="dxa"/>
        <w:jc w:val="center"/>
        <w:tblInd w:w="0" w:type="dxa"/>
        <w:tblCellMar>
          <w:top w:w="28" w:type="dxa"/>
          <w:left w:w="28" w:type="dxa"/>
          <w:bottom w:w="28" w:type="dxa"/>
          <w:right w:w="28" w:type="dxa"/>
        </w:tblCellMar>
      </w:tblPr>
      <w:tblGrid>
        <w:gridCol w:w="1315"/>
        <w:gridCol w:w="1154"/>
        <w:gridCol w:w="1161"/>
        <w:gridCol w:w="196"/>
        <w:gridCol w:w="736"/>
        <w:gridCol w:w="154"/>
      </w:tblGrid>
      <w:tr>
        <w:trPr/>
        <w:tc>
          <w:tcPr>
            <w:tcW w:w="1315"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Supplies inventory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operating lease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Finite-lived 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Indefinite-lived 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identifiable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net of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identifiable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468,266 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purchase price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35"/>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guidance provided in ASC 805, the Company accounted for the acquisition of Decipher Biosciences as a business combination in which the Company determined that Decipher Biosciences was a business which combines inputs and processes to create outputs, and substantially all of the fair value of gross assets acquired was not concentrated in a single identifiable asset or group of similar identifiable assets.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purchase price allocation for the Decipher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accounts receivable, and goodwill. Additional information that existed as of the closing date but not known at the time of this filing may become known to the Company during the remainder of the measurement period, a period not to exceed 12 months from the closing date.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the Company recorded certain measurement period adjustments due to new information becoming available pertaining to the valuation of accounts receivable and certain other assets. These adjustments were recorded as decreases to goodwill and did not impact the consolidated statements of operations. One of these adjustments relates to cash collections of accounts receivable that existed as of the acquisition date exceeding the initial fair value of accounts receivable recorded on the acquisition date by $1.8 million.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intangible assets acquired are two IPR&amp;D assets, developed technology, and trade names. Additionally, the Company identified an off-market lease and an intangible asset of $1.8 million is included in operating lease assets which will be amortized over the remaining lease term.</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IPR&amp;D is determined using the multi-period excess earnings method which calculates the present value of the estimated revenues and net cash flows derived from the IPR&amp;D once the technologies are developed. The IPR&amp;D is not amortized until it becomes commercially viable and placed in service. At the time when the intangible assets are placed in service the Company will determine a useful life. If the IPR&amp;D is abandoned or determined to be impaired, the carrying value will be expensed.</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finite-lived intangible assets was estimated as follows: (i) the developed technology of $90.0 million was based on a multi-period excess earnings method, and (ii) the trade names of $4.0 million was based on the relief from royalty method. The estimated useful life for the developed technology is 10 years, and the estimated useful life for the trade names is five years. The amortization expense related to finite-lived intangible assets is recorded within the intangible asset amortization financial statement line item.</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the net tangible and intangible assets acquired. The Decipher Acquisition resulted in the recognition of $468.3 million of goodwill which the Company believes consists primarily of expanded market and product opportunities, including new areas of genomic testing, as well as the potential expansion of the Company's product offerings in international markets. Furthermore, the acquisition of Decipher Biosciences bolsters the Company's presence to seven of the ten most common cancers impacting patients in the United States, which in turn enhances the Company’s overall prominence in the genomic testing arena. Goodwill created as a result of the Decipher Acquisition is not deductible for tax purposes. The Decipher Acquisition advances the Company's objective to improve the lives of patients through innovations in genomic technology tailored for diagnostic, prognostic, and treatment decisions related to urologic cancers.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income tax benefit primarily due to net deferred tax liabilities assumed in connection with the Decipher Acquisition, which provided a future source of income to support the realization of our deferred tax assets and resulted in a release of $3.5 million in the Company's valuation allowance.</w:t>
      </w:r>
    </w:p>
    <w:p>
      <w:pPr>
        <w:pStyle w:val="TextBody"/>
        <w:spacing w:before="0" w:after="0"/>
        <w:ind w:left="0" w:right="0" w:firstLine="450"/>
        <w:jc w:val="both"/>
        <w:rPr/>
      </w:pPr>
      <w:r>
        <w:rPr/>
      </w:r>
    </w:p>
    <w:p>
      <w:pPr>
        <w:pStyle w:val="TextBody"/>
        <w:spacing w:lineRule="auto" w:line="288" w:before="0" w:after="0"/>
        <w:ind w:left="0" w:right="0" w:firstLine="135"/>
        <w:jc w:val="both"/>
        <w:rPr/>
      </w:pPr>
      <w:r>
        <w:rPr>
          <w:rFonts w:ascii="Times New Roman;sans-serif" w:hAnsi="Times New Roman;sans-serif"/>
          <w:b/>
          <w:i/>
          <w:color w:val="000000"/>
          <w:sz w:val="20"/>
        </w:rPr>
        <w:t>Exclusive License to NanoString Diagnostics Platform</w:t>
      </w:r>
      <w:r>
        <w:rPr>
          <w:color w:val="000000"/>
        </w:rPr>
        <w:t xml:space="preserve"> </w:t>
      </w:r>
    </w:p>
    <w:p>
      <w:pPr>
        <w:pStyle w:val="TextBody"/>
        <w:spacing w:before="0" w:after="0"/>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 2019, the Company executed an agreement with NanoString for the exclusive global diagnostics license to the nCounter Analysis System, the Prosigna breast cancer prognostic gene signature assay, and the LymphMark lymphoma subtyping assay. The strategic transaction positioned the Company to expand its genomic diagnostics business globally, with the ability to deliver its advanced genomic tests to physicians and their patients via hospital and clinical laboratories throughout the European Union and other parts of the world. The Company has accounted for this agreement under ASC 805.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recorded as a liability, and will be remeasured to fair value at each reporting date until the contingent consideration is settled. As of December 31, 2021, this contingency was remeasured to $8.4 million with the corresponding change included in general and administrative expense in the Company's consolidated statements of operations.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Assets acquired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the resulting amount of goodwill. The following table summarizes the fair values of assets acquired and liabilities assumed at the date of acquisition (in thousands of dollars):</w:t>
      </w:r>
    </w:p>
    <w:p>
      <w:pPr>
        <w:pStyle w:val="TextBody"/>
        <w:spacing w:before="0" w:after="0"/>
        <w:rPr/>
      </w:pPr>
      <w:r>
        <w:rPr/>
      </w:r>
    </w:p>
    <w:tbl>
      <w:tblPr>
        <w:tblW w:w="4775" w:type="dxa"/>
        <w:jc w:val="center"/>
        <w:tblInd w:w="0" w:type="dxa"/>
        <w:tblCellMar>
          <w:top w:w="28" w:type="dxa"/>
          <w:left w:w="28" w:type="dxa"/>
          <w:bottom w:w="28" w:type="dxa"/>
          <w:right w:w="28" w:type="dxa"/>
        </w:tblCellMar>
      </w:tblPr>
      <w:tblGrid>
        <w:gridCol w:w="1337"/>
        <w:gridCol w:w="1172"/>
        <w:gridCol w:w="1180"/>
        <w:gridCol w:w="211"/>
        <w:gridCol w:w="721"/>
        <w:gridCol w:w="154"/>
      </w:tblGrid>
      <w:tr>
        <w:trPr/>
        <w:tc>
          <w:tcPr>
            <w:tcW w:w="1337"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Prosigna product technology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Prosigna customer relationships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nCounter Dx license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LymphMark product technology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intangible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acquisition-related intangibles included in the above table are finite-lived and are being amortized on a straight-line basis over their estimated lives, which approximates the pattern in which the economic benefits of the intangible assets are expected to be realized, as follows:</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before="0" w:after="0"/>
        <w:ind w:left="0" w:right="0" w:firstLine="450"/>
        <w:rPr/>
      </w:pPr>
      <w:r>
        <w:rPr/>
      </w:r>
    </w:p>
    <w:tbl>
      <w:tblPr>
        <w:tblW w:w="5204" w:type="dxa"/>
        <w:jc w:val="center"/>
        <w:tblInd w:w="0" w:type="dxa"/>
        <w:tblCellMar>
          <w:top w:w="28" w:type="dxa"/>
          <w:left w:w="28" w:type="dxa"/>
          <w:bottom w:w="28" w:type="dxa"/>
          <w:right w:w="28" w:type="dxa"/>
        </w:tblCellMar>
      </w:tblPr>
      <w:tblGrid>
        <w:gridCol w:w="1011"/>
        <w:gridCol w:w="886"/>
        <w:gridCol w:w="892"/>
        <w:gridCol w:w="707"/>
        <w:gridCol w:w="707"/>
        <w:gridCol w:w="1001"/>
      </w:tblGrid>
      <w:tr>
        <w:trPr/>
        <w:tc>
          <w:tcPr>
            <w:tcW w:w="10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 (In Years)</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Prosigna product technology</w:t>
            </w:r>
          </w:p>
        </w:tc>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Prosigna customer relationships</w:t>
            </w:r>
          </w:p>
        </w:tc>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nCounter Dx license</w:t>
            </w:r>
          </w:p>
        </w:tc>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LymphMark product technology</w:t>
            </w:r>
          </w:p>
        </w:tc>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the net tangible and intangible assets acquired. This acquisition includes $1.7 million of goodwill which the Company believes consists principally of the organized workforce that will help the Company execute its strategic plans in relation to the assets acquired. As of December 31, 2021, goodwill is not deductible for tax purposes, however, if contingent consideration is paid at a future date, the portions of contingent consideration paid and allocated to the intangible assets for tax purposes will be tax deductible. </w:t>
      </w:r>
    </w:p>
    <w:p>
      <w:pPr>
        <w:pStyle w:val="TextBody"/>
        <w:spacing w:before="100" w:after="283"/>
        <w:ind w:left="0" w:right="0" w:firstLine="450"/>
        <w:jc w:val="center"/>
        <w:rPr/>
      </w:pPr>
      <w:r>
        <w:rPr/>
      </w:r>
    </w:p>
    <w:p>
      <w:pPr>
        <w:pStyle w:val="TextBody"/>
        <w:spacing w:lineRule="auto" w:line="288" w:before="0" w:after="0"/>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Supplemental Pro Forma Information (unaudited)</w:t>
      </w:r>
    </w:p>
    <w:p>
      <w:pPr>
        <w:pStyle w:val="TextBody"/>
        <w:spacing w:before="0" w:after="0"/>
        <w:ind w:left="0" w:right="0" w:firstLine="72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in the table below summarizes the combined results of operations for Veracyte, Decipher Biosciences and HalioDx as though the companies had been combined as of January 1, 2020. The pro forma amounts have been adjusted for:</w:t>
      </w:r>
    </w:p>
    <w:p>
      <w:pPr>
        <w:pStyle w:val="TextBody"/>
        <w:spacing w:before="0" w:after="0"/>
        <w:ind w:left="0" w:right="0" w:firstLine="72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day 1 expense related to the accelerated vesting of unvested legacy Decipher Biosciences and HalioDx equity awards,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transaction expenses incurred by Decipher Biosciences, HalioDx and us,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lease expense resulting from the fair value adjustments to the operating lease obligation and operating lease asset for both Decipher Biosciences and HalioDx,</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depreciation expense resulting from the fair value adjustments to fixed asset for both Decipher Biosciences and HalioDx,</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amortization expense resulting from the acquired intangible assets for both Decipher Biosciences and HalioDx,</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elimination of historical interest expense incurred on debt and debt-like items for both Decipher Biosciences and HalioDx,</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income tax benefits resulting from the deferred tax liabilities acquired related to Decipher Biosciences,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compensation expense recognized in relation to the equity awards granted in connection with both acquisitions.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is for informational purposes only and is not necessarily indicative of the results of operations that would have been achieved as if the acquisitions had taken place as of January 1, 2020 (in thousands):</w:t>
      </w:r>
    </w:p>
    <w:p>
      <w:pPr>
        <w:pStyle w:val="TextBody"/>
        <w:spacing w:before="0" w:after="0"/>
        <w:rPr/>
      </w:pPr>
      <w:r>
        <w:rPr/>
      </w:r>
    </w:p>
    <w:tbl>
      <w:tblPr>
        <w:tblW w:w="3683" w:type="dxa"/>
        <w:jc w:val="center"/>
        <w:tblInd w:w="0" w:type="dxa"/>
        <w:tblCellMar>
          <w:top w:w="28" w:type="dxa"/>
          <w:left w:w="28" w:type="dxa"/>
          <w:bottom w:w="28" w:type="dxa"/>
          <w:right w:w="28" w:type="dxa"/>
        </w:tblCellMar>
      </w:tblPr>
      <w:tblGrid>
        <w:gridCol w:w="418"/>
        <w:gridCol w:w="367"/>
        <w:gridCol w:w="369"/>
        <w:gridCol w:w="196"/>
        <w:gridCol w:w="736"/>
        <w:gridCol w:w="109"/>
        <w:gridCol w:w="109"/>
        <w:gridCol w:w="109"/>
        <w:gridCol w:w="109"/>
        <w:gridCol w:w="196"/>
        <w:gridCol w:w="811"/>
        <w:gridCol w:w="154"/>
      </w:tblGrid>
      <w:tr>
        <w:trPr/>
        <w:tc>
          <w:tcPr>
            <w:tcW w:w="41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1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Members of Veracyte's board of directors, Dr. Tina S. Nova, Ph.D. and Dr. Robert S. Epstein, M.D., M.S., served on the board of directors of Decipher Biosciences prior to the acquisition, with Dr. Nova additionally serving as President and Chief Executive Officer of Decipher Biosciences. Pursuant to Veracyte's related party transactions policy, Dr. Nova and Dr. Epstein recused themselves from all discussions of its board of directors related to the Decipher Acquisition, and the Decipher Acquisition was approved by each of the non-interested members of the board of directors. In connection with the Decipher Acquisition, certain Decipher Biosciences equity awards held by Dr. Nova and Dr. Epstein were fully-accelerated and certain incentive bonus payments were made to Dr. Nova pursuant to a management incentive plan established by the Decipher Biosciences board of directors, resulting in payments of approximately $26.5 million and $1.4 million to each of them,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respectively. Dr. Nova resigned from Veracyte’s board of directors and now serves as Veracyte's President, CLIA US. Dr. Epstein continues to serve on Veracyte’s board of directors.</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 of dollars):</w:t>
      </w:r>
    </w:p>
    <w:p>
      <w:pPr>
        <w:pStyle w:val="TextBody"/>
        <w:spacing w:before="0" w:after="0"/>
        <w:ind w:left="0" w:right="0" w:firstLine="495"/>
        <w:jc w:val="both"/>
        <w:rPr/>
      </w:pPr>
      <w:r>
        <w:rPr/>
      </w:r>
    </w:p>
    <w:tbl>
      <w:tblPr>
        <w:tblW w:w="6234" w:type="dxa"/>
        <w:jc w:val="left"/>
        <w:tblInd w:w="0" w:type="dxa"/>
        <w:tblCellMar>
          <w:top w:w="28" w:type="dxa"/>
          <w:left w:w="28" w:type="dxa"/>
          <w:bottom w:w="28" w:type="dxa"/>
          <w:right w:w="28" w:type="dxa"/>
        </w:tblCellMar>
      </w:tblPr>
      <w:tblGrid>
        <w:gridCol w:w="1468"/>
        <w:gridCol w:w="1288"/>
        <w:gridCol w:w="1294"/>
        <w:gridCol w:w="196"/>
        <w:gridCol w:w="646"/>
        <w:gridCol w:w="109"/>
        <w:gridCol w:w="109"/>
        <w:gridCol w:w="109"/>
        <w:gridCol w:w="109"/>
        <w:gridCol w:w="196"/>
        <w:gridCol w:w="556"/>
        <w:gridCol w:w="154"/>
      </w:tblGrid>
      <w:tr>
        <w:trPr/>
        <w:tc>
          <w:tcPr>
            <w:tcW w:w="146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equipment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including software developed for internal use</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Construction-in-process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at cost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 and amortization</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$3.6 million, $2.8 million and $2.7 million for the years ended December 31, 2021, 2020 and 2019, respectively.</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Finite-live intangible assets consisted of the following (in thousands of dollars):</w:t>
      </w:r>
    </w:p>
    <w:p>
      <w:pPr>
        <w:pStyle w:val="TextBody"/>
        <w:spacing w:before="0" w:after="0"/>
        <w:rPr/>
      </w:pPr>
      <w:r>
        <w:rPr/>
      </w:r>
    </w:p>
    <w:tbl>
      <w:tblPr>
        <w:tblW w:w="10255" w:type="dxa"/>
        <w:jc w:val="center"/>
        <w:tblInd w:w="0" w:type="dxa"/>
        <w:tblCellMar>
          <w:top w:w="28" w:type="dxa"/>
          <w:left w:w="28" w:type="dxa"/>
          <w:bottom w:w="28" w:type="dxa"/>
          <w:right w:w="28" w:type="dxa"/>
        </w:tblCellMar>
      </w:tblPr>
      <w:tblGrid>
        <w:gridCol w:w="446"/>
        <w:gridCol w:w="287"/>
        <w:gridCol w:w="288"/>
        <w:gridCol w:w="196"/>
        <w:gridCol w:w="736"/>
        <w:gridCol w:w="109"/>
        <w:gridCol w:w="109"/>
        <w:gridCol w:w="109"/>
        <w:gridCol w:w="109"/>
        <w:gridCol w:w="219"/>
        <w:gridCol w:w="739"/>
        <w:gridCol w:w="123"/>
        <w:gridCol w:w="109"/>
        <w:gridCol w:w="109"/>
        <w:gridCol w:w="109"/>
        <w:gridCol w:w="196"/>
        <w:gridCol w:w="736"/>
        <w:gridCol w:w="109"/>
        <w:gridCol w:w="109"/>
        <w:gridCol w:w="109"/>
        <w:gridCol w:w="109"/>
        <w:gridCol w:w="196"/>
        <w:gridCol w:w="646"/>
        <w:gridCol w:w="109"/>
        <w:gridCol w:w="109"/>
        <w:gridCol w:w="109"/>
        <w:gridCol w:w="109"/>
        <w:gridCol w:w="219"/>
        <w:gridCol w:w="739"/>
        <w:gridCol w:w="123"/>
        <w:gridCol w:w="109"/>
        <w:gridCol w:w="109"/>
        <w:gridCol w:w="109"/>
        <w:gridCol w:w="196"/>
        <w:gridCol w:w="646"/>
        <w:gridCol w:w="109"/>
        <w:gridCol w:w="109"/>
        <w:gridCol w:w="109"/>
        <w:gridCol w:w="109"/>
        <w:gridCol w:w="329"/>
        <w:gridCol w:w="329"/>
        <w:gridCol w:w="468"/>
      </w:tblGrid>
      <w:tr>
        <w:trPr/>
        <w:tc>
          <w:tcPr>
            <w:tcW w:w="44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Amortization Period (Years)</w:t>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Percepta product technology</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Prosigna product technology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Prosigna customer relationships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nCounter Dx license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(6,511)</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(3,386)</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LymphMark product technology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Decipher product technology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(7,234)</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Decipher trade names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HalioDx developed technology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HalioDx customer relationships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HalioDx customer backlog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finite lived intangibles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In-process 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the finite-lived intangible assets is recognized on a straight-line basis. Amortization of $16.0 million, $5.1 million and $1.4 million was recognized for the years ended December 31, 2021, 2020, and 2019, respectively.</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aggregate amortization expense as of December 31, 2021 is as follows (in thousands of dollars):</w:t>
      </w:r>
    </w:p>
    <w:tbl>
      <w:tblPr>
        <w:tblW w:w="3260" w:type="dxa"/>
        <w:jc w:val="left"/>
        <w:tblInd w:w="0" w:type="dxa"/>
        <w:tblCellMar>
          <w:top w:w="28" w:type="dxa"/>
          <w:left w:w="28" w:type="dxa"/>
          <w:bottom w:w="28" w:type="dxa"/>
          <w:right w:w="28" w:type="dxa"/>
        </w:tblCellMar>
      </w:tblPr>
      <w:tblGrid>
        <w:gridCol w:w="749"/>
        <w:gridCol w:w="658"/>
        <w:gridCol w:w="662"/>
        <w:gridCol w:w="211"/>
        <w:gridCol w:w="826"/>
        <w:gridCol w:w="154"/>
      </w:tblGrid>
      <w:tr>
        <w:trPr/>
        <w:tc>
          <w:tcPr>
            <w:tcW w:w="74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ind w:left="0" w:right="0" w:firstLine="450"/>
        <w:jc w:val="both"/>
        <w:rPr/>
      </w:pPr>
      <w:r>
        <w:rPr/>
      </w:r>
    </w:p>
    <w:p>
      <w:pPr>
        <w:pStyle w:val="TextBody"/>
        <w:spacing w:lineRule="auto" w:line="288" w:before="100" w:after="283"/>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before="0" w:after="0"/>
        <w:ind w:left="0" w:right="0" w:firstLine="13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amounts of goodwill were as follows (in thousands of dollars):</w:t>
      </w:r>
    </w:p>
    <w:p>
      <w:pPr>
        <w:pStyle w:val="TextBody"/>
        <w:spacing w:before="0" w:after="0"/>
        <w:ind w:left="0" w:right="0" w:firstLine="450"/>
        <w:jc w:val="both"/>
        <w:rPr/>
      </w:pPr>
      <w:r>
        <w:rPr/>
      </w:r>
    </w:p>
    <w:tbl>
      <w:tblPr>
        <w:tblW w:w="6171" w:type="dxa"/>
        <w:jc w:val="center"/>
        <w:tblInd w:w="0" w:type="dxa"/>
        <w:tblCellMar>
          <w:top w:w="28" w:type="dxa"/>
          <w:left w:w="28" w:type="dxa"/>
          <w:bottom w:w="28" w:type="dxa"/>
          <w:right w:w="28" w:type="dxa"/>
        </w:tblCellMar>
      </w:tblPr>
      <w:tblGrid>
        <w:gridCol w:w="1840"/>
        <w:gridCol w:w="1620"/>
        <w:gridCol w:w="1625"/>
        <w:gridCol w:w="196"/>
        <w:gridCol w:w="736"/>
        <w:gridCol w:w="154"/>
      </w:tblGrid>
      <w:tr>
        <w:trPr/>
        <w:tc>
          <w:tcPr>
            <w:tcW w:w="1840"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Amounts</w:t>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acquired - Decipher Biosciences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468,266 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acquired - HalioDx</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 on Goodwill acquired - HalioDx</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707,904 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Accrued Liabilities</w:t>
      </w:r>
    </w:p>
    <w:p>
      <w:pPr>
        <w:pStyle w:val="TextBody"/>
        <w:spacing w:before="0" w:after="0"/>
        <w:ind w:left="0" w:right="0" w:firstLine="40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 of dollars):</w:t>
      </w:r>
    </w:p>
    <w:p>
      <w:pPr>
        <w:pStyle w:val="TextBody"/>
        <w:spacing w:before="0" w:after="0"/>
        <w:ind w:left="0" w:right="0" w:firstLine="495"/>
        <w:jc w:val="both"/>
        <w:rPr/>
      </w:pPr>
      <w:r>
        <w:rPr/>
      </w:r>
    </w:p>
    <w:tbl>
      <w:tblPr>
        <w:tblW w:w="5139" w:type="dxa"/>
        <w:jc w:val="left"/>
        <w:tblInd w:w="0" w:type="dxa"/>
        <w:tblCellMar>
          <w:top w:w="28" w:type="dxa"/>
          <w:left w:w="28" w:type="dxa"/>
          <w:bottom w:w="28" w:type="dxa"/>
          <w:right w:w="28" w:type="dxa"/>
        </w:tblCellMar>
      </w:tblPr>
      <w:tblGrid>
        <w:gridCol w:w="973"/>
        <w:gridCol w:w="854"/>
        <w:gridCol w:w="858"/>
        <w:gridCol w:w="211"/>
        <w:gridCol w:w="721"/>
        <w:gridCol w:w="109"/>
        <w:gridCol w:w="109"/>
        <w:gridCol w:w="109"/>
        <w:gridCol w:w="109"/>
        <w:gridCol w:w="211"/>
        <w:gridCol w:w="721"/>
        <w:gridCol w:w="154"/>
      </w:tblGrid>
      <w:tr>
        <w:trPr/>
        <w:tc>
          <w:tcPr>
            <w:tcW w:w="97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firstLine="45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6. Fair Value Measurements </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spacing w:before="0" w:after="0"/>
        <w:ind w:left="0" w:right="0" w:firstLine="495"/>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Level I: Inputs which include quoted prices in active markets for identical assets and liabilities;</w:t>
      </w:r>
    </w:p>
    <w:p>
      <w:pPr>
        <w:pStyle w:val="TextBody"/>
        <w:spacing w:before="0" w:after="0"/>
        <w:ind w:left="0" w:right="0" w:hanging="720"/>
        <w:jc w:val="both"/>
        <w:rPr/>
      </w:pPr>
      <w:r>
        <w:rPr/>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spacing w:before="0" w:after="0"/>
        <w:ind w:left="0" w:right="0" w:hanging="720"/>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Level III: Unobservable inputs that are supported by little or no market activity and that are significant to the fair value of the assets or liabilities.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financial assets includes money market funds, time deposits and deposits for leases of the Company's facilities. Money market funds, included in cash and cash equivalents in the accompanying consolidated balance sheets, was $159.2 million and $346.8 million as of December 31, 2021 and 2020, respectively, and are Level I assets as described above. Included in prepaid expenses and other current assets as of December 31, 2021 were time deposits with a bank valued at amortized cost of $4.0 million, which approximates fair value, and are Level II assets as described above. The deposits for the leases, included in restricted cash, was $749,000 and $603,000 as of December 31, 2021 and 2020, respectively, and are Level I assets as described above. There were no transfers between Levels 1, 2 or 3 for the years ended December 31, 2021, 2020, and 2019.</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consideration in Note 4. Business Combination, associated with the agreement with NanoString on December 3, 2019,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discounted using the Company's estimated borrowing rate. These estimates form the basis for making judgments about the carrying value of the contingent consideration that are not readily apparent from other sources. Changes to the forecasts for the achievement of the milestones, and the estimates of the borrowing rate can significantly affect the estimated fair value of the contingent consideration. As of December 31, 2021 and 2020, this contingency was remeasured to $8.4 million and $7.6 million, respectively. with the corresponding changes included in general and administrative expense. For the years ended December 31, 2021, 2020, and 2019 expenses of $0.8 million, $1.5 million and zero, respectively, were recorded in general and administrative expense for the changes in carrying value. As of December 31, 2021, the achievement of one of the milestones is forecasted to occur within the next 12 months. As a result, $2.7 million of the contingent consideration is included in short term liabilities at December 31, 2021. As of December 31, 2021, the Company calculated the estimated fair value of the milestones using the following significant unobservable inputs:</w:t>
      </w:r>
    </w:p>
    <w:p>
      <w:pPr>
        <w:pStyle w:val="TextBody"/>
        <w:spacing w:before="0" w:after="0"/>
        <w:ind w:left="0" w:right="0" w:firstLine="450"/>
        <w:jc w:val="both"/>
        <w:rPr/>
      </w:pPr>
      <w:r>
        <w:rPr/>
      </w:r>
    </w:p>
    <w:tbl>
      <w:tblPr>
        <w:tblW w:w="4123" w:type="dxa"/>
        <w:jc w:val="left"/>
        <w:tblInd w:w="0" w:type="dxa"/>
        <w:tblCellMar>
          <w:top w:w="28" w:type="dxa"/>
          <w:left w:w="28" w:type="dxa"/>
          <w:bottom w:w="28" w:type="dxa"/>
          <w:right w:w="28" w:type="dxa"/>
        </w:tblCellMar>
      </w:tblPr>
      <w:tblGrid>
        <w:gridCol w:w="841"/>
        <w:gridCol w:w="740"/>
        <w:gridCol w:w="743"/>
        <w:gridCol w:w="526"/>
        <w:gridCol w:w="526"/>
        <w:gridCol w:w="747"/>
      </w:tblGrid>
      <w:tr>
        <w:trPr/>
        <w:tc>
          <w:tcPr>
            <w:tcW w:w="84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Value or Range</w:t>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Unobservable input</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Probability of achievement</w:t>
            </w:r>
          </w:p>
        </w:tc>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 - 100% (94%)</w:t>
            </w:r>
          </w:p>
        </w:tc>
      </w:tr>
    </w:tbl>
    <w:p>
      <w:pPr>
        <w:pStyle w:val="TextBody"/>
        <w:spacing w:before="0" w:after="12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and laboratory facilities in South San Francisco and San Diego, California; Austin, Texas; Marseille, France; and Richmond, Virginia, and leases certain equipment under various non-cancelable lease agreements. The lease terms extend to October 2030 and contain extension of lease term and expansion options. The leases have a weighted average remaining lease term of 4.8 years as of December 31, 2021. The Company had deposits of $749,000 and $603,000 included in long-term assets as of December 31, 2021 and 2020, respectively, restricted from withdrawal and held by banks in the form of collateral for irrevocable standby letters of credit held as security for the leases</w:t>
      </w:r>
    </w:p>
    <w:p>
      <w:pPr>
        <w:pStyle w:val="TextBody"/>
        <w:spacing w:before="0" w:after="0"/>
        <w:ind w:left="0" w:right="0" w:firstLine="495"/>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The Company determined its operating lease liabilities using payments through their current expiration dates and a weighted average discount rate of 6.4% based on the rate that the Company would have to pay to borrow, on a collateralized basis, an amount equal to the lease payments in a similar economic environment. Operating lease liabilities along with the associated right-of-use assets are disclosed in the accompanying consolidated balance sheets. After the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the Company classified its deferred rent for tenant improvements with its operating lease right-of-use assets on the </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balance sheets. In connection with the acquisition of Decipher Biosciences, the Company identified certain off-market rate leases and has estimated an intangible asset of $1.8 million which is included in operating lease assets and will be amortized over the remaining lease term. See Note 4 for more information on the acquisition of Decipher Biosciences.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December 31, 2021 are as follows (in thousands of dollars):</w:t>
      </w:r>
    </w:p>
    <w:p>
      <w:pPr>
        <w:pStyle w:val="TextBody"/>
        <w:spacing w:before="0" w:after="0"/>
        <w:ind w:left="0" w:right="0" w:firstLine="495"/>
        <w:jc w:val="both"/>
        <w:rPr/>
      </w:pPr>
      <w:r>
        <w:rPr/>
      </w:r>
    </w:p>
    <w:tbl>
      <w:tblPr>
        <w:tblW w:w="4296" w:type="dxa"/>
        <w:jc w:val="left"/>
        <w:tblInd w:w="0" w:type="dxa"/>
        <w:tblCellMar>
          <w:top w:w="28" w:type="dxa"/>
          <w:left w:w="28" w:type="dxa"/>
          <w:bottom w:w="28" w:type="dxa"/>
          <w:right w:w="28" w:type="dxa"/>
        </w:tblCellMar>
      </w:tblPr>
      <w:tblGrid>
        <w:gridCol w:w="1162"/>
        <w:gridCol w:w="1021"/>
        <w:gridCol w:w="1027"/>
        <w:gridCol w:w="211"/>
        <w:gridCol w:w="721"/>
        <w:gridCol w:w="154"/>
      </w:tblGrid>
      <w:tr>
        <w:trPr/>
        <w:tc>
          <w:tcPr>
            <w:tcW w:w="116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operating lease expense on a straight-line basis over the non-cancelable lease period. The following table summarizes operating lease expense and cash paid for amounts included in the measurement of lease liabilities (in thousands of dollars): </w:t>
      </w:r>
    </w:p>
    <w:tbl>
      <w:tblPr>
        <w:tblW w:w="8322" w:type="dxa"/>
        <w:jc w:val="left"/>
        <w:tblInd w:w="0" w:type="dxa"/>
        <w:tblCellMar>
          <w:top w:w="28" w:type="dxa"/>
          <w:left w:w="28" w:type="dxa"/>
          <w:bottom w:w="28" w:type="dxa"/>
          <w:right w:w="28" w:type="dxa"/>
        </w:tblCellMar>
      </w:tblPr>
      <w:tblGrid>
        <w:gridCol w:w="1824"/>
        <w:gridCol w:w="1604"/>
        <w:gridCol w:w="1612"/>
        <w:gridCol w:w="196"/>
        <w:gridCol w:w="556"/>
        <w:gridCol w:w="109"/>
        <w:gridCol w:w="109"/>
        <w:gridCol w:w="109"/>
        <w:gridCol w:w="109"/>
        <w:gridCol w:w="196"/>
        <w:gridCol w:w="556"/>
        <w:gridCol w:w="109"/>
        <w:gridCol w:w="109"/>
        <w:gridCol w:w="109"/>
        <w:gridCol w:w="109"/>
        <w:gridCol w:w="196"/>
        <w:gridCol w:w="556"/>
        <w:gridCol w:w="154"/>
      </w:tblGrid>
      <w:tr>
        <w:trPr/>
        <w:tc>
          <w:tcPr>
            <w:tcW w:w="1824"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leased laboratory equipment under various financing leases. The total right-of-use assets and total financing lease liabilities for these financing leases were $0.7 million and $0.6 million, respectively, as of December 31, 2021, and are included in property and equipment, net and other liabilities in the accompanying consolidated balance sheets.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Company’s wholly owned foreign subsidiary has signed a lease agreement for facilities which will be constructed in Marseille, France. The lease will commence upon completion of the construction of the office building which the Company currently expects to occur in the fourth quarter of 2023 at which time the Company will record a lease liability and a corresponding ROU asset. The initial term of the lease will be twelve years with annual rent of approximately $1.4 million, which is subject to change based on final construction.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Supplies Purchase Commitments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non-cancelable purchase commitments with suppliers to purchase a minimum quantity of supplies for approximately $16.1 million at December 31, 2021.</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 </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Loan and Security Agreement</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2017, the Company entered into a loan and security agreement (the “Loan and Security Agreement”) with Silicon Valley Bank. The Loan and Security Agreement allows the Company to borrow up to $35.0 million, with a $25.0 million advance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December 31, 2021.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prepay the outstanding principal amount under the Term Loan Advance plus accrued and unpaid interest and, if the Term Loan Advance is repaid in full, a prepayment premium of $250,000. In 2019 and 2020, the Company prepaid $24.9 million and $0.1 million, respectively, of the principal amount of the Term Loan Advance. These prepayments did not trigger any prepayment premium because they were partial, not full, repayments of the principal amount. If the Loan and Security Agreement is terminated before maturity, then a termination fee equal to 1% of the Revolving Line of Credit, or $0.1 million, will be due.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final payment on the Term Loan Advance in the amount of $1.2 million is due upon the earlier of the maturity date of the Term Loan Advance or its payment in full. The Loan and Security Agreement contains customary representations, warranties, and events of default, as well as affirmative and negative covenants. As of December 31, 2021, the Company was in compliance with the loan covenants. The Company’s obligations under the Loan and Security Agreement are secured by substantially all of its assets (excluding intellectual property), subject to certain customary exceptions.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net debt obligation for borrowings made under the Loan and Security Agreement was as follows (in thousands of dollars):</w:t>
      </w:r>
    </w:p>
    <w:p>
      <w:pPr>
        <w:pStyle w:val="TextBody"/>
        <w:spacing w:before="0" w:after="0"/>
        <w:jc w:val="both"/>
        <w:rPr/>
      </w:pPr>
      <w:r>
        <w:rPr/>
      </w:r>
    </w:p>
    <w:tbl>
      <w:tblPr>
        <w:tblW w:w="4494" w:type="dxa"/>
        <w:jc w:val="center"/>
        <w:tblInd w:w="0" w:type="dxa"/>
        <w:tblCellMar>
          <w:top w:w="28" w:type="dxa"/>
          <w:left w:w="28" w:type="dxa"/>
          <w:bottom w:w="28" w:type="dxa"/>
          <w:right w:w="28" w:type="dxa"/>
        </w:tblCellMar>
      </w:tblPr>
      <w:tblGrid>
        <w:gridCol w:w="869"/>
        <w:gridCol w:w="763"/>
        <w:gridCol w:w="768"/>
        <w:gridCol w:w="211"/>
        <w:gridCol w:w="616"/>
        <w:gridCol w:w="109"/>
        <w:gridCol w:w="109"/>
        <w:gridCol w:w="109"/>
        <w:gridCol w:w="109"/>
        <w:gridCol w:w="211"/>
        <w:gridCol w:w="466"/>
        <w:gridCol w:w="154"/>
      </w:tblGrid>
      <w:tr>
        <w:trPr/>
        <w:tc>
          <w:tcPr>
            <w:tcW w:w="86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End-of-term debt obligation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obligation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principal balance outstanding was one dollar. Future principal and end-of-term debt obligation payments due under the Loan and Security Agreement total $1.2 million and are due in 2022. As of December 31, 2021 and 2020, the accrued interest payable under the Loan and Security Agreement was immaterial.</w:t>
      </w:r>
    </w:p>
    <w:p>
      <w:pPr>
        <w:pStyle w:val="TextBody"/>
        <w:spacing w:lineRule="auto" w:line="288" w:before="0" w:after="0"/>
        <w:ind w:left="0" w:right="0" w:firstLine="450"/>
        <w:jc w:val="both"/>
        <w:rPr>
          <w:color w:val="000000"/>
        </w:rPr>
      </w:pPr>
      <w:r>
        <w:rPr>
          <w:color w:val="000000"/>
        </w:rPr>
        <w:t>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end-of-term debt obligation accretes over the term of the Loan and Security Agreement until maturity and is included in interest expense in the Company's consolidated statements of operations.</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Stockholders'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2021.</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 had reserved shares of common stock for issuance as follows:</w:t>
      </w:r>
    </w:p>
    <w:p>
      <w:pPr>
        <w:pStyle w:val="TextBody"/>
        <w:spacing w:before="0" w:after="0"/>
        <w:ind w:left="0" w:right="0" w:firstLine="495"/>
        <w:jc w:val="both"/>
        <w:rPr/>
      </w:pPr>
      <w:r>
        <w:rPr/>
      </w:r>
    </w:p>
    <w:tbl>
      <w:tblPr>
        <w:tblW w:w="9688" w:type="dxa"/>
        <w:jc w:val="left"/>
        <w:tblInd w:w="0" w:type="dxa"/>
        <w:tblCellMar>
          <w:top w:w="28" w:type="dxa"/>
          <w:left w:w="28" w:type="dxa"/>
          <w:bottom w:w="28" w:type="dxa"/>
          <w:right w:w="28" w:type="dxa"/>
        </w:tblCellMar>
      </w:tblPr>
      <w:tblGrid>
        <w:gridCol w:w="2499"/>
        <w:gridCol w:w="2197"/>
        <w:gridCol w:w="2204"/>
        <w:gridCol w:w="540"/>
        <w:gridCol w:w="541"/>
        <w:gridCol w:w="156"/>
        <w:gridCol w:w="120"/>
        <w:gridCol w:w="120"/>
        <w:gridCol w:w="120"/>
        <w:gridCol w:w="488"/>
        <w:gridCol w:w="488"/>
        <w:gridCol w:w="215"/>
      </w:tblGrid>
      <w:tr>
        <w:trPr/>
        <w:tc>
          <w:tcPr>
            <w:tcW w:w="2499"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4,892,164 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4,867,303 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 available for grant under stock option plans</w:t>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4,418,364 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3,061,589 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available for the Employee Stock Purchase Plan</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1,490,130 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1,571,395 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10,800,658 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9,500,287 </w:t>
            </w:r>
          </w:p>
        </w:tc>
        <w:tc>
          <w:tcPr>
            <w:tcW w:w="21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Stock Incentive Plans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2008, the Company adopted the 2008 Stock Plan (the "2008 Plan"). The 2008 Plan provides for the granting of options to purchase common stock and common stock to employees, directors and consultants of the Company. The Company may grant incentive stock options, or ISOs, non-statutory stock options, or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2013, the Company adopted the 2013 Stock Incentive Plan (the "2013 Plan"). The 2013 Plan was subsequently approved by the Company's stockholders and became effective on November 4, 2013, immediately before the closing of the Company's initial public offering, or IPO. Following the effectiveness of the 2013 Plan, no additional options were granted under the 2008 Plan. An aggregate of 1,700,000 shares were initially reserved for issuance under the 2013 Plan. In addition, to the extent that any awards outstanding or subject to vesting restrictions under the 2008 Plan are subsequently forfeited or terminated for any reason before being exercised or settled, the shares of common stock reserved for issuance pursuant to such awards as of the closing of the IPO will become available for issuance under the 2013 Plan. The remaining shares available for grant under the 2008 Plan became available for issuance under the 2013 Plan upon the closing of the IPO. On the first day of each year from 2014 to 2023, the 2013 Plan authorizes an annual increase of the lesser of 4% of outstanding shares on the last day of the immediately preceding fiscal year or a lesser amount as determined by the Company's Board of Directors. As of December 31, 2021, 4,418,364 shares were available for future issuance under the 2013 Plan.</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2013 Plan, stock options, restricted shares, stock units, including RSUs and stock appreciation rights may be granted to employees, consultants, and outside directors of the Company. Options granted may be either ISOs or NSOs.</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Stock units are governed by stock unit agreements between the Company and recipients of stock units. Stock units may be granted under the 2013 Plan and the number of stock units awarded are determined by the Compensation Committee of the Board of Directors. Stock units vest and expire as determined by the Compensation Committee. Stock unit agreements may provide for accelerated vesting in the event of a stock unit holder's death, disability, or retirement or other events.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2021, any outside director who was not previously an employee and who first joins the Company's Board of Directors on or after the effective date of the 2013 Plan will be automatically granted RSUs valued on the grant date at $600,000. The RSUs will vest as to one-third of those shares on each of the first, second and third annual anniversaries of the date of grant. On the first business day after each annual meeting of stockholders, each non-employee director who continues to serve on our board of directors and who has served as a director for at least six months will be automatically granted RSUs valued on the grant date at $300,000. The RSUs will vest in full on the first anniversary of the date of grant or, if earlier, the date of the next annual meeting of stockholders. In 2020 and prior years, any outside director who was not previously an employee and who first joined the Company's Board of Directors on or after the effective date of the 2013 Plan was automatically granted an initial NSO to purchase 35,000 shares of common stock upon first becoming a member of the Board of Directors. The shares subject to the initial option will vest and become exercisable one-third each of the first, second and third annual anniversaries of the date of grant. On the first business day after each regularly scheduled annual meeting of stockholders, each outside director who was not elected to the Board of Directors for the first time at such meeting and who will continue serving as a member of the Board of Directors thereafter was automatically granted an option to purchase 10,000 shares of common stock, provided that the outside director had served on the Board of Directors for at least six months. Each annual option vested and became exercisable on the first anniversary of the date of grant, or immediately prior to the next regular annual meeting of the Company's stockholders following the date of grant if the meeting occurred prior to the first anniversary date. The options granted to outside directors have a per share exercise price equal to 100% of the fair market value of the underlying shares on the date of grant. These RSUs and options will become fully vested in the event of a change in control. In addition, such options will terminate on the earlier of (i) the day before the 10th anniversary of the date of grant or (ii) the date 12 months after the termination of the outside director's service for any reason.</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under the Company's stock incentive plans (aggregate intrinsic value in thousands):</w:t>
      </w:r>
    </w:p>
    <w:tbl>
      <w:tblPr>
        <w:tblW w:w="10205" w:type="dxa"/>
        <w:jc w:val="left"/>
        <w:tblInd w:w="0" w:type="dxa"/>
        <w:tblCellMar>
          <w:top w:w="28" w:type="dxa"/>
          <w:left w:w="28" w:type="dxa"/>
          <w:bottom w:w="28" w:type="dxa"/>
          <w:right w:w="28" w:type="dxa"/>
        </w:tblCellMar>
      </w:tblPr>
      <w:tblGrid>
        <w:gridCol w:w="723"/>
        <w:gridCol w:w="637"/>
        <w:gridCol w:w="639"/>
        <w:gridCol w:w="450"/>
        <w:gridCol w:w="452"/>
        <w:gridCol w:w="268"/>
        <w:gridCol w:w="109"/>
        <w:gridCol w:w="109"/>
        <w:gridCol w:w="109"/>
        <w:gridCol w:w="657"/>
        <w:gridCol w:w="514"/>
        <w:gridCol w:w="515"/>
        <w:gridCol w:w="109"/>
        <w:gridCol w:w="109"/>
        <w:gridCol w:w="109"/>
        <w:gridCol w:w="294"/>
        <w:gridCol w:w="836"/>
        <w:gridCol w:w="164"/>
        <w:gridCol w:w="109"/>
        <w:gridCol w:w="109"/>
        <w:gridCol w:w="109"/>
        <w:gridCol w:w="480"/>
        <w:gridCol w:w="480"/>
        <w:gridCol w:w="482"/>
        <w:gridCol w:w="109"/>
        <w:gridCol w:w="109"/>
        <w:gridCol w:w="109"/>
        <w:gridCol w:w="234"/>
        <w:gridCol w:w="879"/>
        <w:gridCol w:w="193"/>
      </w:tblGrid>
      <w:tr>
        <w:trPr/>
        <w:tc>
          <w:tcPr>
            <w:tcW w:w="723"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Available</w:t>
              <w:br/>
              <w:t>for Grant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br/>
              <w:t>Outstanding and Unvested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 of 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w:t>
              <w:br/>
              <w:t>Contractual Life of Stock Options</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of Stock Options</w:t>
            </w:r>
          </w:p>
        </w:tc>
      </w:tr>
      <w:tr>
        <w:trPr/>
        <w:tc>
          <w:tcPr>
            <w:tcW w:w="1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Balance—December 31, 2020</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3,061,589 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4,867,303 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135,879 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shares authorized</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2,328,021 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 stock options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(677,851)</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677,851 </w:t>
            </w:r>
          </w:p>
        </w:tc>
        <w:tc>
          <w:tcPr>
            <w:tcW w:w="5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 restricted stock units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(1,168,896)</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1,168,896 </w:t>
            </w:r>
          </w:p>
        </w:tc>
        <w:tc>
          <w:tcPr>
            <w:tcW w:w="5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713,175 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(713,175)</w:t>
            </w:r>
          </w:p>
        </w:tc>
        <w:tc>
          <w:tcPr>
            <w:tcW w:w="5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(712,588)</w:t>
            </w:r>
          </w:p>
        </w:tc>
        <w:tc>
          <w:tcPr>
            <w:tcW w:w="5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vested</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(396,123)</w:t>
            </w:r>
          </w:p>
        </w:tc>
        <w:tc>
          <w:tcPr>
            <w:tcW w:w="5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portion of restricted stock units vested</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162,326 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Balance—December 31, 2021</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4,418,364 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4,892,164 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78,914 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vested and exercisable—December 31, 2021</w:t>
            </w:r>
          </w:p>
        </w:tc>
        <w:tc>
          <w:tcPr>
            <w:tcW w:w="1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2,391,848 </w:t>
            </w:r>
          </w:p>
        </w:tc>
        <w:tc>
          <w:tcPr>
            <w:tcW w:w="5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68,246 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vested and expected to vest—December 31, 2021</w:t>
            </w:r>
          </w:p>
        </w:tc>
        <w:tc>
          <w:tcPr>
            <w:tcW w:w="1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3,379,118 </w:t>
            </w:r>
          </w:p>
        </w:tc>
        <w:tc>
          <w:tcPr>
            <w:tcW w:w="5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77,946 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was calculated as the difference between the exercise price of the options to purchase common stock and the fair market value of the Company's common stock, which was $41.20 and $48.94 per share as of December 31, 2021 and 2020, respectively.</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options to purchase common stock granted was $23.45, $12.97 and $11.07 for the years ended December 31, 2021, 2020 and 2019, respectively.</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grant date fair value of employee options to purchase common stock vested during the years ended December 31, 2021, 2020 and 2019 was $7.8 million, $7.3 million and $4.4 million, respectively.</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stock options exercised was $24.0 million, $32.9 million and $31.3 million for the years ended December 31, 2021, 2020 and 2019, respectively.</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RSUs granted was $46.41 and $27.09 for the years ended December 31, 2021, and 2020, respectively. The intrinsic value of RSUs vested was $21.7 million and $10.3 million for the years ended December 31, 2021 and 2020, respectively.</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RSUs granted for 2021 are PSUs with a grant date fair value of $3.8 million. These PSUs vest based on the achievement of certain performance conditions, subject to the employees’ continued service with the Company. The service period for the PSUs begins in 2022 and as such the expense related to the PSUs will begin in 2022 and will be based on the Company's assessment of the probability of the achievement of the performance condition.</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May 2015, the Company's stockholders approved the Company's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will be specified pursuant to the offering, but cannot, under the terms of the ESPP, be less than 85% of the fair market value per share of the Company's common stock on either the offering date or on the purchase date, whichever is less.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determined that the purchase periods initially shall have a duration of six months, that the first purchase period began on August 3, 2015, and that the purchase price will be 85% of the fair market value per share of the Company's common stock on either the offering date or the purchase date, whichever is less. The length of the purchase period applicable to U.S. employees and the purchase price may not be changed without the approval of the independent members of the Compensation Committee of the Company's Board of Directors. The Compensation Committee has determined that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employee is permitted to accrue, under the ESPP, a right to purchase stock of the Company having a value in excess of $25,000 of the fair market value of such stock (determined at the time the right is granted) for each calendar year. As of December 31, 2021, 1,490,130 shares of common stock were reserved for issuance under the ESPP.</w:t>
      </w:r>
    </w:p>
    <w:p>
      <w:pPr>
        <w:pStyle w:val="TextBody"/>
        <w:spacing w:lineRule="auto" w:line="288"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related to stock options, RSUs and the ESPP for the years ended December 31, 2021, 2020 and 2019, and are included in the consolidated statements of operations as follows (in thousands of dollars):</w:t>
      </w:r>
    </w:p>
    <w:p>
      <w:pPr>
        <w:pStyle w:val="TextBody"/>
        <w:spacing w:before="0" w:after="0"/>
        <w:ind w:left="0" w:right="0" w:firstLine="495"/>
        <w:jc w:val="both"/>
        <w:rPr/>
      </w:pPr>
      <w:r>
        <w:rPr/>
      </w:r>
    </w:p>
    <w:tbl>
      <w:tblPr>
        <w:tblW w:w="7166" w:type="dxa"/>
        <w:jc w:val="left"/>
        <w:tblInd w:w="0" w:type="dxa"/>
        <w:tblCellMar>
          <w:top w:w="28" w:type="dxa"/>
          <w:left w:w="28" w:type="dxa"/>
          <w:bottom w:w="28" w:type="dxa"/>
          <w:right w:w="28" w:type="dxa"/>
        </w:tblCellMar>
      </w:tblPr>
      <w:tblGrid>
        <w:gridCol w:w="1247"/>
        <w:gridCol w:w="1098"/>
        <w:gridCol w:w="1104"/>
        <w:gridCol w:w="211"/>
        <w:gridCol w:w="721"/>
        <w:gridCol w:w="109"/>
        <w:gridCol w:w="109"/>
        <w:gridCol w:w="109"/>
        <w:gridCol w:w="109"/>
        <w:gridCol w:w="211"/>
        <w:gridCol w:w="721"/>
        <w:gridCol w:w="109"/>
        <w:gridCol w:w="109"/>
        <w:gridCol w:w="109"/>
        <w:gridCol w:w="109"/>
        <w:gridCol w:w="211"/>
        <w:gridCol w:w="61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testing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$52.1 million of unrecognized compensation expense related to unvested stock options and RSUs, which is expected to be recognized over an estimated weighted-average period of 2.5 years.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grant-date fair value of stock options was calculated using the Black-Scholes option-pricing model, based on the following assumptions.</w:t>
      </w:r>
    </w:p>
    <w:p>
      <w:pPr>
        <w:pStyle w:val="TextBody"/>
        <w:spacing w:lineRule="auto" w:line="252" w:before="60" w:after="283"/>
        <w:ind w:left="0" w:right="0" w:hanging="225"/>
        <w:jc w:val="both"/>
        <w:rPr/>
      </w:pPr>
      <w:r>
        <w:rPr>
          <w:color w:val="000000"/>
        </w:rPr>
        <w:t>•</w:t>
      </w:r>
      <w:r>
        <w:rPr>
          <w:rFonts w:ascii="Times New Roman;sans-serif" w:hAnsi="Times New Roman;sans-serif"/>
          <w:b w:val="false"/>
          <w:i/>
          <w:color w:val="000000"/>
          <w:sz w:val="20"/>
        </w:rPr>
        <w:t>Expected Term</w:t>
      </w:r>
      <w:r>
        <w:rPr>
          <w:rFonts w:ascii="Times New Roman;sans-serif" w:hAnsi="Times New Roman;sans-serif"/>
          <w:b w:val="false"/>
          <w:color w:val="000000"/>
          <w:sz w:val="20"/>
        </w:rPr>
        <w:t>: The expected term represents the period that the options granted are expected to be outstanding. During 2021 and 2020 it was determined using the Company's historical data and during prior years it was determined using the simplified method (based on the mid-point between the vesting date and the end of the contractual term).</w:t>
      </w:r>
    </w:p>
    <w:p>
      <w:pPr>
        <w:pStyle w:val="TextBody"/>
        <w:spacing w:lineRule="auto" w:line="252" w:before="60" w:after="283"/>
        <w:ind w:left="0" w:right="0" w:hanging="225"/>
        <w:jc w:val="both"/>
        <w:rPr/>
      </w:pPr>
      <w:r>
        <w:rPr>
          <w:color w:val="000000"/>
        </w:rPr>
        <w:t>•</w:t>
      </w:r>
      <w:r>
        <w:rPr>
          <w:rFonts w:ascii="Times New Roman;sans-serif" w:hAnsi="Times New Roman;sans-serif"/>
          <w:b w:val="false"/>
          <w:i/>
          <w:color w:val="000000"/>
          <w:sz w:val="20"/>
        </w:rPr>
        <w:t>Expected Volatility</w:t>
      </w:r>
      <w:r>
        <w:rPr>
          <w:rFonts w:ascii="Times New Roman;sans-serif" w:hAnsi="Times New Roman;sans-serif"/>
          <w:b w:val="false"/>
          <w:color w:val="000000"/>
          <w:sz w:val="20"/>
        </w:rPr>
        <w:t>: During 2021 and 2020, the Company used the historical volatility of its common stock. For prior years, the Company used an average historical stock price volatility of comparable public companies as the Company did not have sufficient trading history for its common stock.</w:t>
      </w:r>
    </w:p>
    <w:p>
      <w:pPr>
        <w:pStyle w:val="TextBody"/>
        <w:spacing w:lineRule="auto" w:line="252" w:before="60" w:after="283"/>
        <w:ind w:left="0" w:right="0" w:hanging="225"/>
        <w:jc w:val="both"/>
        <w:rPr/>
      </w:pPr>
      <w:r>
        <w:rPr>
          <w:color w:val="000000"/>
        </w:rPr>
        <w:t>•</w:t>
      </w:r>
      <w:r>
        <w:rPr>
          <w:rFonts w:ascii="Times New Roman;sans-serif" w:hAnsi="Times New Roman;sans-serif"/>
          <w:b w:val="false"/>
          <w:i/>
          <w:color w:val="000000"/>
          <w:sz w:val="20"/>
        </w:rPr>
        <w:t>Risk-Free Interest Rate</w:t>
      </w:r>
      <w:r>
        <w:rPr>
          <w:rFonts w:ascii="Times New Roman;sans-serif" w:hAnsi="Times New Roman;sans-serif"/>
          <w:b w:val="false"/>
          <w:color w:val="000000"/>
          <w:sz w:val="20"/>
        </w:rPr>
        <w:t>: The Company based the risk-free interest rate over the expected term of the options based on the constant maturity rate of U.S. Treasury securities with similar maturities as of the date of the grant.</w:t>
      </w:r>
    </w:p>
    <w:p>
      <w:pPr>
        <w:pStyle w:val="TextBody"/>
        <w:spacing w:lineRule="auto" w:line="252" w:before="60" w:after="283"/>
        <w:ind w:left="0" w:right="0" w:hanging="225"/>
        <w:jc w:val="both"/>
        <w:rPr/>
      </w:pPr>
      <w:r>
        <w:rPr>
          <w:color w:val="000000"/>
        </w:rPr>
        <w:t>•</w:t>
      </w:r>
      <w:r>
        <w:rPr>
          <w:rFonts w:ascii="Times New Roman;sans-serif" w:hAnsi="Times New Roman;sans-serif"/>
          <w:b w:val="false"/>
          <w:i/>
          <w:color w:val="000000"/>
          <w:sz w:val="20"/>
        </w:rPr>
        <w:t>Expected Dividend Yield</w:t>
      </w:r>
      <w:r>
        <w:rPr>
          <w:rFonts w:ascii="Times New Roman;sans-serif" w:hAnsi="Times New Roman;sans-serif"/>
          <w:b w:val="false"/>
          <w:color w:val="000000"/>
          <w:sz w:val="20"/>
        </w:rPr>
        <w:t>: The Company has not paid and does not anticipate paying any dividends in the near future. Therefore, the expected dividend yield was zero.</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grant-date fair value of employee stock options using the Black-Scholes option-pricing model was based on the following assumptions:</w:t>
      </w:r>
    </w:p>
    <w:tbl>
      <w:tblPr>
        <w:tblW w:w="8259" w:type="dxa"/>
        <w:jc w:val="left"/>
        <w:tblInd w:w="0" w:type="dxa"/>
        <w:tblCellMar>
          <w:top w:w="28" w:type="dxa"/>
          <w:left w:w="28" w:type="dxa"/>
          <w:bottom w:w="28" w:type="dxa"/>
          <w:right w:w="28" w:type="dxa"/>
        </w:tblCellMar>
      </w:tblPr>
      <w:tblGrid>
        <w:gridCol w:w="1223"/>
        <w:gridCol w:w="1074"/>
        <w:gridCol w:w="1078"/>
        <w:gridCol w:w="447"/>
        <w:gridCol w:w="447"/>
        <w:gridCol w:w="455"/>
        <w:gridCol w:w="132"/>
        <w:gridCol w:w="132"/>
        <w:gridCol w:w="132"/>
        <w:gridCol w:w="447"/>
        <w:gridCol w:w="447"/>
        <w:gridCol w:w="455"/>
        <w:gridCol w:w="132"/>
        <w:gridCol w:w="132"/>
        <w:gridCol w:w="132"/>
        <w:gridCol w:w="406"/>
        <w:gridCol w:w="406"/>
        <w:gridCol w:w="582"/>
      </w:tblGrid>
      <w:tr>
        <w:trPr/>
        <w:tc>
          <w:tcPr>
            <w:tcW w:w="1223"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8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volatility</w:t>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56.83 - 60.48%</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54.40 - 58.20%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52.90 - 53.40%</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expected term (years)</w:t>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5.05 - 5.25</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5.24 - 5.42</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5.50 - 6.08</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0.40 - 1.21%</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0.24 - 0.92%</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1.90 - 2.60%</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grant date fair value of the ESPP shares was calculated using the Black-Scholes option-pricing model, based on the following assumptions:</w:t>
      </w:r>
    </w:p>
    <w:p>
      <w:pPr>
        <w:pStyle w:val="TextBody"/>
        <w:spacing w:before="0" w:after="0"/>
        <w:ind w:left="0" w:right="0" w:firstLine="495"/>
        <w:jc w:val="both"/>
        <w:rPr/>
      </w:pPr>
      <w:r>
        <w:rPr/>
      </w:r>
    </w:p>
    <w:tbl>
      <w:tblPr>
        <w:tblW w:w="8259" w:type="dxa"/>
        <w:jc w:val="left"/>
        <w:tblInd w:w="0" w:type="dxa"/>
        <w:tblCellMar>
          <w:top w:w="28" w:type="dxa"/>
          <w:left w:w="28" w:type="dxa"/>
          <w:bottom w:w="28" w:type="dxa"/>
          <w:right w:w="28" w:type="dxa"/>
        </w:tblCellMar>
      </w:tblPr>
      <w:tblGrid>
        <w:gridCol w:w="1223"/>
        <w:gridCol w:w="1074"/>
        <w:gridCol w:w="1078"/>
        <w:gridCol w:w="447"/>
        <w:gridCol w:w="447"/>
        <w:gridCol w:w="455"/>
        <w:gridCol w:w="132"/>
        <w:gridCol w:w="132"/>
        <w:gridCol w:w="132"/>
        <w:gridCol w:w="447"/>
        <w:gridCol w:w="447"/>
        <w:gridCol w:w="455"/>
        <w:gridCol w:w="132"/>
        <w:gridCol w:w="132"/>
        <w:gridCol w:w="132"/>
        <w:gridCol w:w="406"/>
        <w:gridCol w:w="406"/>
        <w:gridCol w:w="582"/>
      </w:tblGrid>
      <w:tr>
        <w:trPr/>
        <w:tc>
          <w:tcPr>
            <w:tcW w:w="1223"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volatility</w:t>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62.03 - 80.70%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54.16 - 85.01%</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53.38 - 71.77%</w:t>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expected term (years)</w:t>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0.50 - 1.00</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0.50 - 1.00</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0.50 - 1.00</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0.06 - 0.08%</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0.11 - 1.56%</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1.88 - 2.56%</w:t>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generated a pre-tax loss of $81.6 million, $34.9 million and $12.6 million in the United States for the years ended December 31, 2021, 2020 and 2019, respectively. Starting in 2020, the Company began generating pre-tax loss outside the United States. Pre-tax loss has been recorded in the following jurisdictions for the years ended December 31, 2021, 2020 and 2019 (in thousands of dollars):</w:t>
      </w:r>
    </w:p>
    <w:p>
      <w:pPr>
        <w:pStyle w:val="TextBody"/>
        <w:spacing w:before="0" w:after="0"/>
        <w:ind w:left="0" w:right="0" w:firstLine="495"/>
        <w:jc w:val="both"/>
        <w:rPr/>
      </w:pPr>
      <w:r>
        <w:rPr/>
      </w:r>
    </w:p>
    <w:tbl>
      <w:tblPr>
        <w:tblW w:w="5246" w:type="dxa"/>
        <w:jc w:val="left"/>
        <w:tblInd w:w="0" w:type="dxa"/>
        <w:tblCellMar>
          <w:top w:w="28" w:type="dxa"/>
          <w:left w:w="28" w:type="dxa"/>
          <w:bottom w:w="28" w:type="dxa"/>
          <w:right w:w="28" w:type="dxa"/>
        </w:tblCellMar>
      </w:tblPr>
      <w:tblGrid>
        <w:gridCol w:w="435"/>
        <w:gridCol w:w="381"/>
        <w:gridCol w:w="383"/>
        <w:gridCol w:w="211"/>
        <w:gridCol w:w="796"/>
        <w:gridCol w:w="109"/>
        <w:gridCol w:w="109"/>
        <w:gridCol w:w="109"/>
        <w:gridCol w:w="109"/>
        <w:gridCol w:w="211"/>
        <w:gridCol w:w="796"/>
        <w:gridCol w:w="109"/>
        <w:gridCol w:w="109"/>
        <w:gridCol w:w="109"/>
        <w:gridCol w:w="109"/>
        <w:gridCol w:w="211"/>
        <w:gridCol w:w="79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an income tax benefit in 2021 of $6.1 million primarily due to the release of certain valuation allowances on the Company's deferred tax assets upon recording of the deferred tax liabilities upon acquisition of Decipher Biosciences and a provision benefit recorded on the current year loss of HalioDx French entity that has no valuation allowance.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no provision for income taxes during the years ended December 31, 2020 and 2019. The components of the benefit for income taxes are as follows for the years ended December 31, 2021, 2020 and 2019 (in thousands of dollars):</w:t>
      </w:r>
    </w:p>
    <w:p>
      <w:pPr>
        <w:pStyle w:val="TextBody"/>
        <w:spacing w:before="0" w:after="0"/>
        <w:ind w:left="0" w:right="0" w:firstLine="495"/>
        <w:jc w:val="both"/>
        <w:rPr/>
      </w:pPr>
      <w:r>
        <w:rPr/>
      </w:r>
    </w:p>
    <w:tbl>
      <w:tblPr>
        <w:tblW w:w="5277" w:type="dxa"/>
        <w:jc w:val="left"/>
        <w:tblInd w:w="0" w:type="dxa"/>
        <w:tblCellMar>
          <w:top w:w="28" w:type="dxa"/>
          <w:left w:w="28" w:type="dxa"/>
          <w:bottom w:w="28" w:type="dxa"/>
          <w:right w:w="28" w:type="dxa"/>
        </w:tblCellMar>
      </w:tblPr>
      <w:tblGrid>
        <w:gridCol w:w="763"/>
        <w:gridCol w:w="672"/>
        <w:gridCol w:w="680"/>
        <w:gridCol w:w="211"/>
        <w:gridCol w:w="691"/>
        <w:gridCol w:w="109"/>
        <w:gridCol w:w="109"/>
        <w:gridCol w:w="109"/>
        <w:gridCol w:w="109"/>
        <w:gridCol w:w="211"/>
        <w:gridCol w:w="406"/>
        <w:gridCol w:w="109"/>
        <w:gridCol w:w="109"/>
        <w:gridCol w:w="109"/>
        <w:gridCol w:w="109"/>
        <w:gridCol w:w="211"/>
        <w:gridCol w:w="406"/>
        <w:gridCol w:w="154"/>
      </w:tblGrid>
      <w:tr>
        <w:trPr/>
        <w:tc>
          <w:tcPr>
            <w:tcW w:w="763"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0" w:after="0"/>
        <w:ind w:left="0" w:right="0" w:firstLine="495"/>
        <w:jc w:val="both"/>
        <w:rPr/>
      </w:pPr>
      <w:r>
        <w:rPr>
          <w:rFonts w:ascii="Times New Roman;sans-serif" w:hAnsi="Times New Roman;sans-serif"/>
          <w:b w:val="false"/>
          <w:color w:val="000000"/>
          <w:sz w:val="20"/>
        </w:rPr>
        <w:t xml:space="preserve">The Company follows FASB ASC No. 740, </w:t>
      </w:r>
      <w:r>
        <w:rPr>
          <w:rFonts w:ascii="Times New Roman;sans-serif" w:hAnsi="Times New Roman;sans-serif"/>
          <w:b w:val="false"/>
          <w:i/>
          <w:color w:val="000000"/>
          <w:sz w:val="20"/>
        </w:rPr>
        <w:t>Income Taxes for the Computation and Presentation of its Tax Provision.</w:t>
      </w:r>
      <w:r>
        <w:rPr>
          <w:color w:val="000000"/>
        </w:rPr>
        <w:t xml:space="preserve"> </w:t>
      </w:r>
      <w:r>
        <w:rPr>
          <w:rFonts w:ascii="Times New Roman;sans-serif" w:hAnsi="Times New Roman;sans-serif"/>
          <w:b w:val="false"/>
          <w:color w:val="000000"/>
          <w:sz w:val="20"/>
        </w:rPr>
        <w:t>The following table presents a reconciliation of the income tax expense computed at the statutory federal rate and the Company's income tax expense for the periods presented (in thousands of dollars):</w:t>
      </w:r>
    </w:p>
    <w:p>
      <w:pPr>
        <w:pStyle w:val="TextBody"/>
        <w:spacing w:before="0" w:after="0"/>
        <w:ind w:left="0" w:right="0" w:firstLine="495"/>
        <w:jc w:val="both"/>
        <w:rPr/>
      </w:pPr>
      <w:r>
        <w:rPr/>
      </w:r>
    </w:p>
    <w:tbl>
      <w:tblPr>
        <w:tblW w:w="7406" w:type="dxa"/>
        <w:jc w:val="left"/>
        <w:tblInd w:w="0" w:type="dxa"/>
        <w:tblCellMar>
          <w:top w:w="28" w:type="dxa"/>
          <w:left w:w="28" w:type="dxa"/>
          <w:bottom w:w="28" w:type="dxa"/>
          <w:right w:w="28" w:type="dxa"/>
        </w:tblCellMar>
      </w:tblPr>
      <w:tblGrid>
        <w:gridCol w:w="1290"/>
        <w:gridCol w:w="1137"/>
        <w:gridCol w:w="1142"/>
        <w:gridCol w:w="211"/>
        <w:gridCol w:w="796"/>
        <w:gridCol w:w="109"/>
        <w:gridCol w:w="109"/>
        <w:gridCol w:w="109"/>
        <w:gridCol w:w="109"/>
        <w:gridCol w:w="211"/>
        <w:gridCol w:w="691"/>
        <w:gridCol w:w="109"/>
        <w:gridCol w:w="109"/>
        <w:gridCol w:w="109"/>
        <w:gridCol w:w="109"/>
        <w:gridCol w:w="211"/>
        <w:gridCol w:w="691"/>
        <w:gridCol w:w="154"/>
      </w:tblGrid>
      <w:tr>
        <w:trPr/>
        <w:tc>
          <w:tcPr>
            <w:tcW w:w="1290"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taxes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(net of federal benefit)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deductible officers' compensation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 excess benefit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pStyle w:val="TextBody"/>
        <w:spacing w:before="0" w:after="0"/>
        <w:ind w:left="0" w:right="0" w:firstLine="495"/>
        <w:jc w:val="both"/>
        <w:rPr/>
      </w:pPr>
      <w:r>
        <w:rPr/>
      </w:r>
    </w:p>
    <w:tbl>
      <w:tblPr>
        <w:tblW w:w="7061" w:type="dxa"/>
        <w:jc w:val="left"/>
        <w:tblInd w:w="0" w:type="dxa"/>
        <w:tblCellMar>
          <w:top w:w="28" w:type="dxa"/>
          <w:left w:w="28" w:type="dxa"/>
          <w:bottom w:w="28" w:type="dxa"/>
          <w:right w:w="28" w:type="dxa"/>
        </w:tblCellMar>
      </w:tblPr>
      <w:tblGrid>
        <w:gridCol w:w="1137"/>
        <w:gridCol w:w="997"/>
        <w:gridCol w:w="1000"/>
        <w:gridCol w:w="211"/>
        <w:gridCol w:w="826"/>
        <w:gridCol w:w="109"/>
        <w:gridCol w:w="109"/>
        <w:gridCol w:w="109"/>
        <w:gridCol w:w="109"/>
        <w:gridCol w:w="211"/>
        <w:gridCol w:w="721"/>
        <w:gridCol w:w="109"/>
        <w:gridCol w:w="109"/>
        <w:gridCol w:w="109"/>
        <w:gridCol w:w="109"/>
        <w:gridCol w:w="211"/>
        <w:gridCol w:w="721"/>
        <w:gridCol w:w="154"/>
      </w:tblGrid>
      <w:tr>
        <w:trPr/>
        <w:tc>
          <w:tcPr>
            <w:tcW w:w="1137"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NanoString intangibles and 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acquired intangibles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net deferred tax assets to the extent it is more likely than not that the assets will be realized. In making such determination, the Company considered all available positive and negative evidence, including future reversals of existing taxable temporary differences, projected future taxable income, tax planning strategies and recent financial operations. The Company has established a valuation allowance against its net deferred tax assets due to the uncertainty surrounding realization of such assets. The valuation allowance increased $41.9 million, $13.4 million and $9.9 million during the years ended December 31, 2021, 2020 and 2019, respectively.</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net operating loss carryforwards of approximately $437.1 million, $87.6 million and $133.1 million available to reduce future taxable income, if any, for federal, California and other state income tax purposes, respectively. The U.S. federal net operating loss carryforwards will begin to expire in 2026 while for state purposes, the net operating losses begin to expire in 2022.</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foreign net operating loss carryforwards of approximately $74.7 million and $31.3 million available to reduce future taxable income, if any, for Canadian and French income tax purposes, respectively. The Canada net operating loss carryforwards will begin to expire in 2034, while for French purposes, the net operating losses will carryforward indefinitely.</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net research and development credit carryforwards of approximately $5.9 million and $5.7 million available to reduce future taxable income, if any, for federal and state income tax purposes, respectively. The federal credit carryforwards begin to expire in 2028. California credits have no expiration date. Other state credit carryforwards begin to expire in 2023.</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had scientific net research and development credit carryforwards of approximately $1.4 million available to reduce future taxable income, if any, for Canadian income tax purposes. The credit carryforwards begin to expire in 2025.</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Uncertain Tax Positions</w:t>
      </w:r>
    </w:p>
    <w:p>
      <w:pPr>
        <w:pStyle w:val="TextBody"/>
        <w:spacing w:before="0" w:after="0"/>
        <w:ind w:left="0" w:right="0" w:firstLine="40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unrecognized tax benefits of $4.5 million, none of which currently would affect the Company's effective tax rate if recognized due to the Company's deferred tax assets being fully offset by a valuation allowance. The Company does not anticipate that the amount of unrecognized tax benefits relating to tax positions existing at December 31, 2021 will significantly increase or decrease within the next 12 months.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 (in thousands of dollars):</w:t>
      </w:r>
    </w:p>
    <w:p>
      <w:pPr>
        <w:pStyle w:val="TextBody"/>
        <w:spacing w:before="0" w:after="0"/>
        <w:ind w:left="0" w:right="0" w:firstLine="495"/>
        <w:jc w:val="both"/>
        <w:rPr/>
      </w:pPr>
      <w:r>
        <w:rPr/>
      </w:r>
    </w:p>
    <w:tbl>
      <w:tblPr>
        <w:tblW w:w="7466" w:type="dxa"/>
        <w:jc w:val="left"/>
        <w:tblInd w:w="0" w:type="dxa"/>
        <w:tblCellMar>
          <w:top w:w="28" w:type="dxa"/>
          <w:left w:w="28" w:type="dxa"/>
          <w:bottom w:w="28" w:type="dxa"/>
          <w:right w:w="28" w:type="dxa"/>
        </w:tblCellMar>
      </w:tblPr>
      <w:tblGrid>
        <w:gridCol w:w="1435"/>
        <w:gridCol w:w="1259"/>
        <w:gridCol w:w="1265"/>
        <w:gridCol w:w="211"/>
        <w:gridCol w:w="616"/>
        <w:gridCol w:w="109"/>
        <w:gridCol w:w="109"/>
        <w:gridCol w:w="109"/>
        <w:gridCol w:w="109"/>
        <w:gridCol w:w="211"/>
        <w:gridCol w:w="616"/>
        <w:gridCol w:w="109"/>
        <w:gridCol w:w="109"/>
        <w:gridCol w:w="109"/>
        <w:gridCol w:w="109"/>
        <w:gridCol w:w="211"/>
        <w:gridCol w:w="616"/>
        <w:gridCol w:w="154"/>
      </w:tblGrid>
      <w:tr>
        <w:trPr/>
        <w:tc>
          <w:tcPr>
            <w:tcW w:w="1435"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increases—tax position in prior period</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decreases—tax position in prior period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increases—current period tax position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end of period</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2021.</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tax jurisdictions are the United States, Canada, California and France.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 in the United States. There is an audit in progress in France. Currently, there has not been a basis for reassessment.</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2022, the Tax Cuts and Jobs Act eliminates the option to deduct research and development expenditures and requires taxpayers to amortize domestic expenditures over five years and foreign expenditures over fifteen years. While it is possible that Congress may modify or repeal this provision before it becomes effective, the Company has no assurance that these provisions will be modified or repealed. Therefore, based on current assumptions, this could potentially increase the effective tax rate and decrease the Company's cash from operations beginning in 2022. On March 27, 2020, the Coronavirus Aid, Relief, and Economic Security Act (CARES Act) was enacted in response to the COVID-19 pandemic. The Company does not expect the provisions of the legislation to have a significant impact on the effective tax rate of the Company.</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Employee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401(k) plan</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 401(k) defined contribution plan covering all employees. Under the plan, participants are entitled to make pre-tax contributions up to the annual maximums established by the Internal Revenue Service. The Company, at its discretion, may make matching contributions to the 401(k) plan. Employer contributions to the plan were $1.3 million, $0.6 million and $0.5 million for the years ended December 31, 2021, 2020, and 2019, respectively.</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Pension plan</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maintains a defined benefit plan for certain non-U.S. employees of its HalioDx subsidiary. The pension liability is included in other long-term liabilities on the Company's consolidated balance sheets and totaled $1.1 million and zero as of December 31, 2021 and 2020, respectively. </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13. Components of Other Income, net </w:t>
      </w:r>
    </w:p>
    <w:p>
      <w:pPr>
        <w:pStyle w:val="TextBody"/>
        <w:spacing w:before="0" w:after="0"/>
        <w:jc w:val="both"/>
        <w:rPr/>
      </w:pPr>
      <w:r>
        <w:rPr/>
      </w:r>
    </w:p>
    <w:p>
      <w:pPr>
        <w:pStyle w:val="TextBody"/>
        <w:spacing w:lineRule="auto" w:line="25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the following (in thousands of dollars):</w:t>
      </w:r>
    </w:p>
    <w:p>
      <w:pPr>
        <w:pStyle w:val="TextBody"/>
        <w:spacing w:before="0" w:after="0"/>
        <w:ind w:left="0" w:right="0" w:firstLine="495"/>
        <w:jc w:val="both"/>
        <w:rPr/>
      </w:pPr>
      <w:r>
        <w:rPr/>
      </w:r>
    </w:p>
    <w:tbl>
      <w:tblPr>
        <w:tblW w:w="6326" w:type="dxa"/>
        <w:jc w:val="left"/>
        <w:tblInd w:w="0" w:type="dxa"/>
        <w:tblCellMar>
          <w:top w:w="28" w:type="dxa"/>
          <w:left w:w="28" w:type="dxa"/>
          <w:bottom w:w="28" w:type="dxa"/>
          <w:right w:w="28" w:type="dxa"/>
        </w:tblCellMar>
      </w:tblPr>
      <w:tblGrid>
        <w:gridCol w:w="1076"/>
        <w:gridCol w:w="942"/>
        <w:gridCol w:w="951"/>
        <w:gridCol w:w="211"/>
        <w:gridCol w:w="616"/>
        <w:gridCol w:w="109"/>
        <w:gridCol w:w="109"/>
        <w:gridCol w:w="109"/>
        <w:gridCol w:w="109"/>
        <w:gridCol w:w="211"/>
        <w:gridCol w:w="466"/>
        <w:gridCol w:w="109"/>
        <w:gridCol w:w="109"/>
        <w:gridCol w:w="109"/>
        <w:gridCol w:w="109"/>
        <w:gridCol w:w="211"/>
        <w:gridCol w:w="616"/>
        <w:gridCol w:w="154"/>
      </w:tblGrid>
      <w:tr>
        <w:trPr/>
        <w:tc>
          <w:tcPr>
            <w:tcW w:w="107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French research tax credits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currency revaluation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495"/>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Exchange Act, as amended, are designed to provide reasonable assurance that information required to be disclosed by us in reports that we file or submit under the Exchange Act are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recognizes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 Based on this evaluation, our Chief Executive Officer and Chief Financial Officer concluded that our disclosure controls and procedures were effective as of December 31, 2021.</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spacing w:before="0" w:after="0"/>
        <w:jc w:val="both"/>
        <w:rPr/>
      </w:pPr>
      <w:r>
        <w:rPr/>
      </w:r>
    </w:p>
    <w:p>
      <w:pPr>
        <w:pStyle w:val="TextBody"/>
        <w:spacing w:lineRule="auto" w:line="288" w:before="0" w:after="0"/>
        <w:ind w:left="0" w:right="0" w:firstLine="495"/>
        <w:jc w:val="both"/>
        <w:rPr/>
      </w:pPr>
      <w:r>
        <w:rPr>
          <w:rFonts w:ascii="Times New Roman;sans-serif" w:hAnsi="Times New Roman;sans-serif"/>
          <w:b w:val="false"/>
          <w:color w:val="000000"/>
          <w:sz w:val="20"/>
        </w:rPr>
        <w:t xml:space="preserve">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2021, using the criteria established in </w:t>
      </w:r>
      <w:r>
        <w:rPr>
          <w:rFonts w:ascii="Times New Roman;sans-serif" w:hAnsi="Times New Roman;sans-serif"/>
          <w:b w:val="false"/>
          <w:i/>
          <w:color w:val="000000"/>
          <w:sz w:val="20"/>
        </w:rPr>
        <w:t>Internal Control Integrated Framework</w:t>
      </w:r>
      <w:r>
        <w:rPr>
          <w:color w:val="000000"/>
        </w:rPr>
        <w:t xml:space="preserve"> </w:t>
      </w:r>
      <w:r>
        <w:rPr>
          <w:rFonts w:ascii="Times New Roman;sans-serif" w:hAnsi="Times New Roman;sans-serif"/>
          <w:b w:val="false"/>
          <w:color w:val="000000"/>
          <w:sz w:val="20"/>
        </w:rPr>
        <w:t>("2013 Framework") issued by the Committee of Sponsoring Organizations of the Treadway Commission ("COSO"). Our management has concluded that, as of December 31, 2021, our internal control over financial reporting was effective to provide reasonable assurance regarding the reliability of financial reporting and the preparation of consolidated financial statements for external purposes in accordance with generally accepted accounting principles.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scope of management's assessment of the effectiveness of internal control over financial reporting excluded Decipher Biosciences acquired in March 2021 and HalioDx acquired in August 2021. Total assets, total liabilities and total revenues of the acquired entities represented approximately 7%, 38% and 35% of the total assets, total liabilities and total revenues of Veracyte's consolidated financial statements as of and for the year ended December 31, 2021.</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2021 has been audited by Ernst &amp; Young LLP, an independent registered public accounting firm, as stated in their report, which is included herein.</w:t>
      </w:r>
    </w:p>
    <w:p>
      <w:pPr>
        <w:pStyle w:val="TextBody"/>
        <w:spacing w:before="120" w:after="283"/>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aforementioned acquisitions, there were no changes in our internal control over financial reporting as defined in Rule 13a-15(f) under the Exchange Act, during the quarter ended December 31, 2021 that have materially affected, or are reasonably likely to materially affect, our internal control over financial reporting.</w:t>
      </w:r>
    </w:p>
    <w:p>
      <w:pPr>
        <w:pStyle w:val="TextBody"/>
        <w:spacing w:before="0" w:after="0"/>
        <w:ind w:left="0" w:right="0" w:firstLine="495"/>
        <w:jc w:val="both"/>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To the Stockholders and the Board of Directors of Veracyte Inc.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333333"/>
          <w:sz w:val="20"/>
        </w:rPr>
      </w:pPr>
      <w:r>
        <w:rPr>
          <w:rFonts w:ascii="Times New Roman;sans-serif" w:hAnsi="Times New Roman;sans-serif"/>
          <w:b/>
          <w:color w:val="333333"/>
          <w:sz w:val="20"/>
        </w:rPr>
        <w:t>Opinion on Internal Control over Financial Reporting</w:t>
      </w:r>
    </w:p>
    <w:p>
      <w:pPr>
        <w:pStyle w:val="TextBody"/>
        <w:spacing w:before="0" w:after="0"/>
        <w:jc w:val="both"/>
        <w:rPr/>
      </w:pPr>
      <w:r>
        <w:rPr/>
      </w:r>
    </w:p>
    <w:p>
      <w:pPr>
        <w:pStyle w:val="TextBody"/>
        <w:spacing w:lineRule="auto" w:line="240" w:before="0" w:after="0"/>
        <w:ind w:left="0" w:right="0" w:firstLine="495"/>
        <w:jc w:val="both"/>
        <w:rPr/>
      </w:pPr>
      <w:r>
        <w:rPr>
          <w:rFonts w:ascii="Times New Roman;sans-serif" w:hAnsi="Times New Roman;sans-serif"/>
          <w:b w:val="false"/>
          <w:color w:val="333333"/>
          <w:sz w:val="20"/>
        </w:rPr>
        <w:t>We have audited Veracyte, Inc.’s internal control over financial reporting as of December 31, 2021, based on criteria established in Internal Control—Integrated Framework issued by the Committee of Sponsoring Organizations of the Treadway Commission (2013 framework)</w:t>
      </w:r>
      <w:r>
        <w:rPr>
          <w:color w:val="333333"/>
        </w:rPr>
        <w:t xml:space="preserve"> </w:t>
      </w:r>
      <w:r>
        <w:rPr>
          <w:rFonts w:ascii="Times New Roman;sans-serif" w:hAnsi="Times New Roman;sans-serif"/>
          <w:b w:val="false"/>
          <w:color w:val="333333"/>
          <w:sz w:val="20"/>
        </w:rPr>
        <w:t xml:space="preserve">(the COSO criteria). </w:t>
      </w:r>
      <w:r>
        <w:rPr>
          <w:rFonts w:ascii="Times New Roman;sans-serif" w:hAnsi="Times New Roman;sans-serif"/>
          <w:b w:val="false"/>
          <w:color w:val="000000"/>
          <w:sz w:val="20"/>
        </w:rPr>
        <w:t>In</w:t>
      </w:r>
      <w:r>
        <w:rPr>
          <w:color w:val="333333"/>
        </w:rPr>
        <w:t xml:space="preserve"> </w:t>
      </w:r>
      <w:r>
        <w:rPr>
          <w:rFonts w:ascii="Times New Roman;sans-serif" w:hAnsi="Times New Roman;sans-serif"/>
          <w:b w:val="false"/>
          <w:color w:val="333333"/>
          <w:sz w:val="20"/>
        </w:rPr>
        <w:t>our opinion, Veracyte, Inc. (the Company) maintained, in all material respects, effective internal control over financial reporting as of December 31, 2021, based on the COSO criteria.</w:t>
      </w:r>
    </w:p>
    <w:p>
      <w:pPr>
        <w:pStyle w:val="TextBody"/>
        <w:spacing w:before="0" w:after="0"/>
        <w:jc w:val="both"/>
        <w:rPr/>
      </w:pPr>
      <w:r>
        <w:rPr/>
      </w:r>
    </w:p>
    <w:p>
      <w:pPr>
        <w:pStyle w:val="TextBody"/>
        <w:spacing w:lineRule="auto" w:line="240" w:before="0" w:after="0"/>
        <w:ind w:left="0" w:right="0" w:firstLine="495"/>
        <w:jc w:val="both"/>
        <w:rPr/>
      </w:pPr>
      <w:r>
        <w:rPr>
          <w:rFonts w:ascii="Times New Roman;sans-serif" w:hAnsi="Times New Roman;sans-serif"/>
          <w:b w:val="false"/>
          <w:color w:val="333333"/>
          <w:sz w:val="20"/>
        </w:rPr>
        <w:t xml:space="preserve">As indicated in the accompanying Management’s Annual Report on Internal Control Over Financial Reporting, management’s assessment of and conclusion on the effectiveness of internal control over financial reporting did not include the internal controls of Decipher Biosciences and HalioDx which are included in the 2021 consolidated financial statements of the Company and constituted 7% and 38% of total </w:t>
      </w:r>
      <w:r>
        <w:rPr>
          <w:rFonts w:ascii="Times New Roman;sans-serif" w:hAnsi="Times New Roman;sans-serif"/>
          <w:b w:val="false"/>
          <w:color w:val="000000"/>
          <w:sz w:val="20"/>
        </w:rPr>
        <w:t>assets</w:t>
      </w:r>
      <w:r>
        <w:rPr>
          <w:color w:val="333333"/>
        </w:rPr>
        <w:t xml:space="preserve"> </w:t>
      </w:r>
      <w:r>
        <w:rPr>
          <w:rFonts w:ascii="Times New Roman;sans-serif" w:hAnsi="Times New Roman;sans-serif"/>
          <w:b w:val="false"/>
          <w:color w:val="333333"/>
          <w:sz w:val="20"/>
        </w:rPr>
        <w:t>and liabilities, respectively, as of December 31, 2021 and 35% of total revenues for the year then ended. Our audit of internal control over financial reporting of the Company also did not include an evaluation of the internal control over financial reporting of Decipher Biosciences and HalioDx.</w:t>
      </w:r>
    </w:p>
    <w:p>
      <w:pPr>
        <w:pStyle w:val="TextBody"/>
        <w:spacing w:before="0" w:after="0"/>
        <w:rPr/>
      </w:pPr>
      <w:r>
        <w:rPr/>
      </w:r>
    </w:p>
    <w:p>
      <w:pPr>
        <w:pStyle w:val="TextBody"/>
        <w:spacing w:lineRule="auto" w:line="240" w:before="0" w:after="0"/>
        <w:ind w:left="0" w:right="0" w:firstLine="495"/>
        <w:jc w:val="both"/>
        <w:rPr/>
      </w:pPr>
      <w:r>
        <w:rPr>
          <w:rFonts w:ascii="Times New Roman;sans-serif" w:hAnsi="Times New Roman;sans-serif"/>
          <w:b w:val="false"/>
          <w:color w:val="333333"/>
          <w:sz w:val="20"/>
        </w:rPr>
        <w:t xml:space="preserve">We also have audited, in accordance with the </w:t>
      </w:r>
      <w:r>
        <w:rPr>
          <w:rFonts w:ascii="Times New Roman;sans-serif" w:hAnsi="Times New Roman;sans-serif"/>
          <w:b w:val="false"/>
          <w:color w:val="000000"/>
          <w:sz w:val="20"/>
        </w:rPr>
        <w:t>standards</w:t>
      </w:r>
      <w:r>
        <w:rPr>
          <w:color w:val="333333"/>
        </w:rPr>
        <w:t xml:space="preserve"> </w:t>
      </w:r>
      <w:r>
        <w:rPr>
          <w:rFonts w:ascii="Times New Roman;sans-serif" w:hAnsi="Times New Roman;sans-serif"/>
          <w:b w:val="false"/>
          <w:color w:val="333333"/>
          <w:sz w:val="20"/>
        </w:rPr>
        <w:t>of the Public Company Accounting Oversight Board (United States) (PCAOB), the 2021 consolidated financial statements of</w:t>
      </w:r>
      <w:r>
        <w:rPr>
          <w:color w:val="333333"/>
        </w:rPr>
        <w:t xml:space="preserve"> </w:t>
      </w:r>
      <w:r>
        <w:rPr>
          <w:rFonts w:ascii="Times New Roman;sans-serif" w:hAnsi="Times New Roman;sans-serif"/>
          <w:b w:val="false"/>
          <w:color w:val="333333"/>
          <w:sz w:val="20"/>
        </w:rPr>
        <w:t>the Company</w:t>
      </w:r>
      <w:r>
        <w:rPr>
          <w:color w:val="333333"/>
        </w:rPr>
        <w:t xml:space="preserve"> </w:t>
      </w:r>
      <w:r>
        <w:rPr>
          <w:rFonts w:ascii="Times New Roman;sans-serif" w:hAnsi="Times New Roman;sans-serif"/>
          <w:b w:val="false"/>
          <w:color w:val="333333"/>
          <w:sz w:val="20"/>
        </w:rPr>
        <w:t xml:space="preserve">and our report dated </w:t>
      </w:r>
      <w:r>
        <w:rPr>
          <w:rFonts w:ascii="Times New Roman;sans-serif" w:hAnsi="Times New Roman;sans-serif"/>
          <w:b w:val="false"/>
          <w:color w:val="000000"/>
          <w:sz w:val="20"/>
        </w:rPr>
        <w:t>February 28, 2022</w:t>
      </w:r>
      <w:r>
        <w:rPr>
          <w:color w:val="333333"/>
        </w:rPr>
        <w:t xml:space="preserve"> </w:t>
      </w:r>
      <w:r>
        <w:rPr>
          <w:rFonts w:ascii="Times New Roman;sans-serif" w:hAnsi="Times New Roman;sans-serif"/>
          <w:b w:val="false"/>
          <w:color w:val="333333"/>
          <w:sz w:val="20"/>
        </w:rPr>
        <w:t>expressed an unqualified opinion thereon.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spacing w:before="0" w:after="0"/>
        <w:jc w:val="both"/>
        <w:rPr/>
      </w:pPr>
      <w:r>
        <w:rPr/>
      </w:r>
    </w:p>
    <w:p>
      <w:pPr>
        <w:pStyle w:val="TextBody"/>
        <w:spacing w:lineRule="auto" w:line="240" w:before="0" w:after="0"/>
        <w:ind w:left="0" w:right="0" w:firstLine="495"/>
        <w:jc w:val="both"/>
        <w:rPr>
          <w:rFonts w:ascii="Times New Roman;sans-serif" w:hAnsi="Times New Roman;sans-serif"/>
          <w:b w:val="false"/>
          <w:color w:val="333333"/>
          <w:sz w:val="20"/>
        </w:rPr>
      </w:pPr>
      <w:r>
        <w:rPr>
          <w:rFonts w:ascii="Times New Roman;sans-serif" w:hAnsi="Times New Roman;sans-serif"/>
          <w:b w:val="false"/>
          <w:color w:val="333333"/>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40" w:before="0" w:after="0"/>
        <w:ind w:left="0" w:right="0" w:firstLine="495"/>
        <w:jc w:val="both"/>
        <w:rPr/>
      </w:pPr>
      <w:r>
        <w:rPr>
          <w:rFonts w:ascii="Times New Roman;sans-serif" w:hAnsi="Times New Roman;sans-serif"/>
          <w:b w:val="false"/>
          <w:color w:val="333333"/>
          <w:sz w:val="20"/>
        </w:rPr>
        <w:t xml:space="preserve">We conducted our audit in accordance with the </w:t>
      </w:r>
      <w:r>
        <w:rPr>
          <w:rFonts w:ascii="Times New Roman;sans-serif" w:hAnsi="Times New Roman;sans-serif"/>
          <w:b w:val="false"/>
          <w:color w:val="000000"/>
          <w:sz w:val="20"/>
        </w:rPr>
        <w:t>standards</w:t>
      </w:r>
      <w:r>
        <w:rPr>
          <w:color w:val="333333"/>
        </w:rPr>
        <w:t xml:space="preserve"> </w:t>
      </w:r>
      <w:r>
        <w:rPr>
          <w:rFonts w:ascii="Times New Roman;sans-serif" w:hAnsi="Times New Roman;sans-serif"/>
          <w:b w:val="false"/>
          <w:color w:val="333333"/>
          <w:sz w:val="20"/>
        </w:rPr>
        <w:t xml:space="preserve">of the PCAOB. Those standards require that we plan and perform the audit to obtain reasonable assurance about whether effective internal control over financial reporting was maintained in all material respects. </w:t>
      </w:r>
    </w:p>
    <w:p>
      <w:pPr>
        <w:pStyle w:val="TextBody"/>
        <w:spacing w:before="0" w:after="0"/>
        <w:rPr/>
      </w:pPr>
      <w:r>
        <w:rPr/>
      </w:r>
    </w:p>
    <w:p>
      <w:pPr>
        <w:pStyle w:val="TextBody"/>
        <w:spacing w:lineRule="auto" w:line="240" w:before="0" w:after="0"/>
        <w:ind w:left="0" w:right="0" w:firstLine="495"/>
        <w:jc w:val="both"/>
        <w:rPr>
          <w:rFonts w:ascii="Times New Roman;sans-serif" w:hAnsi="Times New Roman;sans-serif"/>
          <w:b w:val="false"/>
          <w:color w:val="333333"/>
          <w:sz w:val="20"/>
        </w:rPr>
      </w:pPr>
      <w:r>
        <w:rPr>
          <w:rFonts w:ascii="Times New Roman;sans-serif" w:hAnsi="Times New Roman;sans-serif"/>
          <w:b w:val="false"/>
          <w:color w:val="333333"/>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333333"/>
          <w:sz w:val="20"/>
        </w:rPr>
      </w:pPr>
      <w:r>
        <w:rPr>
          <w:rFonts w:ascii="Times New Roman;sans-serif" w:hAnsi="Times New Roman;sans-serif"/>
          <w:b/>
          <w:color w:val="333333"/>
          <w:sz w:val="20"/>
        </w:rPr>
        <w:t>Definition and Limitations of Internal Control Over Financial Reporting</w:t>
      </w:r>
    </w:p>
    <w:p>
      <w:pPr>
        <w:pStyle w:val="TextBody"/>
        <w:spacing w:before="0" w:after="0"/>
        <w:jc w:val="both"/>
        <w:rPr/>
      </w:pPr>
      <w:r>
        <w:rPr/>
      </w:r>
    </w:p>
    <w:p>
      <w:pPr>
        <w:pStyle w:val="TextBody"/>
        <w:spacing w:lineRule="auto" w:line="240" w:before="0" w:after="0"/>
        <w:ind w:left="0" w:right="0" w:firstLine="495"/>
        <w:jc w:val="both"/>
        <w:rPr/>
      </w:pPr>
      <w:r>
        <w:rPr>
          <w:rFonts w:ascii="Times New Roman;sans-serif" w:hAnsi="Times New Roman;sans-serif"/>
          <w:b w:val="false"/>
          <w:color w:val="333333"/>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w:t>
      </w:r>
      <w:r>
        <w:rPr>
          <w:rFonts w:ascii="Times New Roman;sans-serif" w:hAnsi="Times New Roman;sans-serif"/>
          <w:b w:val="false"/>
          <w:color w:val="000000"/>
          <w:sz w:val="20"/>
        </w:rPr>
        <w:t>2</w:t>
      </w:r>
      <w:r>
        <w:rPr>
          <w:rFonts w:ascii="Times New Roman;sans-serif" w:hAnsi="Times New Roman;sans-serif"/>
          <w:b w:val="false"/>
          <w:color w:val="333333"/>
          <w:sz w:val="20"/>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rPr/>
      </w:pPr>
      <w:r>
        <w:rPr/>
      </w:r>
    </w:p>
    <w:p>
      <w:pPr>
        <w:pStyle w:val="TextBody"/>
        <w:spacing w:lineRule="auto" w:line="240" w:before="0" w:after="0"/>
        <w:ind w:left="0" w:right="0" w:firstLine="495"/>
        <w:jc w:val="both"/>
        <w:rPr/>
      </w:pPr>
      <w:r>
        <w:rPr>
          <w:rFonts w:ascii="Times New Roman;sans-serif" w:hAnsi="Times New Roman;sans-serif"/>
          <w:b w:val="false"/>
          <w:color w:val="333333"/>
          <w:sz w:val="20"/>
        </w:rPr>
        <w:t xml:space="preserve">Because of its inherent limitations, internal </w:t>
      </w:r>
      <w:r>
        <w:rPr>
          <w:rFonts w:ascii="Times New Roman;sans-serif" w:hAnsi="Times New Roman;sans-serif"/>
          <w:b w:val="false"/>
          <w:color w:val="000000"/>
          <w:sz w:val="20"/>
        </w:rPr>
        <w:t>control</w:t>
      </w:r>
      <w:r>
        <w:rPr>
          <w:color w:val="333333"/>
        </w:rPr>
        <w:t xml:space="preserve"> </w:t>
      </w:r>
      <w:r>
        <w:rPr>
          <w:rFonts w:ascii="Times New Roman;sans-serif" w:hAnsi="Times New Roman;sans-serif"/>
          <w:b w:val="false"/>
          <w:color w:val="333333"/>
          <w:sz w:val="20"/>
        </w:rPr>
        <w:t>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Redwood City, California</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before="0" w:after="0"/>
        <w:jc w:val="both"/>
        <w:rPr/>
      </w:pPr>
      <w:r>
        <w:rPr/>
      </w:r>
    </w:p>
    <w:p>
      <w:pPr>
        <w:pStyle w:val="TextBody"/>
        <w:spacing w:lineRule="auto" w:line="276"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with respect to directors is incorporated by reference from the information contained in our proxy statement to be filed with the Securities and Exchange Commission no later than 120 days from the end of our fiscal year ended December 31, 2021 in connection with the solicitation of proxies for our 2022 Annual Meeting of Stockholders, or the Proxy Statement. </w:t>
      </w:r>
    </w:p>
    <w:p>
      <w:pPr>
        <w:pStyle w:val="TextBody"/>
        <w:spacing w:before="0" w:after="12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(a)Documents filed as part of this report</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Index to Financial Statements of Veracyte, Inc. included in Item 8 of Part II hereof.</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have been omitted because they are not required, not applicable, or the required information is included in the financial statements or notes thereto.</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Item 15(b) below. Each management contract or compensating plan or arrangement required to be filed has been identified.</w:t>
      </w:r>
    </w:p>
    <w:p>
      <w:pPr>
        <w:pStyle w:val="TextBody"/>
        <w:spacing w:before="0" w:after="0"/>
        <w:ind w:left="0" w:right="0" w:firstLine="495"/>
        <w:jc w:val="both"/>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(b)Exhibits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20"/>
        <w:gridCol w:w="282"/>
        <w:gridCol w:w="284"/>
        <w:gridCol w:w="1965"/>
        <w:gridCol w:w="1832"/>
        <w:gridCol w:w="1849"/>
        <w:gridCol w:w="177"/>
        <w:gridCol w:w="177"/>
        <w:gridCol w:w="175"/>
        <w:gridCol w:w="342"/>
        <w:gridCol w:w="271"/>
        <w:gridCol w:w="241"/>
        <w:gridCol w:w="210"/>
        <w:gridCol w:w="210"/>
        <w:gridCol w:w="211"/>
        <w:gridCol w:w="232"/>
        <w:gridCol w:w="232"/>
        <w:gridCol w:w="233"/>
        <w:gridCol w:w="279"/>
        <w:gridCol w:w="279"/>
        <w:gridCol w:w="404"/>
      </w:tblGrid>
      <w:tr>
        <w:trPr/>
        <w:tc>
          <w:tcPr>
            <w:tcW w:w="32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6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2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6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Restated Certificate of Incorporation of the Registrant</w:t>
              </w:r>
            </w:hyperlink>
          </w:p>
        </w:tc>
        <w:tc>
          <w:tcPr>
            <w:tcW w:w="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11/8/2013</w:t>
            </w:r>
          </w:p>
        </w:tc>
        <w:tc>
          <w:tcPr>
            <w:tcW w:w="9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Restated Bylaws of the Restated Bylaws of the Registrant</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1/25/2021</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Form of Common Stock Certificate</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333-191282</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10/15/2013</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Description of Securities Registered under Section 12 of the Securities Exchange Act of 1934, as amended</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2/22/2021</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Form of Indemnification Agreement between the Registrant and its officers and directors</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333-191282</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10/7/2013</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2008 Stock Plan and forms of agreements thereunder</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333-191282</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9/20/2013</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2013 Stock Incentive Plan, as amended, and forms of stock option award agreement, stock option exercise agreement, restricted stock agreement and restricted stock unit agreement</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2/27/2018</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Form of stock option award under 2013 Stock Incentive Plan</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11/2/2020</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Form of stock unit award under 2013 Stock Incentive Plan</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11/2/2020</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Amended and Restated Employee Stock Purchase Plan</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7/30/2020</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Lease Agreement between Riata Holdings, L.P., as landlord, and the Registrant, as tenant, dated November 28, 2012</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333-191282</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9/20/2013</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6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Second Amendment to Lease Agreement dated as of August 14, 2017 by and between BRI 1868 RIATA, LLC and the Registrant</w:t>
              </w:r>
            </w:hyperlink>
          </w:p>
        </w:tc>
        <w:tc>
          <w:tcPr>
            <w:tcW w:w="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11/7/2017</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tbl>
      <w:tblPr>
        <w:tblW w:w="10205" w:type="dxa"/>
        <w:jc w:val="left"/>
        <w:tblInd w:w="0" w:type="dxa"/>
        <w:tblCellMar>
          <w:top w:w="28" w:type="dxa"/>
          <w:left w:w="28" w:type="dxa"/>
          <w:bottom w:w="28" w:type="dxa"/>
          <w:right w:w="28" w:type="dxa"/>
        </w:tblCellMar>
      </w:tblPr>
      <w:tblGrid>
        <w:gridCol w:w="335"/>
        <w:gridCol w:w="296"/>
        <w:gridCol w:w="297"/>
        <w:gridCol w:w="1921"/>
        <w:gridCol w:w="1866"/>
        <w:gridCol w:w="1884"/>
        <w:gridCol w:w="171"/>
        <w:gridCol w:w="171"/>
        <w:gridCol w:w="169"/>
        <w:gridCol w:w="268"/>
        <w:gridCol w:w="268"/>
        <w:gridCol w:w="241"/>
        <w:gridCol w:w="210"/>
        <w:gridCol w:w="210"/>
        <w:gridCol w:w="211"/>
        <w:gridCol w:w="231"/>
        <w:gridCol w:w="231"/>
        <w:gridCol w:w="233"/>
        <w:gridCol w:w="288"/>
        <w:gridCol w:w="288"/>
        <w:gridCol w:w="416"/>
      </w:tblGrid>
      <w:tr>
        <w:trPr/>
        <w:tc>
          <w:tcPr>
            <w:tcW w:w="33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6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First Amendment to Lease Agreement dated as of January 7, 2014 by and between Riata Holdings, L.P.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3/20/2014</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Office Building Lease by and between American Fund US Investments LP and the Registrant dated April 29, 2015</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8/13/2015</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First Amendment to Office Building Lease dated May 3, 2016 by and between American Fund US Investments LP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2/27/2018</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Second Amendment to Office Building Lease dated February 8, 2017 by and between CRP 6000 Shoreline, L.L.C.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3/1/2017</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Offer Letter dated as of March 5, 2008 with Giulia Kennedy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2/25/2020</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Amended and Restated Pathology Services Agreement dated as of February 14, 2019 between Thyroid Cytopathology Partners, P.A.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4/30/2019</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Loan and Security Agreement dated as of November 3, 2017 between Silicon Valley Bank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2/27/2018</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Form of Performance Stock Unit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5/1/2018</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Amended and Restated Change in Control and Severance Agreement, effective July 1, 2019 between Bonnie Anderson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7/30/2019</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Amended and Restated Change in Control and Severance Agreement, effective July 1, 2019 between Giulia Kennedy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7/30/2019</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Diagnostic Development Agreement, dated December 28, 2018, between Johnson &amp; Johnson Services, Inc.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2/25/2019</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License and Asset Purchase Agreement, dated December 3, 2019, between NanoString Technologies, Inc.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12/3/2019</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Registration Rights Schedule, dated December 3, 2019</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12/3/2019</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Memorandum of Understanding between the Shareholders of HalioDx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7/29/2021</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Securities Purchase and Contribution Agreement, dated July 13, 2021, between the registrant and HalioDx SAS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7/29/2021</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Employment Agreement, dated as of May 7, 2021, between Marc Stapley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7/29/2021</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5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Change in Control and Severance Agreement, effective June 1, 2021 between Marc Stapley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7/29/2021</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tbl>
      <w:tblPr>
        <w:tblW w:w="10205" w:type="dxa"/>
        <w:jc w:val="left"/>
        <w:tblInd w:w="0" w:type="dxa"/>
        <w:tblCellMar>
          <w:top w:w="28" w:type="dxa"/>
          <w:left w:w="28" w:type="dxa"/>
          <w:bottom w:w="28" w:type="dxa"/>
          <w:right w:w="28" w:type="dxa"/>
        </w:tblCellMar>
      </w:tblPr>
      <w:tblGrid>
        <w:gridCol w:w="344"/>
        <w:gridCol w:w="304"/>
        <w:gridCol w:w="305"/>
        <w:gridCol w:w="1942"/>
        <w:gridCol w:w="1816"/>
        <w:gridCol w:w="1835"/>
        <w:gridCol w:w="171"/>
        <w:gridCol w:w="171"/>
        <w:gridCol w:w="169"/>
        <w:gridCol w:w="273"/>
        <w:gridCol w:w="273"/>
        <w:gridCol w:w="248"/>
        <w:gridCol w:w="210"/>
        <w:gridCol w:w="210"/>
        <w:gridCol w:w="211"/>
        <w:gridCol w:w="238"/>
        <w:gridCol w:w="238"/>
        <w:gridCol w:w="239"/>
        <w:gridCol w:w="293"/>
        <w:gridCol w:w="293"/>
        <w:gridCol w:w="422"/>
      </w:tblGrid>
      <w:tr>
        <w:trPr/>
        <w:tc>
          <w:tcPr>
            <w:tcW w:w="34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r>
      <w:tr>
        <w:trPr/>
        <w:tc>
          <w:tcPr>
            <w:tcW w:w="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59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7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00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Employment Agreement, dated as of May 28, 2021, between Bonnie Anderson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7/29/2021</w:t>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Agreement and Plan of Merger between Decipher Biosciences, Inc., the Registrant, and the parties thereto, dated as of February 2, 2021</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5/10/2021</w:t>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Amended and Restated Offer Letter, dated August 15, 2021, between the Registrant and Rebecca Chambers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11/9/2021</w:t>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Change in Control and Severance Agreement, effective July 19, 2021 between Rebecca Chambers and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11/9/2021</w:t>
            </w:r>
          </w:p>
        </w:tc>
        <w:tc>
          <w:tcPr>
            <w:tcW w:w="1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cyt-12312021xex211.htm">
              <w:r>
                <w:rPr>
                  <w:rStyle w:val="InternetLink"/>
                  <w:rFonts w:ascii="Times New Roman;sans-serif" w:hAnsi="Times New Roman;sans-serif"/>
                  <w:b w:val="false"/>
                  <w:color w:val="0000FF"/>
                  <w:sz w:val="20"/>
                  <w:u w:val="single"/>
                </w:rPr>
                <w:t>List of Subsidiaries</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cyt-12312021xex231.htm">
              <w:r>
                <w:rPr>
                  <w:rStyle w:val="InternetLink"/>
                  <w:rFonts w:ascii="Times New Roman;sans-serif" w:hAnsi="Times New Roman;sans-serif"/>
                  <w:b w:val="false"/>
                  <w:color w:val="0000FF"/>
                  <w:sz w:val="20"/>
                  <w:u w:val="single"/>
                </w:rPr>
                <w:t>Consent of Independent Registered Public Accounting Firm</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9ddb02e06b745cb850d8331250b119a_148">
              <w:r>
                <w:rPr>
                  <w:rStyle w:val="InternetLink"/>
                  <w:rFonts w:ascii="Times New Roman;sans-serif" w:hAnsi="Times New Roman;sans-serif"/>
                  <w:b w:val="false"/>
                  <w:color w:val="0000FF"/>
                  <w:sz w:val="20"/>
                  <w:u w:val="single"/>
                </w:rPr>
                <w:t>Power of Attorney (see the signature page of this Annual Report on Form 10-K)</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cyt-12312021xex311.htm">
              <w:r>
                <w:rPr>
                  <w:rStyle w:val="InternetLink"/>
                  <w:rFonts w:ascii="Times New Roman;sans-serif" w:hAnsi="Times New Roman;sans-serif"/>
                  <w:b w:val="false"/>
                  <w:color w:val="0000FF"/>
                  <w:sz w:val="20"/>
                  <w:u w:val="single"/>
                </w:rPr>
                <w:t>Principal Executive Officer’s Certification Pursuant to Section 302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cyt-12312021xex312.htm">
              <w:r>
                <w:rPr>
                  <w:rStyle w:val="InternetLink"/>
                  <w:rFonts w:ascii="Times New Roman;sans-serif" w:hAnsi="Times New Roman;sans-serif"/>
                  <w:b w:val="false"/>
                  <w:color w:val="0000FF"/>
                  <w:sz w:val="20"/>
                  <w:u w:val="single"/>
                </w:rPr>
                <w:t>Principal Financial Officer’s Certification Pursuant to Section 302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cyt-12312021xex321.htm">
              <w:r>
                <w:rPr>
                  <w:rStyle w:val="InternetLink"/>
                  <w:rFonts w:ascii="Times New Roman;sans-serif" w:hAnsi="Times New Roman;sans-serif"/>
                  <w:b w:val="false"/>
                  <w:color w:val="0000FF"/>
                  <w:sz w:val="20"/>
                  <w:u w:val="single"/>
                </w:rPr>
                <w:t>Certification Pursuant to 18 U.S.C. § 1350 (Section 906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vcyt-12312021xex322.htm">
              <w:r>
                <w:rPr>
                  <w:rStyle w:val="InternetLink"/>
                  <w:rFonts w:ascii="Times New Roman;sans-serif" w:hAnsi="Times New Roman;sans-serif"/>
                  <w:b w:val="false"/>
                  <w:color w:val="0000FF"/>
                  <w:sz w:val="20"/>
                  <w:u w:val="single"/>
                </w:rPr>
                <w:t>Certification Pursuant to 18 U.S.C. § 1350 (Section 906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101.CAL </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5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included in Exhibit 101)</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w:t>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860"/>
        <w:gridCol w:w="2764"/>
        <w:gridCol w:w="39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0" w:type="dxa"/>
            <w:tcBorders/>
            <w:shd w:fill="auto" w:val="clear"/>
            <w:vAlign w:val="center"/>
          </w:tcPr>
          <w:p>
            <w:pPr>
              <w:pStyle w:val="TableContents"/>
              <w:spacing w:before="0" w:after="283"/>
              <w:rPr>
                <w:sz w:val="4"/>
                <w:szCs w:val="4"/>
              </w:rPr>
            </w:pPr>
            <w:r>
              <w:rPr>
                <w:sz w:val="4"/>
                <w:szCs w:val="4"/>
              </w:rPr>
            </w:r>
          </w:p>
        </w:tc>
        <w:tc>
          <w:tcPr>
            <w:tcW w:w="2764" w:type="dxa"/>
            <w:tcBorders/>
            <w:shd w:fill="auto" w:val="clear"/>
            <w:vAlign w:val="center"/>
          </w:tcPr>
          <w:p>
            <w:pPr>
              <w:pStyle w:val="TableContents"/>
              <w:spacing w:before="0" w:after="283"/>
              <w:rPr>
                <w:sz w:val="4"/>
                <w:szCs w:val="4"/>
              </w:rPr>
            </w:pPr>
            <w:r>
              <w:rPr>
                <w:sz w:val="4"/>
                <w:szCs w:val="4"/>
              </w:rPr>
            </w:r>
          </w:p>
        </w:tc>
        <w:tc>
          <w:tcPr>
            <w:tcW w:w="39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6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or arrangement.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6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as amended, except to the extent that the registrant specifically incorporates it by reference.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16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 is requesting or has previously been granted confidential treatment with respect to certain portions of this Exhibit.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Copies of the above exhibits not contained herein are available to any stockholder, upon payment of a reasonable per page fee, upon written request to: Chief Financial Officer, Veracyte, Inc., 6000 Shoreline Court, Suite 300, South San Francisco, California 94080.</w:t>
      </w:r>
    </w:p>
    <w:p>
      <w:pPr>
        <w:pStyle w:val="TextBody"/>
        <w:spacing w:before="0" w:after="0"/>
        <w:jc w:val="both"/>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(c)Financial Statement Schedules</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Item 15(a) 2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0"/>
        <w:rPr/>
      </w:pPr>
      <w:hyperlink w:anchor="ic9ddb02e06b745cb850d8331250b119a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589" w:type="dxa"/>
        <w:jc w:val="left"/>
        <w:tblInd w:w="0" w:type="dxa"/>
        <w:tblCellMar>
          <w:top w:w="28" w:type="dxa"/>
          <w:left w:w="28" w:type="dxa"/>
          <w:bottom w:w="28" w:type="dxa"/>
          <w:right w:w="28" w:type="dxa"/>
        </w:tblCellMar>
      </w:tblPr>
      <w:tblGrid>
        <w:gridCol w:w="124"/>
        <w:gridCol w:w="109"/>
        <w:gridCol w:w="109"/>
        <w:gridCol w:w="109"/>
        <w:gridCol w:w="109"/>
        <w:gridCol w:w="109"/>
        <w:gridCol w:w="257"/>
        <w:gridCol w:w="257"/>
        <w:gridCol w:w="257"/>
        <w:gridCol w:w="918"/>
        <w:gridCol w:w="918"/>
        <w:gridCol w:w="13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20"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 that each person whose signature appears below constitutes and appoints Marc Stapley and Rebecca Chambers,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on the dates and the capacities indicated.</w:t>
      </w:r>
    </w:p>
    <w:p>
      <w:pPr>
        <w:pStyle w:val="TextBody"/>
        <w:spacing w:before="0" w:after="0"/>
        <w:ind w:left="0" w:right="0" w:firstLine="495"/>
        <w:rPr/>
      </w:pPr>
      <w:r>
        <w:rPr/>
      </w:r>
    </w:p>
    <w:tbl>
      <w:tblPr>
        <w:tblW w:w="10104" w:type="dxa"/>
        <w:jc w:val="left"/>
        <w:tblInd w:w="0" w:type="dxa"/>
        <w:tblCellMar>
          <w:top w:w="28" w:type="dxa"/>
          <w:left w:w="28" w:type="dxa"/>
          <w:bottom w:w="28" w:type="dxa"/>
          <w:right w:w="28" w:type="dxa"/>
        </w:tblCellMar>
      </w:tblPr>
      <w:tblGrid>
        <w:gridCol w:w="1122"/>
        <w:gridCol w:w="986"/>
        <w:gridCol w:w="997"/>
        <w:gridCol w:w="109"/>
        <w:gridCol w:w="109"/>
        <w:gridCol w:w="109"/>
        <w:gridCol w:w="1563"/>
        <w:gridCol w:w="1563"/>
        <w:gridCol w:w="1584"/>
        <w:gridCol w:w="109"/>
        <w:gridCol w:w="109"/>
        <w:gridCol w:w="109"/>
        <w:gridCol w:w="477"/>
        <w:gridCol w:w="477"/>
        <w:gridCol w:w="681"/>
      </w:tblGrid>
      <w:tr>
        <w:trPr/>
        <w:tc>
          <w:tcPr>
            <w:tcW w:w="1122"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BONNIE H. ANDERSON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Chairwoman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Bonnie H. Anderson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 ALLEY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Controller (Principal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 Alley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L. BISHOP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L. Bishop</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MUNA BHANJI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Muna Bhanji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KARIN EASTHAM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S. EPSTEIN, M.D., 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S. Epstein, M.D., M.S.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KEVIN K. GORDON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Kevin K. Gordon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JENS HOLSTEIN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EVAN JONES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List of Subsidiaries</w:t>
      </w:r>
    </w:p>
    <w:p>
      <w:pPr>
        <w:pStyle w:val="TextBody"/>
        <w:spacing w:before="0" w:after="0"/>
        <w:jc w:val="center"/>
        <w:rPr/>
      </w:pPr>
      <w:r>
        <w:rPr/>
      </w:r>
    </w:p>
    <w:tbl>
      <w:tblPr>
        <w:tblW w:w="5414" w:type="dxa"/>
        <w:jc w:val="center"/>
        <w:tblInd w:w="0" w:type="dxa"/>
        <w:tblCellMar>
          <w:top w:w="28" w:type="dxa"/>
          <w:left w:w="28" w:type="dxa"/>
          <w:bottom w:w="28" w:type="dxa"/>
          <w:right w:w="28" w:type="dxa"/>
        </w:tblCellMar>
      </w:tblPr>
      <w:tblGrid>
        <w:gridCol w:w="1011"/>
        <w:gridCol w:w="885"/>
        <w:gridCol w:w="894"/>
        <w:gridCol w:w="767"/>
        <w:gridCol w:w="767"/>
        <w:gridCol w:w="1090"/>
      </w:tblGrid>
      <w:tr>
        <w:trPr/>
        <w:tc>
          <w:tcPr>
            <w:tcW w:w="101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Legal Entity Name</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2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International Corp.</w:t>
            </w:r>
          </w:p>
        </w:tc>
        <w:tc>
          <w:tcPr>
            <w:tcW w:w="2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Global, B.V.</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Decipher Biosciences, Inc.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Decipher Corp.</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Delight Merger Sub II, LLC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SAS</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HalioDx Inc.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spacing w:before="0" w:after="16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 </w:t>
      </w:r>
    </w:p>
    <w:p>
      <w:pPr>
        <w:pStyle w:val="TextBody"/>
        <w:spacing w:before="0" w:after="0"/>
        <w:jc w:val="right"/>
        <w:rPr/>
      </w:pPr>
      <w:r>
        <w:rPr/>
      </w:r>
    </w:p>
    <w:p>
      <w:pPr>
        <w:pStyle w:val="TextBody"/>
        <w:spacing w:before="0" w:after="0"/>
        <w:rPr/>
      </w:pPr>
      <w:r>
        <w:rPr/>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spacing w:lineRule="auto" w:line="276"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(1)Registration Statements (Forms S-8 Nos. 333-191992, 333-203097, 333-210185, 333-216388, 333-223292, 333-229848, 333-236630 and 333-253363) pertaining to the 2008 Stock Plan and 2013 Stock Incentive Plan of Veracyte, Inc.,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(2)Registration Statements (Forms S-8 Nos. 333-205206 and 333-240214) pertaining to the Employee Stock Purchase Plan and Amended and Restated Employee Stock Purchase Plan of Veracyte, Inc., and</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(3)Registration Statement (Form S-3 No. 333-252681) of Veracyte, Inc.;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28, 2022, with respect to the consolidated financial statements of Veracyte, Inc. and the effectiveness of internal control over financial reporting of Veracyte, Inc. included in this Annual Report (Form 10-K) of Veracyte, Inc. for the year ended December 31, 2021.</w:t>
      </w:r>
    </w:p>
    <w:p>
      <w:pPr>
        <w:pStyle w:val="TextBody"/>
        <w:spacing w:before="0" w:after="0"/>
        <w:jc w:val="both"/>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Redwood City, California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OFFICER’S 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Marc Stapley, certify that: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Veracyte, Inc.;</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spacing w:lineRule="auto" w:line="288" w:before="0" w:after="0"/>
        <w:ind w:left="0" w:right="0" w:firstLine="720"/>
        <w:jc w:val="center"/>
        <w:rPr>
          <w:color w:val="000000"/>
        </w:rPr>
      </w:pPr>
      <w:r>
        <w:rPr>
          <w:color w:val="000000"/>
        </w:rPr>
        <w:t> </w:t>
      </w:r>
    </w:p>
    <w:tbl>
      <w:tblPr>
        <w:tblW w:w="5337" w:type="dxa"/>
        <w:jc w:val="left"/>
        <w:tblInd w:w="0" w:type="dxa"/>
        <w:tblCellMar>
          <w:top w:w="28" w:type="dxa"/>
          <w:left w:w="28" w:type="dxa"/>
          <w:bottom w:w="28" w:type="dxa"/>
          <w:right w:w="28" w:type="dxa"/>
        </w:tblCellMar>
      </w:tblPr>
      <w:tblGrid>
        <w:gridCol w:w="216"/>
        <w:gridCol w:w="191"/>
        <w:gridCol w:w="192"/>
        <w:gridCol w:w="529"/>
        <w:gridCol w:w="529"/>
        <w:gridCol w:w="531"/>
        <w:gridCol w:w="921"/>
        <w:gridCol w:w="921"/>
        <w:gridCol w:w="1307"/>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OFFICER’S 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Rebecca Chambers, certify that: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Veracyte, Inc.;</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spacing w:lineRule="auto" w:line="288" w:before="0" w:after="0"/>
        <w:jc w:val="center"/>
        <w:rPr>
          <w:color w:val="000000"/>
        </w:rPr>
      </w:pPr>
      <w:r>
        <w:rPr>
          <w:color w:val="000000"/>
        </w:rPr>
        <w:t> </w:t>
      </w:r>
    </w:p>
    <w:tbl>
      <w:tblPr>
        <w:tblW w:w="4708" w:type="dxa"/>
        <w:jc w:val="left"/>
        <w:tblInd w:w="0" w:type="dxa"/>
        <w:tblCellMar>
          <w:top w:w="28" w:type="dxa"/>
          <w:left w:w="28" w:type="dxa"/>
          <w:bottom w:w="28" w:type="dxa"/>
          <w:right w:w="28" w:type="dxa"/>
        </w:tblCellMar>
      </w:tblPr>
      <w:tblGrid>
        <w:gridCol w:w="216"/>
        <w:gridCol w:w="191"/>
        <w:gridCol w:w="192"/>
        <w:gridCol w:w="529"/>
        <w:gridCol w:w="529"/>
        <w:gridCol w:w="531"/>
        <w:gridCol w:w="737"/>
        <w:gridCol w:w="737"/>
        <w:gridCol w:w="1046"/>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 </w:t>
      </w:r>
    </w:p>
    <w:p>
      <w:pPr>
        <w:pStyle w:val="TextBody"/>
        <w:spacing w:lineRule="auto" w:line="288" w:before="0" w:after="0"/>
        <w:jc w:val="center"/>
        <w:rPr/>
      </w:pPr>
      <w:r>
        <w:rPr>
          <w:rFonts w:ascii="Times New Roman;sans-serif" w:hAnsi="Times New Roman;sans-serif"/>
          <w:b/>
          <w:color w:val="000000"/>
          <w:sz w:val="20"/>
        </w:rPr>
        <w:t>CERTIFICATION PURSUANT TO</w:t>
      </w:r>
      <w:r>
        <w:rPr>
          <w:rFonts w:ascii="Times New Roman;sans-serif" w:hAnsi="Times New Roman;sans-serif"/>
          <w:b w:val="false"/>
          <w:color w:val="000000"/>
          <w:sz w:val="20"/>
        </w:rPr>
        <w:br/>
      </w:r>
      <w:r>
        <w:rPr>
          <w:rFonts w:ascii="Times New Roman;sans-serif" w:hAnsi="Times New Roman;sans-serif"/>
          <w:b/>
          <w:color w:val="000000"/>
          <w:sz w:val="20"/>
        </w:rPr>
        <w:t>18 U.S.C. SECTION 1350,</w:t>
      </w:r>
      <w:r>
        <w:rPr>
          <w:rFonts w:ascii="Times New Roman;sans-serif" w:hAnsi="Times New Roman;sans-serif"/>
          <w:b w:val="false"/>
          <w:color w:val="000000"/>
          <w:sz w:val="20"/>
        </w:rPr>
        <w:br/>
      </w:r>
      <w:r>
        <w:rPr>
          <w:rFonts w:ascii="Times New Roman;sans-serif" w:hAnsi="Times New Roman;sans-serif"/>
          <w:b/>
          <w:color w:val="000000"/>
          <w:sz w:val="20"/>
        </w:rPr>
        <w:t>AS ADOPTED PURSUANT TO</w:t>
      </w:r>
      <w:r>
        <w:rPr>
          <w:rFonts w:ascii="Times New Roman;sans-serif" w:hAnsi="Times New Roman;sans-serif"/>
          <w:b w:val="false"/>
          <w:color w:val="000000"/>
          <w:sz w:val="20"/>
        </w:rPr>
        <w:br/>
      </w:r>
      <w:r>
        <w:rPr>
          <w:rFonts w:ascii="Times New Roman;sans-serif" w:hAnsi="Times New Roman;sans-serif"/>
          <w:b/>
          <w:color w:val="000000"/>
          <w:sz w:val="20"/>
        </w:rPr>
        <w:t>SECTION 906 OF THE SARBANES-OXLEY ACT OF 2002 </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In connection with the annual report of Veracyte, Inc. (the "Company") on Form 10-K for the year ended December 31,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jc w:val="center"/>
        <w:rPr/>
      </w:pPr>
      <w:r>
        <w:rPr/>
      </w:r>
    </w:p>
    <w:tbl>
      <w:tblPr>
        <w:tblW w:w="5337" w:type="dxa"/>
        <w:jc w:val="center"/>
        <w:tblInd w:w="0" w:type="dxa"/>
        <w:tblCellMar>
          <w:top w:w="28" w:type="dxa"/>
          <w:left w:w="28" w:type="dxa"/>
          <w:bottom w:w="28" w:type="dxa"/>
          <w:right w:w="28" w:type="dxa"/>
        </w:tblCellMar>
      </w:tblPr>
      <w:tblGrid>
        <w:gridCol w:w="216"/>
        <w:gridCol w:w="191"/>
        <w:gridCol w:w="192"/>
        <w:gridCol w:w="529"/>
        <w:gridCol w:w="529"/>
        <w:gridCol w:w="531"/>
        <w:gridCol w:w="921"/>
        <w:gridCol w:w="921"/>
        <w:gridCol w:w="1307"/>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jc w:val="right"/>
        <w:rPr/>
      </w:pPr>
      <w:r>
        <w:rPr/>
      </w:r>
    </w:p>
    <w:p>
      <w:pPr>
        <w:pStyle w:val="TextBody"/>
        <w:spacing w:lineRule="auto" w:line="288" w:before="0" w:after="0"/>
        <w:jc w:val="center"/>
        <w:rPr/>
      </w:pPr>
      <w:r>
        <w:rPr>
          <w:rFonts w:ascii="Times New Roman;sans-serif" w:hAnsi="Times New Roman;sans-serif"/>
          <w:b/>
          <w:color w:val="000000"/>
          <w:sz w:val="20"/>
        </w:rPr>
        <w:t>CERTIFICATION PURSUANT TO</w:t>
      </w:r>
      <w:r>
        <w:rPr>
          <w:rFonts w:ascii="Times New Roman;sans-serif" w:hAnsi="Times New Roman;sans-serif"/>
          <w:b w:val="false"/>
          <w:color w:val="000000"/>
          <w:sz w:val="20"/>
        </w:rPr>
        <w:br/>
      </w:r>
      <w:r>
        <w:rPr>
          <w:rFonts w:ascii="Times New Roman;sans-serif" w:hAnsi="Times New Roman;sans-serif"/>
          <w:b/>
          <w:color w:val="000000"/>
          <w:sz w:val="20"/>
        </w:rPr>
        <w:t>18 U.S.C. SECTION 1350,</w:t>
      </w:r>
      <w:r>
        <w:rPr>
          <w:rFonts w:ascii="Times New Roman;sans-serif" w:hAnsi="Times New Roman;sans-serif"/>
          <w:b w:val="false"/>
          <w:color w:val="000000"/>
          <w:sz w:val="20"/>
        </w:rPr>
        <w:br/>
      </w:r>
      <w:r>
        <w:rPr>
          <w:rFonts w:ascii="Times New Roman;sans-serif" w:hAnsi="Times New Roman;sans-serif"/>
          <w:b/>
          <w:color w:val="000000"/>
          <w:sz w:val="20"/>
        </w:rPr>
        <w:t>AS ADOPTED PURSUANT TO</w:t>
      </w:r>
      <w:r>
        <w:rPr>
          <w:rFonts w:ascii="Times New Roman;sans-serif" w:hAnsi="Times New Roman;sans-serif"/>
          <w:b w:val="false"/>
          <w:color w:val="000000"/>
          <w:sz w:val="20"/>
        </w:rPr>
        <w:br/>
      </w:r>
      <w:r>
        <w:rPr>
          <w:rFonts w:ascii="Times New Roman;sans-serif" w:hAnsi="Times New Roman;sans-serif"/>
          <w:b/>
          <w:color w:val="000000"/>
          <w:sz w:val="20"/>
        </w:rPr>
        <w:t>SECTION 906 OF THE SARBANES-OXLEY ACT OF 2002 </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In connection with the annual report of Veracyte, Inc. (the "Company") on Form 10-K for the year ended December 31,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jc w:val="center"/>
        <w:rPr/>
      </w:pPr>
      <w:r>
        <w:rPr/>
      </w:r>
    </w:p>
    <w:tbl>
      <w:tblPr>
        <w:tblW w:w="4708" w:type="dxa"/>
        <w:jc w:val="center"/>
        <w:tblInd w:w="0" w:type="dxa"/>
        <w:tblCellMar>
          <w:top w:w="28" w:type="dxa"/>
          <w:left w:w="28" w:type="dxa"/>
          <w:bottom w:w="28" w:type="dxa"/>
          <w:right w:w="28" w:type="dxa"/>
        </w:tblCellMar>
      </w:tblPr>
      <w:tblGrid>
        <w:gridCol w:w="216"/>
        <w:gridCol w:w="191"/>
        <w:gridCol w:w="192"/>
        <w:gridCol w:w="529"/>
        <w:gridCol w:w="529"/>
        <w:gridCol w:w="531"/>
        <w:gridCol w:w="737"/>
        <w:gridCol w:w="737"/>
        <w:gridCol w:w="1046"/>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384101/000110465913082910/a13-23874_1ex3d1.htm" TargetMode="External"/><Relationship Id="rId5" Type="http://schemas.openxmlformats.org/officeDocument/2006/relationships/hyperlink" Target="https://www.sec.gov/Archives/edgar/data/1384101/000143774921001142/ex_222251.htm" TargetMode="External"/><Relationship Id="rId6" Type="http://schemas.openxmlformats.org/officeDocument/2006/relationships/hyperlink" Target="http://www.sec.gov/Archives/edgar/data/1384101/000104746913009631/a2216954zex-4_1.htm" TargetMode="External"/><Relationship Id="rId7" Type="http://schemas.openxmlformats.org/officeDocument/2006/relationships/hyperlink" Target="https://www.sec.gov/Archives/edgar/data/1384101/000138410121000012/vcyt-12312020xex42.htm" TargetMode="External"/><Relationship Id="rId8" Type="http://schemas.openxmlformats.org/officeDocument/2006/relationships/hyperlink" Target="http://www.sec.gov/Archives/edgar/data/1384101/000104746913009532/a2216908zex-10_1.htm" TargetMode="External"/><Relationship Id="rId9" Type="http://schemas.openxmlformats.org/officeDocument/2006/relationships/hyperlink" Target="http://www.sec.gov/Archives/edgar/data/1384101/000104746913009208/a2216719zex-10_2.htm" TargetMode="External"/><Relationship Id="rId10" Type="http://schemas.openxmlformats.org/officeDocument/2006/relationships/hyperlink" Target="http://www.sec.gov/Archives/edgar/data/1384101/000138410118000006/vcyt-12312017xex103.htm" TargetMode="External"/><Relationship Id="rId11" Type="http://schemas.openxmlformats.org/officeDocument/2006/relationships/hyperlink" Target="https://www.sec.gov/Archives/edgar/data/1384101/000143774920022261/ex_207290.htm" TargetMode="External"/><Relationship Id="rId12" Type="http://schemas.openxmlformats.org/officeDocument/2006/relationships/hyperlink" Target="https://www.sec.gov/Archives/edgar/data/1384101/000143774920022261/ex_207336.htm" TargetMode="External"/><Relationship Id="rId13" Type="http://schemas.openxmlformats.org/officeDocument/2006/relationships/hyperlink" Target="https://www.sec.gov/Archives/edgar/data/1384101/000143774920016062/ex_194729.htm" TargetMode="External"/><Relationship Id="rId14" Type="http://schemas.openxmlformats.org/officeDocument/2006/relationships/hyperlink" Target="http://www.sec.gov/Archives/edgar/data/1384101/000104746913009208/a2216719zex-10_6.htm" TargetMode="External"/><Relationship Id="rId15" Type="http://schemas.openxmlformats.org/officeDocument/2006/relationships/hyperlink" Target="http://www.sec.gov/Archives/edgar/data/1384101/000138410117000068/vcyt-09302017xex101.htm" TargetMode="External"/><Relationship Id="rId16" Type="http://schemas.openxmlformats.org/officeDocument/2006/relationships/hyperlink" Target="http://www.sec.gov/Archives/edgar/data/1384101/000104746914002734/a2219000zex-10_7.htm" TargetMode="External"/><Relationship Id="rId17" Type="http://schemas.openxmlformats.org/officeDocument/2006/relationships/hyperlink" Target="http://www.sec.gov/Archives/edgar/data/1384101/000110465915059626/a15-12130_1ex10d2.htm" TargetMode="External"/><Relationship Id="rId18" Type="http://schemas.openxmlformats.org/officeDocument/2006/relationships/hyperlink" Target="http://www.sec.gov/Archives/edgar/data/1384101/000138410118000006/vcty-12312017xex109.htm" TargetMode="External"/><Relationship Id="rId19" Type="http://schemas.openxmlformats.org/officeDocument/2006/relationships/hyperlink" Target="http://www.sec.gov/Archives/edgar/data/1384101/000138410117000008/vcyt-12312016xex1010.htm" TargetMode="External"/><Relationship Id="rId20" Type="http://schemas.openxmlformats.org/officeDocument/2006/relationships/hyperlink" Target="https://www.sec.gov/Archives/edgar/data/1384101/000138410120000015/vcyt-12312019xex1015.htm" TargetMode="External"/><Relationship Id="rId21" Type="http://schemas.openxmlformats.org/officeDocument/2006/relationships/hyperlink" Target="http://www.sec.gov/Archives/edgar/data/1384101/000138410119000046/vcyt-03312019xex101.htm" TargetMode="External"/><Relationship Id="rId22" Type="http://schemas.openxmlformats.org/officeDocument/2006/relationships/hyperlink" Target="http://www.sec.gov/Archives/edgar/data/1384101/000138410118000006/vcyt-12312017xex1019.htm" TargetMode="External"/><Relationship Id="rId23" Type="http://schemas.openxmlformats.org/officeDocument/2006/relationships/hyperlink" Target="http://www.sec.gov/Archives/edgar/data/1384101/000138410118000026/vcyt-03312018xex10.htm" TargetMode="External"/><Relationship Id="rId24" Type="http://schemas.openxmlformats.org/officeDocument/2006/relationships/hyperlink" Target="http://www.sec.gov/Archives/edgar/data/1384101/000138410119000100/vcyt-06302019xex102.htm" TargetMode="External"/><Relationship Id="rId25" Type="http://schemas.openxmlformats.org/officeDocument/2006/relationships/hyperlink" Target="http://www.sec.gov/Archives/edgar/data/1384101/000138410119000100/vcyt-06302019xex104.htm" TargetMode="External"/><Relationship Id="rId26" Type="http://schemas.openxmlformats.org/officeDocument/2006/relationships/hyperlink" Target="http://www.sec.gov/Archives/edgar/data/1384101/000138410119000010/vcyt-12312018xex1023.htm" TargetMode="External"/><Relationship Id="rId27" Type="http://schemas.openxmlformats.org/officeDocument/2006/relationships/hyperlink" Target="http://www.sec.gov/Archives/edgar/data/1384101/000138410119000146/vcyt-12320198xkxex21.htm" TargetMode="External"/><Relationship Id="rId28" Type="http://schemas.openxmlformats.org/officeDocument/2006/relationships/hyperlink" Target="http://www.sec.gov/Archives/edgar/data/1384101/000138410119000146/vcyt-12320198xkxex41.htm" TargetMode="External"/><Relationship Id="rId29" Type="http://schemas.openxmlformats.org/officeDocument/2006/relationships/hyperlink" Target="https://www.sec.gov/Archives/edgar/data/1384101/000138410121000139/ex104-haliodxxmouspa.htm" TargetMode="External"/><Relationship Id="rId30" Type="http://schemas.openxmlformats.org/officeDocument/2006/relationships/hyperlink" Target="https://www.sec.gov/Archives/edgar/data/1384101/000138410121000139/ex105haliodxspa.htm" TargetMode="External"/><Relationship Id="rId31" Type="http://schemas.openxmlformats.org/officeDocument/2006/relationships/hyperlink" Target="https://www.sec.gov/Archives/edgar/data/1384101/000138410121000139/ex102-stapleyceoemployment.htm" TargetMode="External"/><Relationship Id="rId32" Type="http://schemas.openxmlformats.org/officeDocument/2006/relationships/hyperlink" Target="https://www.sec.gov/Archives/edgar/data/1384101/000138410121000139/ex103-stapleyceocicseveran.htm" TargetMode="External"/><Relationship Id="rId33" Type="http://schemas.openxmlformats.org/officeDocument/2006/relationships/hyperlink" Target="https://www.sec.gov/Archives/edgar/data/1384101/000138410121000139/ex101-andersonexecutivecha.htm" TargetMode="External"/><Relationship Id="rId34" Type="http://schemas.openxmlformats.org/officeDocument/2006/relationships/hyperlink" Target="https://www.sec.gov/Archives/edgar/data/1384101/000138410121000082/ex101deciphermergeragreeme.htm" TargetMode="External"/><Relationship Id="rId35" Type="http://schemas.openxmlformats.org/officeDocument/2006/relationships/hyperlink" Target="https://www.sec.gov/Archives/edgar/data/1384101/000138410121000174/ex101-chambersrebeccaoffer.htm" TargetMode="External"/><Relationship Id="rId36" Type="http://schemas.openxmlformats.org/officeDocument/2006/relationships/hyperlink" Target="https://www.sec.gov/Archives/edgar/data/1384101/000138410121000174/ex102-chambersrebeccachang.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87058</Words>
  <CharactersWithSpaces>570897</CharactersWithSpaces>
  <Paragraphs>4562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