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80" w:firstLine="439"/>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659130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5" w:lineRule="exact"/>
        <w:rPr>
          <w:sz w:val="20"/>
          <w:szCs w:val="20"/>
          <w:color w:val="auto"/>
        </w:rPr>
      </w:pPr>
    </w:p>
    <w:p>
      <w:pPr>
        <w:ind w:right="280" w:firstLine="3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0"/>
          <w:szCs w:val="20"/>
          <w:color w:val="auto"/>
        </w:rPr>
      </w:pPr>
    </w:p>
    <w:p>
      <w:pPr>
        <w:ind w:left="360" w:right="2280"/>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May 1, 2023, there were 72,417,156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8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0"/>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2023 and December 31,</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2022</w:t>
            </w: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60" w:type="dxa"/>
            <w:vAlign w:val="bottom"/>
            <w:tcBorders>
              <w:top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2023 and 2022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March 31, 2023 and 2022</w:t>
            </w:r>
          </w:p>
        </w:tc>
        <w:tc>
          <w:tcPr>
            <w:tcW w:w="290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March 31, 2023 and 2022</w:t>
            </w:r>
          </w:p>
        </w:tc>
        <w:tc>
          <w:tcPr>
            <w:tcW w:w="2880" w:type="dxa"/>
            <w:vAlign w:val="bottom"/>
            <w:tcBorders>
              <w:top w:val="single" w:sz="8" w:color="0000FF"/>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2023 and 2022</w:t>
            </w:r>
          </w:p>
        </w:tc>
        <w:tc>
          <w:tcPr>
            <w:tcW w:w="3100" w:type="dxa"/>
            <w:vAlign w:val="bottom"/>
            <w:tcBorders>
              <w:top w:val="single" w:sz="8" w:color="0000FF"/>
            </w:tcBorders>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9"/>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8"/>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6"/>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58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58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4600" w:type="dxa"/>
            <w:vAlign w:val="bottom"/>
            <w:gridSpan w:val="13"/>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1980" w:type="dxa"/>
            <w:vAlign w:val="bottom"/>
            <w:gridSpan w:val="5"/>
          </w:tcPr>
          <w:p>
            <w:pPr>
              <w:spacing w:after="0"/>
              <w:rPr>
                <w:sz w:val="21"/>
                <w:szCs w:val="21"/>
                <w:color w:val="auto"/>
              </w:rPr>
            </w:pP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2"/>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6"/>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2"/>
          </w:tcPr>
          <w:p>
            <w:pPr>
              <w:spacing w:after="0"/>
              <w:rPr>
                <w:sz w:val="21"/>
                <w:szCs w:val="21"/>
                <w:color w:val="auto"/>
              </w:rPr>
            </w:pPr>
          </w:p>
        </w:tc>
        <w:tc>
          <w:tcPr>
            <w:tcW w:w="558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7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83"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98" w:lineRule="exact"/>
        <w:rPr>
          <w:rFonts w:ascii="Times New Roman" w:cs="Times New Roman" w:eastAsia="Times New Roman" w:hAnsi="Times New Roman"/>
          <w:sz w:val="18"/>
          <w:szCs w:val="18"/>
          <w:color w:val="auto"/>
        </w:rPr>
      </w:pPr>
    </w:p>
    <w:p>
      <w:pPr>
        <w:ind w:left="640" w:right="60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71" w:lineRule="exact"/>
        <w:rPr>
          <w:rFonts w:ascii="Times New Roman" w:cs="Times New Roman" w:eastAsia="Times New Roman" w:hAnsi="Times New Roman"/>
          <w:sz w:val="18"/>
          <w:szCs w:val="18"/>
          <w:color w:val="auto"/>
        </w:rPr>
      </w:pPr>
    </w:p>
    <w:p>
      <w:pPr>
        <w:ind w:left="640" w:right="5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rising interest rates and foreign exchange fluctuations, turmoil in the global banking and finance system, as well as the conflict in Ukraine, energy and supply chain disruptions, and market volatility resulting from the above, on our business;</w:t>
      </w:r>
    </w:p>
    <w:p>
      <w:pPr>
        <w:spacing w:after="0" w:line="4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U.S. and global economy;</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from certain single source suppliers;</w:t>
      </w:r>
    </w:p>
    <w:p>
      <w:pPr>
        <w:spacing w:after="0" w:line="85" w:lineRule="exact"/>
        <w:rPr>
          <w:rFonts w:ascii="Times New Roman" w:cs="Times New Roman" w:eastAsia="Times New Roman" w:hAnsi="Times New Roman"/>
          <w:sz w:val="18"/>
          <w:szCs w:val="18"/>
          <w:color w:val="auto"/>
        </w:rPr>
      </w:pPr>
    </w:p>
    <w:p>
      <w:pPr>
        <w:ind w:left="640" w:right="8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HalioDx, Decipher Biosciences, and the assets acquired from NanoString Technologies, Inc. into our business;</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the nCounter Analysis System successfully and run our tests on this platform worldwide;</w:t>
      </w:r>
    </w:p>
    <w:p>
      <w:pPr>
        <w:spacing w:after="0" w:line="8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biopharma partnerships and agreements;</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estimates regarding our capital requirements and profitability;</w:t>
      </w:r>
    </w:p>
    <w:p>
      <w:pPr>
        <w:spacing w:after="0" w:line="12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obtain and maintain Medicare and commercial payer coverage for each of our tests;</w:t>
      </w:r>
    </w:p>
    <w:p>
      <w:pPr>
        <w:spacing w:after="0" w:line="60" w:lineRule="exact"/>
        <w:rPr>
          <w:rFonts w:ascii="Arial" w:cs="Arial" w:eastAsia="Arial" w:hAnsi="Arial"/>
          <w:sz w:val="21"/>
          <w:szCs w:val="21"/>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8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351"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154,247</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174,866</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695,891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37,774</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81,222</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240" w:type="dxa"/>
            <w:vAlign w:val="bottom"/>
          </w:tcPr>
          <w:p>
            <w:pPr>
              <w:spacing w:after="0"/>
              <w:rPr>
                <w:sz w:val="13"/>
                <w:szCs w:val="13"/>
                <w:color w:val="auto"/>
              </w:rPr>
            </w:pP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31, 2023 and December 31, 2022</w:t>
            </w:r>
          </w:p>
        </w:tc>
        <w:tc>
          <w:tcPr>
            <w:tcW w:w="2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$0.001 par value; 125,000,000 shares authorized, 72,383,140 and 71,959,454 shares issued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2023 and December 31, 2022,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1,081,259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1,157,119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4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72,396</w:t>
            </w:r>
          </w:p>
        </w:tc>
        <w:tc>
          <w:tcPr>
            <w:tcW w:w="120" w:type="dxa"/>
            <w:vAlign w:val="bottom"/>
          </w:tcPr>
          <w:p>
            <w:pPr>
              <w:spacing w:after="0"/>
              <w:rPr>
                <w:sz w:val="18"/>
                <w:szCs w:val="18"/>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55,980</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67,783</w:t>
            </w: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w:t>
            </w: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w:t>
            </w: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0" w:type="dxa"/>
            <w:vAlign w:val="bottom"/>
          </w:tcPr>
          <w:p>
            <w:pPr>
              <w:spacing w:after="0"/>
              <w:rPr>
                <w:sz w:val="1"/>
                <w:szCs w:val="1"/>
                <w:color w:val="auto"/>
              </w:rPr>
            </w:pPr>
          </w:p>
        </w:tc>
      </w:tr>
      <w:tr>
        <w:trPr>
          <w:trHeight w:val="215"/>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0" w:type="dxa"/>
            <w:vAlign w:val="bottom"/>
          </w:tcPr>
          <w:p>
            <w:pPr>
              <w:spacing w:after="0"/>
              <w:rPr>
                <w:sz w:val="1"/>
                <w:szCs w:val="1"/>
                <w:color w:val="auto"/>
              </w:rPr>
            </w:pPr>
          </w:p>
        </w:tc>
      </w:tr>
      <w:tr>
        <w:trPr>
          <w:trHeight w:val="204"/>
        </w:trPr>
        <w:tc>
          <w:tcPr>
            <w:tcW w:w="4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83,031</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(15,248)</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34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Shares used to compute net loss per common share, basic and</w:t>
            </w:r>
          </w:p>
        </w:tc>
        <w:tc>
          <w:tcPr>
            <w:tcW w:w="36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72,175,457</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71,229,672</w:t>
            </w:r>
          </w:p>
        </w:tc>
        <w:tc>
          <w:tcPr>
            <w:tcW w:w="0" w:type="dxa"/>
            <w:vAlign w:val="bottom"/>
          </w:tcPr>
          <w:p>
            <w:pPr>
              <w:spacing w:after="0"/>
              <w:rPr>
                <w:sz w:val="1"/>
                <w:szCs w:val="1"/>
                <w:color w:val="auto"/>
              </w:rPr>
            </w:pPr>
          </w:p>
        </w:tc>
      </w:tr>
      <w:tr>
        <w:trPr>
          <w:trHeight w:val="206"/>
        </w:trPr>
        <w:tc>
          <w:tcPr>
            <w:tcW w:w="4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7"/>
        </w:trPr>
        <w:tc>
          <w:tcPr>
            <w:tcW w:w="4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(8,091)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(14,461)</w:t>
            </w:r>
          </w:p>
        </w:tc>
      </w:tr>
      <w:tr>
        <w:trPr>
          <w:trHeight w:val="210"/>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5"/>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4,480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r>
      <w:tr>
        <w:trPr>
          <w:trHeight w:val="253"/>
        </w:trPr>
        <w:tc>
          <w:tcPr>
            <w:tcW w:w="43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231"/>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loss</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(3,611)</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(20,059)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71,959</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1,081,259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1,096,514</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Stock-based compensation expense (non-</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w:t>
            </w:r>
          </w:p>
        </w:tc>
        <w:tc>
          <w:tcPr>
            <w:tcW w:w="1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71,433</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1,477,418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1,085,190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on end-of-term debt obligation</w:t>
            </w:r>
          </w:p>
        </w:tc>
        <w:tc>
          <w:tcPr>
            <w:tcW w:w="2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long-term debt</w:t>
            </w:r>
          </w:p>
        </w:tc>
        <w:tc>
          <w:tcPr>
            <w:tcW w:w="2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154,996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173,946</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95"/>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154,247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empowers clinicians with the high-value insights they need to guide and assure patients at pivotal moments in the race to diagnose and treat cancer. Veracyte's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and Marseille, France.</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thyroid cancer (Afirma); prostate cancer (Decipher Prostate); breast cancer (Prosigna); interstitial lung diseases (Envisia); and bladder cancer (Decipher Bladder). The Company’s Percepta Nasal Swab test is being run in its CLIA lab in support of clinical studies and its tests for kidney cancer and lymphoma are in development, the latter as a companion diagnostic.</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Clinical Laboratory Improvement Amendments of 1988, or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 that runs on the nCounter Analysis System.</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2023, the condensed consolidated statements of operations for the three months ended March 31, 2023 and 2022, the condensed consolidated statements of comprehensive loss for the three months ended March 31, 2023 and 2022, the condensed consolidated statements of stockholders' equity for the three months ended March 31, 2023 and 2022, and the condensed consolidated statements of cash flows for the three months ended March 31, 2023 and 2022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2022 has been derived from audited financial statements. The results for the three months ended March 31, 2023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its estimates.</w:t>
      </w:r>
    </w:p>
    <w:p>
      <w:pPr>
        <w:spacing w:after="0" w:line="18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March 31, 2023, the Company has derived most of its revenue from the sale of Decipher and Afirma testing. To date, Decipher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March 31, 2023.</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5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31"/>
        </w:trPr>
        <w:tc>
          <w:tcPr>
            <w:tcW w:w="4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Company's short-term investments consist of U.S. treasury securities with maturities at the time of purchase that were between 90 days and one year. The Company classifies these investments as held-to-maturity debt securities, which are reported at amortized cost. The amortization of discounts or premiums from the purchase of the securities are recognized as a component of interest income in other income (loss), net in the condensed consolidated statements of operations. Investments are initially recorded net of an allowance for expected credit losses, if any, which are remeasured each period and any impairments are recognized as an expense. Unrealized gains and losses are not recognized in income. As of both March 31, 2023 and December 31, 2022, no allowances for expected credit losses had been recorded and there have been no impairment or credit losses on the Company's short term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$0.7 million included in long-term assets as of both March 31, 2023 and December 31, 2022,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products consist of the Prosigna breast cancer assay, the nCounter Analysis System and related diagnostic kits. Product revenue from diagnostic kits is generally recognized upon shipment. Product revenue from instruments 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3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Company enters into arrangements for biopharmaceutical research and development, commercialization, contract manufacturing and development, and testing services, which are classified under biopharmaceutical and other revenue.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w:t>
      </w:r>
    </w:p>
    <w:p>
      <w:pPr>
        <w:spacing w:after="0" w:line="1" w:lineRule="exact"/>
        <w:rPr>
          <w:sz w:val="20"/>
          <w:szCs w:val="20"/>
          <w:color w:val="auto"/>
        </w:rPr>
      </w:pPr>
    </w:p>
    <w:p>
      <w:pPr>
        <w:jc w:val="both"/>
        <w:ind w:firstLine="399"/>
        <w:spacing w:after="0" w:line="247"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$8.8 million at March 31, 2023 and $9.3 million at December 31, 2022. There was $2.2 million and $2.6 million of deferred revenue related to these agreements at March 31, 2023 and December 31, 2022, respectively. Revenue included in biopharmaceutical and other revenue for the three months ended March 31, 2023 and 2022 was as follows (in thousands of dollars):</w:t>
      </w:r>
    </w:p>
    <w:p>
      <w:pPr>
        <w:spacing w:after="0" w:line="245" w:lineRule="exact"/>
        <w:rPr>
          <w:sz w:val="20"/>
          <w:szCs w:val="20"/>
          <w:color w:val="auto"/>
        </w:rPr>
      </w:pPr>
    </w:p>
    <w:tbl>
      <w:tblPr>
        <w:tblLayout w:type="fixed"/>
        <w:tblInd w:w="21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7"/>
        </w:trPr>
        <w:tc>
          <w:tcPr>
            <w:tcW w:w="4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0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r>
      <w:tr>
        <w:trPr>
          <w:trHeight w:val="21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w:t>
            </w:r>
          </w:p>
        </w:tc>
      </w:tr>
      <w:tr>
        <w:trPr>
          <w:trHeight w:val="233"/>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Cost of product revenue consists primarily of costs of purchasing instruments and diagnostic kits from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 Company offers a defined benefit pension plan to certain non-U.S. employees of its Veracyte SAS subsidiary. As of both March 31, 2023 and December 31, 2022, the total pension obligation was $0.7 million and is included in other liabilities on the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adopted this guidance in 2023 and such adoption had no material impact on its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21" w:lineRule="exact"/>
        <w:rPr>
          <w:sz w:val="20"/>
          <w:szCs w:val="20"/>
          <w:color w:val="auto"/>
        </w:rPr>
      </w:pPr>
    </w:p>
    <w:tbl>
      <w:tblPr>
        <w:tblLayout w:type="fixed"/>
        <w:tblInd w:w="158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4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6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3,767,086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3,703,656</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33,998</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30,622</w:t>
            </w:r>
          </w:p>
        </w:tc>
      </w:tr>
      <w:tr>
        <w:trPr>
          <w:trHeight w:val="21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2,349,151</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1,559,540</w:t>
            </w: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stock equivalents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6,150,235</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5,293,818</w:t>
            </w:r>
          </w:p>
        </w:tc>
      </w:tr>
      <w:tr>
        <w:trPr>
          <w:trHeight w:val="20"/>
        </w:trPr>
        <w:tc>
          <w:tcPr>
            <w:tcW w:w="4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was $699.7 million and $695.9 million as of March 31, 2023 and December 31, 2022, respectively. The changes in the carrying amounts of goodwill during the three months ended March 31, 2023 were due to foreign currency translation. The Company has not recorded any impairment related to goodwill.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7,733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3,273</w:t>
            </w:r>
          </w:p>
        </w:tc>
        <w:tc>
          <w:tcPr>
            <w:tcW w:w="106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931</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nCounter Dx license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37,244</w:t>
            </w:r>
          </w:p>
        </w:tc>
        <w:tc>
          <w:tcPr>
            <w:tcW w:w="106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73,766</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2,557</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33,825</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3,458</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4,225</w:t>
            </w:r>
          </w:p>
        </w:tc>
        <w:tc>
          <w:tcPr>
            <w:tcW w:w="1060" w:type="dxa"/>
            <w:vAlign w:val="bottom"/>
            <w:tcBorders>
              <w:bottom w:val="single" w:sz="8" w:color="CCEEFF"/>
            </w:tcBorders>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167,566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57" w:lineRule="auto"/>
        <w:rPr>
          <w:sz w:val="20"/>
          <w:szCs w:val="20"/>
          <w:color w:val="auto"/>
        </w:rPr>
      </w:pPr>
      <w:r>
        <w:rPr>
          <w:rFonts w:ascii="Times New Roman" w:cs="Times New Roman" w:eastAsia="Times New Roman" w:hAnsi="Times New Roman"/>
          <w:sz w:val="18"/>
          <w:szCs w:val="18"/>
          <w:color w:val="auto"/>
        </w:rPr>
        <w:t>Amortization of the finite-lived intangible assets is recognized on a straight-line basis. Amortization expense of $5.3 million and $5.5 million was recognized for the three months ended March 31, 2023 and 2022, respectively.</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March 31, 2023 is as follows (in thousands of dollars):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16,037</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21,343</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20,215</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18,359</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17,752</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69,220</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162,926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As of March 31, 2023 and December 31, 2022, supplies and inventory consisted of $10.0 million and $10.2 million, respectively, of lab supplies and reagents consumed in the performance of testing services, and $3.3 million and $4.1 million, respectively, of inventory related to raw materials consumed in the contract manufacturing process, as well as finished and semi-finished components used in the assembly of diagnostic kits related to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30,637</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ind w:left="800" w:right="12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$42.3 million and $131.2 million as of March 31, 2023 and December 31, 2022, respectively, and are Level I assets as described above. The deposits for the leases, included in restricted cash, were $0.7 million as of both March 31, 2023 and December 31, 2022 and are a Level I assets as described above. There were no transfers between Levels 1, 2 or 3 for the three months ended March 31, 2023 and 2022.</w:t>
      </w:r>
    </w:p>
    <w:p>
      <w:pPr>
        <w:spacing w:after="0" w:line="170"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As of March 31, 2023 and December 31, 2022, this contingency was remeasured to $8.1 million and $8.6 million, respectively, with the corresponding changes included in general and administrative expense in the Company's condensed consolidated statements of operations. For the three months ended March 31, 2023, a reversal of expense of $0.5 million was recorded in general and administrative expense for the changes in carrying value and, for the three months ended March 31, 2022, no expense was recorded. As of March 31, 2023, the achievement of one of the milestones is forecasted to occur within the next 12 months. As a result, $3.3 million of the contingent consideration is included in short term liabilities at March 31, 2023.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contingent consideration. As of March 31, 2023 and December 31, 2022, the Company calculated the estimated fair value of the milestones using the following significant unobservable inputs: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8.3%</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80% - 100% (92%)</w:t>
            </w:r>
          </w:p>
        </w:tc>
        <w:tc>
          <w:tcPr>
            <w:tcW w:w="100" w:type="dxa"/>
            <w:vAlign w:val="bottom"/>
          </w:tcPr>
          <w:p>
            <w:pPr>
              <w:spacing w:after="0"/>
              <w:rPr>
                <w:sz w:val="18"/>
                <w:szCs w:val="18"/>
                <w:color w:val="auto"/>
              </w:rPr>
            </w:pPr>
          </w:p>
        </w:tc>
        <w:tc>
          <w:tcPr>
            <w:tcW w:w="186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80% - 100% (94%)</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Company's short-term investments consist of U.S. treasury securities with maturities at the time of purchase that were between 90 days and one year. The Company classifies these investments as held-to-maturity debt securities, which are reported at amortized cost, and are Level I assets as described above. As of March 31, 2023, the Company held no short-term investments and, as of December 31, 2022, short-term investments comprised U.S. treasury bills recorded at amortized cost of $24.6 million with a fair value of approximately $24.6 million. As of December 31, 2022, gross unrealized losses on short-term investments were insignificant. As part of its banking partner diversification efforts, the Company sold $40.0 million U.S. treasury bills with an amortized cost of $39.8 million for $39.8 million and realized a gross gain of $13 thousand during the three months ended March 31, 2023. No realized gains or losses on short-term investments were recognized in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terms and expansion options. The leases have a weighted average remaining lease term of 3.6 years as of March 31, 2023. The Company had deposits of $0.7 million included in long-term assets as of both March 31, 2023 and December 31, 2022 restricted from withdrawal and held by banks in the form of collateral for irrevocable standby letters of credit held as security for the leases.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2023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2023</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15,480</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13,785</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5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08"/>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bl>
    <w:p>
      <w:pPr>
        <w:spacing w:after="0" w:line="3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The total right-of-use assets and total financing lease liabilities for these financing leases were $0.2 million and $0.2 million, respectively, as of March 31, 2023, and are included in property, plant and equipment, net and other liabilities in the accompanying condensed consolidated balance sheets. As of December 31, 2022, the total right-of-use assets and total financing lease liabilities for these financing leases were $0.4 million and $0.4 million, respectively.</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third quarter of 2023 at which time the Company will record a lease liability and a corresponding ROU asset. The initial term of the lease will be twelve years with annual rent of approximately $1.3 million, which is subject to change based on final construction.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7,054,474</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5,881,906</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5,322,628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5,591,977</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1,242,954</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1,335,353</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13,620,056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12,809,236</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07"/>
        </w:trPr>
        <w:tc>
          <w:tcPr>
            <w:tcW w:w="43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r>
      <w:tr>
        <w:trPr>
          <w:trHeight w:val="20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French research tax credits</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4300" w:type="dxa"/>
            <w:vAlign w:val="bottom"/>
          </w:tcPr>
          <w:p>
            <w:pPr>
              <w:spacing w:after="0"/>
              <w:rPr>
                <w:sz w:val="17"/>
                <w:szCs w:val="17"/>
                <w:color w:val="auto"/>
              </w:rPr>
            </w:pPr>
          </w:p>
        </w:tc>
        <w:tc>
          <w:tcPr>
            <w:tcW w:w="11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22"/>
        </w:trPr>
        <w:tc>
          <w:tcPr>
            <w:tcW w:w="4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recorded no income tax expense for the three months ended March 31, 2023 and an income tax benefit of $3.0 thousand for the three months ended March 31, 2022.</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Company does not expect the provisions of such legislation to have any impact on the effective tax rate of the Company but will continue to evaluate the tax effects should any provisions become applicable to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8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0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Brightplex, Immunosign, and the Veracyte logo are registered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interstitial lung diseases (Envisia); and bladder cancer (Decipher Bladder). Our Percepta Nasal Swab test is being run in our CLIA lab in support of clinical studies and our tests for kidney cancer and lymphoma are in development, the latter as a companion diagnostic.</w:t>
      </w:r>
    </w:p>
    <w:p>
      <w:pPr>
        <w:spacing w:after="0" w:line="6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Envisia, Decipher Prostate and Percepta Nasal Swab tests as in IVD tests that run on the nCounter Analysis System. We believe our broad menu of advanced diagnostic tests, combined with our ability to deliver them globally, uniquely positions us in the diagnostics industry.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Macroeconomic Factors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believe the COVID-19 outbreak, including its numerous variants,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was the most impacted since the bronchoscopy procedures used to collect samples for our Envisia test are considered elective procedures and are performed in hospital settings, which have been more restrictive. Further these tests are ordered by pulmonologists who may have been largely preoccupied with caring for COVID-19 patients.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ongoing interest rate increases and inflation in the U.S. and other markets globally and turmoil in the global banking and finance system may heighten the risk of an economic downturn or recession and volatility and dislocation in the capital or credit markets in the U.S. or globally. Moreover, the continued strengthening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Finally, the military conflict between Russia and Ukraine has increased the risk of disruptions to energy supplies in Europe, which may impact our ability to manufacture tests from our facility in Marseille, France.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extent of the impact of COVID-19 and other macroeconomic factors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64" w:lineRule="exact"/>
        <w:rPr>
          <w:sz w:val="20"/>
          <w:szCs w:val="20"/>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patients seeking to have tests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hospital staff to perform and support procedures needed to collect samples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 including as a result of supply chain challenges;</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We enter into arrangements to license or provide access to our assets or services, including testing services, clinical services, research and development, contract manufacturing and development, as well as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March 31, 2023, we had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16"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5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31"/>
        </w:trPr>
        <w:tc>
          <w:tcPr>
            <w:tcW w:w="4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underlying our estimated reimbursement change, our accrued revenue and financial results could be negatively impacted in future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The components of our cost of testing revenue are laboratory expenses, sample collection kit costs, sample collection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commercialization, contract manufacturing and development, and contract testing services on behalf of a customer. This cost is mainly composed of compensation expense, laboratory supplies and pass-through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2022 and in the three months ended March 31, 2023 in support of our early-stage products, including Percepta Nasal Swab. Going forward, we expect to incur significant expense as we invest in the development of our innovation engine, early-stage products, including required clinical studies, the development of current tests for the nCounter instrument and the transition of manufacturing to our Veracyte Marseille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with separate teams calling on thyroid cancer, urologic cancers, and pulmonology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infrastructure to scale revenue growth, and to stabilize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approximately $21.3 million per year through 2024 and decrease thereafter.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costs associated with the prepayment of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wholly-owned subsidiary, Veracyte SAS, in connection with its research efforts performed in Marseille, France.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2023 and 2022 (in thousands of dollars, except percentages and test volume):</w:t>
      </w:r>
    </w:p>
    <w:p>
      <w:pPr>
        <w:spacing w:after="0" w:line="354"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0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29%</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31%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22%</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12%</w:t>
            </w:r>
          </w:p>
        </w:tc>
        <w:tc>
          <w:tcPr>
            <w:tcW w:w="0" w:type="dxa"/>
            <w:vAlign w:val="bottom"/>
          </w:tcPr>
          <w:p>
            <w:pPr>
              <w:spacing w:after="0"/>
              <w:rPr>
                <w:sz w:val="1"/>
                <w:szCs w:val="1"/>
                <w:color w:val="auto"/>
              </w:rPr>
            </w:pP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37%</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39%</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12%</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207%</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3"/>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86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23%</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33%</w:t>
            </w:r>
          </w:p>
        </w:tc>
        <w:tc>
          <w:tcPr>
            <w:tcW w:w="0" w:type="dxa"/>
            <w:vAlign w:val="bottom"/>
          </w:tcPr>
          <w:p>
            <w:pPr>
              <w:spacing w:after="0"/>
              <w:rPr>
                <w:sz w:val="1"/>
                <w:szCs w:val="1"/>
                <w:color w:val="auto"/>
              </w:rPr>
            </w:pPr>
          </w:p>
        </w:tc>
      </w:tr>
      <w:tr>
        <w:trPr>
          <w:trHeight w:val="23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6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24%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3"/>
              </w:rPr>
              <w:t>2%</w:t>
            </w:r>
          </w:p>
        </w:tc>
        <w:tc>
          <w:tcPr>
            <w:tcW w:w="0" w:type="dxa"/>
            <w:vAlign w:val="bottom"/>
          </w:tcPr>
          <w:p>
            <w:pPr>
              <w:spacing w:after="0"/>
              <w:rPr>
                <w:sz w:val="1"/>
                <w:szCs w:val="1"/>
                <w:color w:val="auto"/>
              </w:rPr>
            </w:pPr>
          </w:p>
        </w:tc>
      </w:tr>
      <w:tr>
        <w:trPr>
          <w:trHeight w:val="208"/>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18%</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increased $14.6 million for the three months ended March 31, 2023 compared to the same period in 2022. This was primarily due to a $16.4 million increase in testing revenue driven by a 23% volume increase, partially offset by a $2.7 million decrease in our Biopharmaceutical and other revenue. The increase in testing revenue and tests reported for the three months ended March 31, 2023 was due to Afirma and Decipher Prostate tests, which contributed $16.8 million of the increase. The remaining testing business decreased by $0.4 million primarily due to our decision to discontinue our Immunoscore test and to stop actively marketing our Percepta GSC tests. Product revenue increased $0.9 million for the three months ended March 31, 2023 compared to the same period in 2022, driven primarily by an increase in product test kits sold. This growth was partially offset by a decline in currency exchange rates, which negatively impacted product revenue by $0.1 million. Biopharmaceutical and other revenue primarily decreased by $2.7 million for the three months ended March 31, 2023 driven primarily by the reduction of customer projects given overall spending constraints across the industry. Currency exchange rates negatively impacted our total revenue by $0.3 million for the three months ended March 31, 2023 when compared to rates for the same period in 2022, primarily related to our Biopharmaceutical and other revenue.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2023 and 2022 is as follows (in thousands of dollars, except percentages):</w:t>
      </w:r>
    </w:p>
    <w:p>
      <w:pPr>
        <w:spacing w:after="0" w:line="354" w:lineRule="exact"/>
        <w:rPr>
          <w:sz w:val="20"/>
          <w:szCs w:val="20"/>
          <w:color w:val="auto"/>
        </w:rPr>
      </w:pPr>
    </w:p>
    <w:tbl>
      <w:tblPr>
        <w:tblLayout w:type="fixed"/>
        <w:tblInd w:w="166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costs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10,362</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costs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3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5"/>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testing revenue increased $2.1 million, or 12%, for the three months ended March 31, 2023 compared to the same period in 2022. The increase in cost of testing revenue was due to increased volume in testing, primarily related to Afirma and Decipher Prostate.</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is related to sales of Prosigna and nCounter Analysis Systems. Cost of product revenue increased $0.6 million, or 37%, for the three months ended March 31, 2023 compared to the same period in 2022, driven by increased test volume. This was partially offset by a $0.1 million currency exchange impact.</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incurred by our employees working on customer projects, laboratory supplies and pass-through expenses incurred on these projects. Cost of biopharmaceutical and other revenue decreased by $0.2 million driven by reduction of variable expenses related to projects, including a $0.1 million favorable currency exchange impact when compared to rates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2023 and 2022 is as follows (in thousands of dollars, except percentages):</w:t>
      </w:r>
    </w:p>
    <w:p>
      <w:pPr>
        <w:spacing w:after="0" w:line="354"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r>
      <w:tr>
        <w:trPr>
          <w:trHeight w:val="21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21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33"/>
        </w:trPr>
        <w:tc>
          <w:tcPr>
            <w:tcW w:w="3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$3.6 million, or 39%, for the three months ended March 31, 2023 compared to the same period in 2022. The increase in compensation expense was primarily due to annual merit increases. The increase in direct research and development expense was primarily related to our on-going clinical studies including, but not limited to, furthering the support and evidence of our Percepta Nasal Swab test. The increase in other expenses was primarily driven by increased support in developing our IVD platform. We recognized a $0.1 million favorable impact from foreign currency exchange when compared to the rates for the three months ended March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2023 and 2022 is as follows (in thousands of dollars, except percentages):</w:t>
      </w:r>
    </w:p>
    <w:p>
      <w:pPr>
        <w:spacing w:after="0" w:line="354"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18"/>
                <w:szCs w:val="18"/>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6"/>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 increased $2.4 million, or 10%, for the three months ended March 31, 2023 compared to the same period in 2022. The increase in compensation expense was primarily due to additional employees hired and increased commissions to support the growth of Afirma and Decipher test volume. Other expenses increased primarily due to increased travel and entertainment to also support the growth of Afirma and Decipher test volume. The increase was partially offset by reduced expenses related to Immunoscore and Percepta support. We recognized a $0.1 million favorable impact from foreign currency exchange rates when compared to the rates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2023 and 2022 is as follows (in thousands of dollars, except percentages):</w:t>
      </w:r>
    </w:p>
    <w:p>
      <w:pPr>
        <w:spacing w:after="0" w:line="354"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18"/>
                <w:szCs w:val="18"/>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33"/>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increased by $1.6 million for the three months ended March 31, 2023, compared to the same period in 2022. This increase is driven by $1.4 million of impairment of right-of-use and fixed assets in relation to exiting our Richmond facility. General and administrative expenses related to occupancy costs and information technology costs are allocated to general and administrative expense, selling and marketing expense, research and development expense, and cost of revenue based on the headcount and employee location. We recognized a $0.1 million favorable impact from foreign currency exchange rates when compared to the rates for the three months ended March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Other income, net, increased $1.6 million for the three months ended March 31, 2023 compared to the same period in 2022, due to an increase of $1.2 million from interest and dividend income, an increase of $0.3 million of unrealized foreign currency gain and an increase of $0.1 million from operations in France related to the CIR during the period. We recognize other income from the CIR over time based on when the research and development expenses are incurred.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From inception through March 31, 2023, we have been financed primarily through net proceeds from the sale of our equity securities. We have incurred net losses since our inception. For the three months ended March 31, 2023, we had a net loss of $8.1 million, and we expect to incur additional losses for the remainder of 2023 and potentially in future years. As of March 31, 2023, we had an accumulated deficit of $401.8 million.</w:t>
      </w:r>
    </w:p>
    <w:p>
      <w:pPr>
        <w:spacing w:after="0" w:line="20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March 10, 2023, Silicon Valley Bank, or SVB, one of our banking partners, was closed by the California Department of Financial Protection &amp; Innovation, and the Federal Deposit Insurance Corporation, or FDIC, was named as Receiver. At the time of closing on March 10, 2023, we had cash and cash equivalents and short-term investments at SVB or under SVB management, however the majority of these assets were not restricted by the FDIC action to take control of SVB as most of our cash and cash equivalents and short-term investments resided in a custodial account with a third-party bank for which SVB acted as advisor. The FDIC subsequently transferred SVB’s deposits to a newly created bridge bank, named Silicon Valley Bridge Bank, N.A. and, on March 26, 2023, the FDIC announced that First Citizens Bank &amp; Trust Company had agreed to purchase and assume all deposits and loans of Silicon Valley Bridge Bank. As a result, the closure of SVB did not impact our ability to satisfy our operations and obligations and we have full access to funds that were previously held at SVB. Our ongoing cash management strategy is to maintain diversity in our deposit accounts across financial institutions, but deposits in these institutions may exceed the amount of insurance provided on such deposits. We have not realized any losses on our deposits of cash and cash equivalents other than exchange rate losses related to foreign currency denominated accounts.</w:t>
      </w:r>
    </w:p>
    <w:p>
      <w:pPr>
        <w:spacing w:after="0" w:line="21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of $177.9 million as of March 31, 2023, and cash flows generated by our revenue during the next 12 months will be sufficient to meet our anticipated cash requirements for at least the next 12 months from the filing date of this report. We expect that our near-and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March 31, 2023, the leases have a weighted average remaining lease term of 3.6 years and total future minimum lease payments of $15.5 million.</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Veracyte SAS has signed a lease agreement for facilities which will be constructed in Marseille, France. The lease will commence upon completion of the construction of the office building which we currently expect to occur in the third quarter of 2023 at which time we will record a lease liability and a corresponding ROU asset. The initial term of the lease will be twelve years with annual rent of approximately $1.3 million, which is subject to change based on final construction.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December 2019, we acquired from NanoString the exclusive global diagnostics license to the nCounter Analysis System, the Prosigna breast cancer prognostic gene signature assay, and the LymphMark lymphoma subtyping assay. Pursuant to the terms of the agreement, we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As of March 31, 2023, the achievement of one of the milestones is forecasted to occur within the next 12 months, requiring payments totaling $3.5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HalioDx Acquisition-Related Payments</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connection with the HalioDx Acquisition, 11,031 unvested HalioDx free ordinary share awards, or free shares, were modified to provide us the right to purchase the vested free shares (call option) from the holders and the holders the right to sell the vested free shares to us (put option) from time to time through late 2023. As a result of the call and put options, the free shares are liability classified. Additionally, in connection with the HalioDx Acquisition, all of HalioDx's equity-classified options that were outstanding prior to the HalioDx Acquisition were terminated and cancelled at the acquisition date. We committed to pay cash consideration of $1.5 million to holders of unvested options on the date the employee satisfies the original service requirement.</w:t>
      </w:r>
    </w:p>
    <w:p>
      <w:pPr>
        <w:spacing w:after="0" w:line="19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As part of the agreement, we held back $16.8 million of the cash consideration, or the holdback, which will be payable to the founders of HalioDx based on their continuous employment with us. Fifty percent of the holdback was placed in escrow on the founders' behalf on the first anniversary of the closing date and the remainder will be paid directly to the founders on the second anniversary.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of March 31, 2023, the remaining amount to be paid for all HalioDx related items was $7.4 million subject to holders continued service, excluding any potential associated social charges.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2023 and 2022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8"/>
              </w:rPr>
              <w:t>(8,872)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8"/>
              </w:rPr>
              <w:t>(2,453)</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1,990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2023 was $2.2 million. The net loss of $8.1 million includes non-cash charges of $8.0 million of stock-based compensation expense, $6.7 million of depreciation and amortization, which includes $5.3 million of intangible asset amortization, $1.4 million of impairment of right-of-use and fixed assets and non-cash lease expense of $0.9 million. Cash used as a result of changes in operating assets and liabilities was $10.5 million, primarily comprising a decrease in accrued liabilities and deferred revenue of $7.7 million, an increase in prepaids and other current assets of $3.1 million, an increase in accounts payable of $2.0 million, an increase in accounts receivable of $1.3 million, a decrease in supplies and inventory of $1.1 million, a decrease in operating lease liability of $1.0 million and a $0.5 million impact from other working capital accounts.</w:t>
      </w:r>
    </w:p>
    <w:p>
      <w:pPr>
        <w:spacing w:after="0" w:line="187"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Cash used in operating activities for the three months ended March 31, 2022 was $8.9 million. The net loss of $14.5 million includes non-cash charges of $6.6 million of stock-based compensation expense, $6.6 million of depreciation and amortization, which includes $5.5 million of intangible asset amortization, and non-cash lease expense of $0.6 million. Cash used as a result of changes in operating assets and liabilities was $8.4 million, primarily comprised of an increase in accounts receivable of $3.6 million, an increase in prepaid expense and other current assets of $2.1 million, an increase in supplies and inventory of $1.2 million, a decrease in accounts payable of $1.0 million, and a $0.5 million impact from other working capital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2023, was $24.1 million, consisting of $44.8 million generated from the sale and maturity of short-term investments, partially offset by $19.7 million used in the purchase of short-term investments and $1.0 million used in the purchase of property, plant and equipment.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2022, was $2.5 million for the purchase of property, plant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$1.7 million, consisting of $4.0 million in proceeds from the exercise of options to purchase our common stock and the purchase of stock under our Employee Stock Purchase Plan, or ESPP, partially offset by $2.3 million in tax payments during the period related to the vesting of restricted stock units granted to employees.</w:t>
      </w:r>
    </w:p>
    <w:p>
      <w:pPr>
        <w:spacing w:after="0" w:line="17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2022, was $2.0 million, consisting of $3.5 million in proceeds from the exercise of options to purchase our common stock and the purchase of stock under our ESPP, partially offset by $1.4 million in tax payments during the period related to the vesting of restricted stock units granted to employees.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jc w:val="both"/>
        <w:ind w:firstLine="399"/>
        <w:spacing w:after="0" w:line="243"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We adopted this guidance in 2023 with no material impact on our consolidated financial statements and related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$177.9 million as of March 31, 2023 which consisted of bank deposits, money market funds and U.S. treasury securities. Such interest-bearing instruments carry a degree of risk; however, a hypothetical 10% change in interest rates during any of the periods presented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March 31, 2023 we held $5.0 million of bank deposits denominated in Euros. Such Euro denominated deposits carry a degree of risk from changes in currency exchange rates as the gains or losses from changes in exchange rates are included in our net loss and comprehensive loss. As of March 31, 2023 a hypothetical 10% appreciation or depreciation of the U.S. dollar relative to the Euro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34" w:lineRule="exact"/>
        <w:rPr>
          <w:sz w:val="20"/>
          <w:szCs w:val="20"/>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have a history of losses, and we expect to incur net losses for the foreseeable future and may never achieve or sustain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Afirma and Decipher Prostate tests, and we will need to generate sufficient revenue from these and our other diagnostic tests to grow our business.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including Prosigna, Envisia, and Decipher Bladder, or we are unable to launch or commercialize our new tests, our business may suffer.</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4" w:lineRule="exact"/>
        <w:rPr>
          <w:rFonts w:ascii="Times New Roman" w:cs="Times New Roman" w:eastAsia="Times New Roman" w:hAnsi="Times New Roman"/>
          <w:sz w:val="18"/>
          <w:szCs w:val="18"/>
          <w:color w:val="231F20"/>
        </w:rPr>
      </w:pPr>
    </w:p>
    <w:p>
      <w:pPr>
        <w:jc w:val="both"/>
        <w:ind w:left="640" w:hanging="315"/>
        <w:spacing w:after="0" w:line="261" w:lineRule="auto"/>
        <w:tabs>
          <w:tab w:leader="none" w:pos="63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16"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our general strategy of seeking growth through acquisitions and collaborations is not successful, or if we do not successfully integrate </w:t>
      </w:r>
      <w:r>
        <w:rPr>
          <w:rFonts w:ascii="Times New Roman" w:cs="Times New Roman" w:eastAsia="Times New Roman" w:hAnsi="Times New Roman"/>
          <w:sz w:val="18"/>
          <w:szCs w:val="18"/>
          <w:color w:val="000000"/>
        </w:rPr>
        <w:t>companies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assets that we acquire into our business, our prospects and financial condition will suffer.</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depends, in part, on our ability to adapt and manufacture select tests to be performed on the nCounter Analysis System.</w:t>
      </w: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that we are expecting in our biopharma services business may not transpire</w:t>
      </w:r>
      <w:r>
        <w:rPr>
          <w:rFonts w:ascii="Times New Roman" w:cs="Times New Roman" w:eastAsia="Times New Roman" w:hAnsi="Times New Roman"/>
          <w:sz w:val="18"/>
          <w:szCs w:val="18"/>
          <w:b w:val="1"/>
          <w:bCs w:val="1"/>
          <w:i w:val="1"/>
          <w:iCs w:val="1"/>
          <w:color w:val="auto"/>
        </w:rPr>
        <w:t>.</w:t>
      </w:r>
    </w:p>
    <w:p>
      <w:pPr>
        <w:spacing w:after="0" w:line="6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an adverse effect on certain of our business, results of operations and financial condition.</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our tests, and we may not be able to find replacements or transition to alternative suppliers, which may materially impact our ability to generate revenue.</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depend on a specialized cytopathology practice to perform the cytopathology component of our Afirma test, and our ability to perform our diagnostic solution would be harmed if we were unexpectedly unable to secure a replacement.</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commercial tests, services or products, our business could suffer.</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policy, including legislation reforming the U.S. healthcare system, may have a material adverse effect on our financial condition and operations.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or achieve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to be paid.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the HalioDx and Decipher Biosciences businesses to realize the financial goals that we currently ant</w:t>
      </w:r>
      <w:r>
        <w:rPr>
          <w:rFonts w:ascii="Times New Roman" w:cs="Times New Roman" w:eastAsia="Times New Roman" w:hAnsi="Times New Roman"/>
          <w:sz w:val="18"/>
          <w:szCs w:val="18"/>
          <w:color w:val="000000"/>
        </w:rPr>
        <w:t>icipate.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effectively, our business would be harmed.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could be time-intensive and costly and may adversely affect our business, operating results or financial condition.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7"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300" w:lineRule="exact"/>
        <w:rPr>
          <w:sz w:val="20"/>
          <w:szCs w:val="20"/>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months ended March 31, 2023 and 2022, we had net losses of $8 million and $14 million, respectively. As of March 31, 2023, we had an accumulated deficit of $402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ongoing widespread inflationary pressures in the U.S. and across global economies have resulted in higher costs for our raw materials, non-material costs, labor and other business costs, and significant increases in the future could adversely affect our results of operations. We expect to continue to devote substantially all of our resources to increase adoption of and reimbursement for our molecular diagnostic portfolio of tests, and the development of additional tests. We may never achieve or sustain profitability, and our failure to achieve and sustain profitability in the future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spacing w:after="0" w:line="21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grow sales of our portfolio of tests including Prosigna, Envisia, and Decipher Bladder, or we are unable to launch or commercialize our new tests, our business may suffer.</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Although Prosigna, Envisia, and Decipher Bladder have not contributed significant revenue to date, we expect them to grow and become an increasingly important component of our strategic focus, as well as our results of operations. We plan to introduce new tests going forward as well.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10%, respectively, of our revenue for the three months ended March 31, 2023, compared with 30% and 9%, respectively, for the three months ended March 31, 2022.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an LCD.</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reporting period to 2024.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CPT code 81546 was newly issued in 2021, the first PAMA data reporting period for 81546 under the current triennial data reporting process is expected to be January 2027 through March 2027, resulting in a new potential reimbursement rate effective January 1st, 2028. There is no guarantee that the Afirma GSC Medicare rate will not be negatively impacted in future PAMA reporting cycles based on the reported weighted median of private commercial payers.</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2027 and March 2027, resulting in a potential new reimbursement rate effective January 1, 2028. There can be no assurance that the Medicare payment rates for Decipher Prostate Biopsy and Decipher Prostate RP will not decrease during a future reporting cycle under PAMA.</w:t>
      </w:r>
    </w:p>
    <w:p>
      <w:pPr>
        <w:spacing w:after="0" w:line="21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Noridian Healthcare Solutions provided Medicare coverage for the Envisia Genomic Classifier on April 11, 2019.</w:t>
      </w:r>
    </w:p>
    <w:p>
      <w:pPr>
        <w:spacing w:after="0" w:line="24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2023, the Medicare payment rate for 81554 is $5,520.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spacing w:after="0" w:line="21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will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private payers have begun requiring prior authorization for molecular diagnostic tests. Potential reductions in reimbursement rates or increases in the difficulty of achieving payment could have a negative effect on our revenue.</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2"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Decipher Prostate, Prosigna, Envisia and Decipher Bladder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certain patients have been deferring elective procedures and medical visits as a result of the COVID-19 pandemic, and we have experienced, and expect to continue to experience, a reduction in patient demand or physician recommendations, which has and may continue to adversely affect our business.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26"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Decipher also received a “Level 1” evidence designation in the NCCN’s update to the 2023 prostate cancer guidelines.</w:t>
      </w:r>
    </w:p>
    <w:p>
      <w:pPr>
        <w:spacing w:after="0" w:line="245"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19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Because our Afirma, Decipher Prostate Biopsy, Decipher Prostate RP, Envisia, and Decipher Bladder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insurer policies.</w:t>
      </w:r>
    </w:p>
    <w:p>
      <w:pPr>
        <w:spacing w:after="0" w:line="249"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21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8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the New York State Department of Health, and we may not be able to offer our new tests until such approvals are received.</w:t>
      </w:r>
    </w:p>
    <w:p>
      <w:pPr>
        <w:spacing w:after="0" w:line="203"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2" w:lineRule="exact"/>
        <w:rPr>
          <w:sz w:val="20"/>
          <w:szCs w:val="20"/>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a large number of ordering clinicians;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8"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0" w:lineRule="exact"/>
        <w:rPr>
          <w:sz w:val="20"/>
          <w:szCs w:val="20"/>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8" w:lineRule="exact"/>
        <w:rPr>
          <w:rFonts w:ascii="Times New Roman" w:cs="Times New Roman" w:eastAsia="Times New Roman" w:hAnsi="Times New Roman"/>
          <w:sz w:val="18"/>
          <w:szCs w:val="18"/>
          <w:color w:val="auto"/>
        </w:rPr>
      </w:pPr>
    </w:p>
    <w:p>
      <w:pPr>
        <w:ind w:left="1280" w:hanging="556"/>
        <w:spacing w:after="0" w:line="275"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4"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4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not be able to obtain reimbursement for the test.</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depends, in part, on our ability to adapt and manufacture select tests to be performed on the nCounter Analysis System.</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Our strategy to expand into international markets depends on our ability to successfully acquire and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platforms,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growth that we are expecting in our biopharma services business may not transpire.</w:t>
      </w:r>
    </w:p>
    <w:p>
      <w:pPr>
        <w:spacing w:after="0" w:line="23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which reflect an important element of our business strategy. With the acquisition of Decipher Biosciences and HalioDx, we continue to seek to expand the range of our biopharma services offerings to pharmaceutical partners with services such as clinically relevant biomarker identification, patient stratification for clinical trials, and development of companion diagnostics.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The COVID-19 pandemic has had, and may continue to have, an adverse effect on certain of our business, results of operations and financial condition.</w:t>
      </w:r>
    </w:p>
    <w:p>
      <w:pPr>
        <w:spacing w:after="0" w:line="26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COVID-19 pandemic and the ongoing emergence of new variants has caused significant volatility in global financial markets. Public health problems resulting from COVID-19 and precautionary measures instituted by governments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While many countries have re-opened, the uncertainty of COVID-19 (and other public health concerns) may require a return to restrictions.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or variants, which could negatively impact our volumes and revenue and limit our ability to reliably forecast our test volumes and levels of revenue.</w:t>
      </w:r>
    </w:p>
    <w:p>
      <w:pPr>
        <w:spacing w:after="0" w:line="21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90" w:lineRule="exact"/>
        <w:rPr>
          <w:sz w:val="20"/>
          <w:szCs w:val="20"/>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healthcare providers to deliver anticipated total test volumes due to temporary or permanent staff attrition.</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business effectively due to key employees becoming ill, working from home inefficiently and being unable to travel to our facilities.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5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manufacturing (including the sourcing of reagents or supplies) and timely shipment of our products due to challenges in receiving reagents and supplies may impact our ability to perform our tests.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2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patient demand for, or provider capacity to deliver, diagnostic testing and elective procedures generally (which may impact our ability to deliver to our revenue estimates).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the operations of our third-party contract manufacturers and suppliers, which could impact our ability to purchase components at efficient prices and in sufficient amounts.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capital, and if we raise capital by issuing equity securities, our common stock may be diluted.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drop or remain volatile.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employee health care costs under our insurance programs.</w:t>
      </w:r>
    </w:p>
    <w:p>
      <w:pPr>
        <w:spacing w:after="0" w:line="58"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of regulatory bodies to conduct inspections/surveys, review or clear/approve our regulatory filings and submissions, and perform other activities necessary for us to conduct our business.</w:t>
      </w:r>
    </w:p>
    <w:p>
      <w:pPr>
        <w:spacing w:after="0" w:line="5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and we may not be able to find replacements or transition to alternative suppliers, which may materially impact our ability to generate revenue.</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and to manufacture the nCounter Analysis System for diagnostic use and Prosigna test kits sold to customers. We also purchase components used in our sample collection kits from sole-source suppliers. Some of these items are unique to these suppliers and vendors and their inability to provide us with reagents that perform to specifications, could negatively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our ability to provide timely response and reports to our customers and, as a result, may materially impact our ability to generate revenue.</w:t>
      </w:r>
    </w:p>
    <w:p>
      <w:pPr>
        <w:spacing w:after="0" w:line="24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rely on NanoString for the supply of the nCounter Analysis System for diagnostic use and Prosigna test kits. As part of the HalioDx Acquisition we intended to, and have begun to, migrate manufacture of the test kits for the nCounter from NanoString to HalioDx. In the future, we may need to transition the manufacture of the nCounter Analysis System for diagnostic use from NanoString to Veracyte. While we are preparing for such transition, we cannot be certain that we will be successful in effectively manufacturing the system or acquiring or retaining the talent, skillset, or suppliers required to manufacture the system.</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Carriers responsible for transporting samples to us are currently operating at lower than usual capacity because of COVID-19,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21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unexpectedly unable to secure a replacement.</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2023, and automatically renews every year unless either party provides notice of intent not to renew at least 12 months prior to the end of the then-current term.</w:t>
      </w:r>
    </w:p>
    <w:p>
      <w:pPr>
        <w:spacing w:after="0" w:line="207"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If TCP were unexpectedly unable to support our current test volume or future increases in total test volume or to provide the quality of services we require, or if we were unable to agree on commercial terms and our relationship with TCP were to terminate, our business could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services or products, our business could suffer.</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demand for our tests, services and products grow, we will need to continue to scale our capacity,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you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1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13"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196"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 sales of our tests outside the United States subject our business to foreign regulatory requirements and cost-reduction measures, which may also change over time.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7"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spacing w:after="0" w:line="21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FDA’s enforcement discretion policy concerning LDTs.</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Envisia and Decipher Bladder classifiers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LDTs, we could experience reduced revenue or increased costs, which could adversely affect our business, prospects, results of operations and financial condition.</w:t>
      </w:r>
    </w:p>
    <w:p>
      <w:pPr>
        <w:spacing w:after="0" w:line="190"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included in the Food and Drug Administration (FDA) Safety and Landmark Advancements Act (FDASLA) reported to the Senate on July 13, 2022. As proposed, the bill would create a precertification program for lower risk tests not otherwise required to go through premarket review. It would grandfather certain existing tests from some requirements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0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14"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it is possible that our Afirma, Decipher Prostate Biopsy, Decipher Prostate RP, Envisia, and Decipher Bladder classifiers, would be “grandfathered” and therefore exempted from some new regulatory requirements,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future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19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8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rather than through a PMA for class I or class II devices if the 510(k) pathway is not available. 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Any marketing authorization we obtain for any future device product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510(k) clearance, or De Novo authorization approval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1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 market in Great Britain after this period, the UKCA marking will be mandatory. In contrast, UKCA marking and certificates issued by UK notified regulatory bodies are not recognized on the EU market.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 mutual recognition agreement (MRA) aligning in vitro diagnostic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41"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2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is our only test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IVDR became applicable five years after publication on May 26, 2022 and once applicable to a particular product, the IVDR will among other things:</w:t>
      </w:r>
    </w:p>
    <w:p>
      <w:pPr>
        <w:spacing w:after="0" w:line="190"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develop companion diagnostics or otherwise obtain or maintain marketing authorization or certifications for our diagnostic tests.</w:t>
      </w:r>
    </w:p>
    <w:p>
      <w:pPr>
        <w:spacing w:after="0" w:line="24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For our Afirma genomic classifier we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and MDx Health, which offer genomic testing for prognostic purposes within localized prostate cancer. New, advanced machine learning and AI technologies may become competitors to our product base, including Decipher. Additionally, traditional methods used by pathologists and clinicians to estimate risk of disease progression pose competitive threats to our business in addition to new technologies such as artificial intelligence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As we expand our portfolio of tests, we may also face competition from companies informing treatment decisions such as Guardant Health or Foundation Medicine, Inc. Competition could also emerge using alternative samples, such as blood, urine or sputum.</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Adapative, Tempus and Akoya.</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spacing w:after="0" w:line="190"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4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5"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8"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201" w:lineRule="exact"/>
        <w:rPr>
          <w:sz w:val="20"/>
          <w:szCs w:val="20"/>
          <w:color w:val="auto"/>
        </w:rPr>
      </w:pPr>
    </w:p>
    <w:p>
      <w:pPr>
        <w:jc w:val="both"/>
        <w:ind w:firstLine="402"/>
        <w:spacing w:after="0" w:line="252"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08" w:lineRule="exact"/>
        <w:rPr>
          <w:sz w:val="20"/>
          <w:szCs w:val="20"/>
          <w:color w:val="auto"/>
        </w:rPr>
      </w:pPr>
    </w:p>
    <w:p>
      <w:pPr>
        <w:ind w:right="180"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0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 Moreover, we may experience delays in the development and introduction of new products due to the effects of the current COVID-19 pandemic.</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5"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0"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demonstrate the value of a particular test, we may not be able to obtain reimbursement for the test. In addition, competitors may develop and commercialize competing products or technologies faster than us or at a lower cost.</w:t>
      </w:r>
    </w:p>
    <w:p>
      <w:pPr>
        <w:spacing w:after="0" w:line="186"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0" w:lineRule="exact"/>
        <w:rPr>
          <w:sz w:val="20"/>
          <w:szCs w:val="20"/>
          <w:color w:val="auto"/>
        </w:rPr>
      </w:pPr>
    </w:p>
    <w:p>
      <w:pPr>
        <w:jc w:val="both"/>
        <w:ind w:left="640" w:hanging="315"/>
        <w:spacing w:after="0" w:line="253"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the HalioDx and Decipher Biosciences businesses to realize the financial goals that we currently anticipate.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ongoing integration of HalioDx and Decipher Biosciences include:</w:t>
      </w:r>
    </w:p>
    <w:p>
      <w:pPr>
        <w:spacing w:after="0" w:line="165" w:lineRule="exact"/>
        <w:rPr>
          <w:sz w:val="20"/>
          <w:szCs w:val="20"/>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5"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7"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2" w:lineRule="exact"/>
        <w:rPr>
          <w:rFonts w:ascii="Times New Roman" w:cs="Times New Roman" w:eastAsia="Times New Roman" w:hAnsi="Times New Roman"/>
          <w:sz w:val="18"/>
          <w:szCs w:val="18"/>
          <w:color w:val="auto"/>
        </w:rPr>
      </w:pPr>
    </w:p>
    <w:p>
      <w:pPr>
        <w:jc w:val="both"/>
        <w:ind w:left="640" w:hanging="315"/>
        <w:spacing w:after="0" w:line="25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acquisitions, neither HalioDx nor Decipher Biosciences were required to maintain an internal control infrastructure that would meet the standards of a public company, including the requirements of the Sarbanes-Oxley Act of 2002. During 2022, we integrated the operations of HalioDx and Decipher Biosciences into our internal control structure and implemented additional internal controls where needed. As we continue to integrate and improve the operations of HalioDx and Decipher Biosciences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33"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 including rolling blackouts due to energy shortages in Europe;</w:t>
      </w:r>
    </w:p>
    <w:p>
      <w:pPr>
        <w:spacing w:after="0" w:line="12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accretion to our gross margins as a result of transitioning manufacturing of test kits to HalioDx;</w:t>
      </w:r>
    </w:p>
    <w:p>
      <w:pPr>
        <w:spacing w:after="0" w:line="16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with the French employee work council; and</w:t>
      </w:r>
    </w:p>
    <w:p>
      <w:pPr>
        <w:spacing w:after="0" w:line="16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207" w:lineRule="exact"/>
        <w:rPr>
          <w:sz w:val="20"/>
          <w:szCs w:val="20"/>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the manufacturing output we anticipate at the Marseille, France facility as a result of rolling blackouts due to energy shortages in Europe resulting from the Russian invasion of Ukraine;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or certifications where required for the use of our solutions in various countries;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including COVID-19, boycotts, curtailment of trade and other business restrictions (including as a direct or indirect result of the conflict in Ukraine); and</w:t>
      </w:r>
    </w:p>
    <w:p>
      <w:pPr>
        <w:spacing w:after="0" w:line="190"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9"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business or financial results may be adversely impacted by uncertain economic conditions, including: the impact of the COVID-19 pandemic, turmoil in the global banking and finance system, adverse changes in interest rates, foreign currency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exchange rates, tax laws or tax rates; inflation; a recession;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w:t>
      </w:r>
    </w:p>
    <w:p>
      <w:pPr>
        <w:spacing w:after="0" w:line="201"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09" w:lineRule="exact"/>
        <w:rPr>
          <w:sz w:val="20"/>
          <w:szCs w:val="20"/>
          <w:color w:val="auto"/>
        </w:rPr>
      </w:pPr>
    </w:p>
    <w:p>
      <w:pPr>
        <w:ind w:right="6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0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may continue to have, a negative effect on consumer confidence and spending, and other impacts, which could adversely affect our business.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business, and is subject to the risk of power outages resulting from constrained European energy supply.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86"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as a result of the COVID-19 pandemic,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Moreover, on March 10, 2023, SVB was closed by the California Department of Financial Protection &amp; Innovation, and the FDIC was named as Receiver. At the time of closing on March 10, 2023, we had cash and cash equivalents and short-term investments at SVB or under SVB management. While the majority of these assets were not restricted by the FDIC action to take control of SVB as most of our cash and cash equivalents and short-term investments resided in a custodial account with a third-party bank for which SVB acted as advisor and the FDIC has taken steps to make whole all depositors of SVB,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spacing w:after="0" w:line="213"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1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has announced that it intends to lift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15"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8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6"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The EU Commission announced in December 2022 that it had begun the process of adopting an adequacy decision that would apply to the United States based on an executive order issued by President Biden in October 2022; even if the EU Commission approves the adequacy decisions, however, it is widely expected that the new data transfer framework may be challenged before the CJEU.</w:t>
      </w:r>
    </w:p>
    <w:p>
      <w:pPr>
        <w:spacing w:after="0" w:line="205"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0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0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several other states, including Colorado, Utah, Virginia and Connecticut have each enacted laws similar to the CCPA/CPRA and other states are considering enacting privacy laws as well. The multiple layers of privacy law within the United States could increase our potential liability, increase our compliance costs, and adversely affect our business.</w:t>
      </w:r>
    </w:p>
    <w:p>
      <w:pPr>
        <w:spacing w:after="0" w:line="214" w:lineRule="exact"/>
        <w:rPr>
          <w:sz w:val="20"/>
          <w:szCs w:val="20"/>
          <w:color w:val="auto"/>
        </w:rPr>
      </w:pPr>
    </w:p>
    <w:p>
      <w:pPr>
        <w:jc w:val="both"/>
        <w:ind w:firstLine="399"/>
        <w:spacing w:after="0" w:line="217" w:lineRule="exact"/>
        <w:rPr>
          <w:sz w:val="20"/>
          <w:szCs w:val="20"/>
          <w:color w:val="auto"/>
        </w:rPr>
      </w:pPr>
      <w:r>
        <w:rPr>
          <w:rFonts w:ascii="Times New Roman" w:cs="Times New Roman" w:eastAsia="Times New Roman" w:hAnsi="Times New Roman"/>
          <w:sz w:val="18"/>
          <w:szCs w:val="18"/>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8"/>
          <w:szCs w:val="18"/>
          <w:color w:val="auto"/>
        </w:rPr>
        <w:t>个人信息保护法</w:t>
      </w:r>
      <w:r>
        <w:rPr>
          <w:rFonts w:ascii="Times New Roman" w:cs="Times New Roman" w:eastAsia="Times New Roman" w:hAnsi="Times New Roman"/>
          <w:sz w:val="18"/>
          <w:szCs w:val="18"/>
          <w:color w:val="auto"/>
        </w:rPr>
        <w:t>, PIPL), both of which broadly regulate the processing of personal information and impose compliance obligations and penalties comparable to those of the GDPR.</w:t>
      </w:r>
    </w:p>
    <w:p>
      <w:pPr>
        <w:spacing w:after="0" w:line="22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2"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1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1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2022, we had net operating loss, or NOL, carryforwards of approximately $402.0 million, $78.8 million and $126.1 million available to reduce future taxable income, if any, for federal, California and other state income tax purposes, respectively. The U.S. federal NOL carryforwards will begin to expire in 2031 while for state purposes, the NOL carryforwards begin to expire in 2023. In addition, as of December 31, 2022, we had foreign net operating loss carryforwards of approximately $69.9 million and $44.2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6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215"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20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4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9"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or ESG, matters. Some investors may use these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0"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macroeconomic impact of the current COVID-19 outbreak, rising interest rates or inflationary pressures;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0" w:lineRule="exact"/>
        <w:rPr>
          <w:sz w:val="20"/>
          <w:szCs w:val="20"/>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20"/>
                <w:szCs w:val="20"/>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3"/>
        </w:trPr>
        <w:tc>
          <w:tcPr>
            <w:tcW w:w="1680" w:type="dxa"/>
            <w:vAlign w:val="bottom"/>
            <w:gridSpan w:val="4"/>
            <w:vMerge w:val="continue"/>
          </w:tcPr>
          <w:p>
            <w:pPr>
              <w:spacing w:after="0"/>
              <w:rPr>
                <w:sz w:val="13"/>
                <w:szCs w:val="13"/>
                <w:color w:val="auto"/>
              </w:rPr>
            </w:pPr>
          </w:p>
        </w:tc>
        <w:tc>
          <w:tcPr>
            <w:tcW w:w="4540" w:type="dxa"/>
            <w:vAlign w:val="bottom"/>
            <w:gridSpan w:val="5"/>
            <w:vMerge w:val="restart"/>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vMerge w:val="restart"/>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 No.</w:t>
            </w:r>
          </w:p>
        </w:tc>
        <w:tc>
          <w:tcPr>
            <w:tcW w:w="100" w:type="dxa"/>
            <w:vAlign w:val="bottom"/>
            <w:vMerge w:val="restart"/>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4540" w:type="dxa"/>
            <w:vAlign w:val="bottom"/>
            <w:tcBorders>
              <w:bottom w:val="single" w:sz="8" w:color="auto"/>
            </w:tcBorders>
            <w:gridSpan w:val="5"/>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05"/>
        </w:trPr>
        <w:tc>
          <w:tcPr>
            <w:tcW w:w="1220" w:type="dxa"/>
            <w:vAlign w:val="bottom"/>
            <w:gridSpan w:val="2"/>
          </w:tcPr>
          <w:p>
            <w:pPr>
              <w:spacing w:after="0"/>
              <w:rPr>
                <w:sz w:val="24"/>
                <w:szCs w:val="24"/>
                <w:color w:val="auto"/>
              </w:rPr>
            </w:pPr>
          </w:p>
        </w:tc>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220" w:type="dxa"/>
            <w:vAlign w:val="bottom"/>
          </w:tcPr>
          <w:p>
            <w:pPr>
              <w:spacing w:after="0"/>
              <w:rPr>
                <w:sz w:val="24"/>
                <w:szCs w:val="24"/>
                <w:color w:val="auto"/>
              </w:rPr>
            </w:pPr>
          </w:p>
        </w:tc>
        <w:tc>
          <w:tcPr>
            <w:tcW w:w="34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Amended and Restated Bylaws of the Registrant</w:t>
              </w:r>
            </w:hyperlink>
          </w:p>
        </w:tc>
        <w:tc>
          <w:tcPr>
            <w:tcW w:w="1180" w:type="dxa"/>
            <w:vAlign w:val="bottom"/>
            <w:gridSpan w:val="4"/>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001-36156</w:t>
            </w:r>
          </w:p>
        </w:tc>
        <w:tc>
          <w:tcPr>
            <w:tcW w:w="100" w:type="dxa"/>
            <w:vAlign w:val="bottom"/>
          </w:tcPr>
          <w:p>
            <w:pPr>
              <w:spacing w:after="0"/>
              <w:rPr>
                <w:sz w:val="24"/>
                <w:szCs w:val="24"/>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2/10/2023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20" w:type="dxa"/>
            <w:vAlign w:val="bottom"/>
          </w:tcPr>
          <w:p>
            <w:pPr>
              <w:spacing w:after="0"/>
              <w:rPr>
                <w:sz w:val="17"/>
                <w:szCs w:val="17"/>
                <w:color w:val="auto"/>
              </w:rPr>
            </w:pPr>
          </w:p>
        </w:tc>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40" w:type="dxa"/>
            <w:vAlign w:val="bottom"/>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60" w:type="dxa"/>
            <w:vAlign w:val="bottom"/>
            <w:tcBorders>
              <w:top w:val="single" w:sz="8" w:color="0000FF"/>
            </w:tcBorders>
            <w:gridSpan w:val="4"/>
          </w:tcPr>
          <w:p>
            <w:pPr>
              <w:spacing w:after="0" w:line="16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8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0000FF"/>
              </w:rPr>
              <w:t>31.2</w:t>
            </w:r>
          </w:p>
        </w:tc>
        <w:tc>
          <w:tcPr>
            <w:tcW w:w="220" w:type="dxa"/>
            <w:vAlign w:val="bottom"/>
          </w:tcPr>
          <w:p>
            <w:pPr>
              <w:spacing w:after="0"/>
              <w:rPr>
                <w:sz w:val="18"/>
                <w:szCs w:val="18"/>
                <w:color w:val="auto"/>
              </w:rPr>
            </w:pPr>
          </w:p>
        </w:tc>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ind w:left="1680"/>
        <w:spacing w:after="0" w:line="215" w:lineRule="auto"/>
        <w:rPr>
          <w:sz w:val="20"/>
          <w:szCs w:val="20"/>
          <w:color w:val="auto"/>
        </w:rPr>
      </w:pPr>
      <w:r>
        <w:rPr>
          <w:rFonts w:ascii="Times New Roman" w:cs="Times New Roman" w:eastAsia="Times New Roman" w:hAnsi="Times New Roman"/>
          <w:sz w:val="18"/>
          <w:szCs w:val="18"/>
          <w:u w:val="single" w:color="auto"/>
          <w:color w:val="0000FF"/>
        </w:rPr>
        <w:t>13a-14(a)/15d-14(a), as adopted pursuant to Section 302 of the</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871"/>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220" w:type="dxa"/>
            <w:vAlign w:val="bottom"/>
          </w:tcPr>
          <w:p>
            <w:pPr>
              <w:spacing w:after="0"/>
              <w:rPr>
                <w:sz w:val="24"/>
                <w:szCs w:val="24"/>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153"/>
        </w:trPr>
        <w:tc>
          <w:tcPr>
            <w:tcW w:w="10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400" w:type="dxa"/>
            <w:vAlign w:val="bottom"/>
            <w:tcBorders>
              <w:bottom w:val="single" w:sz="8" w:color="0000FF"/>
            </w:tcBorders>
          </w:tcPr>
          <w:p>
            <w:pPr>
              <w:jc w:val="right"/>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80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219"/>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153"/>
        </w:trPr>
        <w:tc>
          <w:tcPr>
            <w:tcW w:w="10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8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460" w:type="dxa"/>
            <w:vAlign w:val="bottom"/>
            <w:tcBorders>
              <w:bottom w:val="single" w:sz="8" w:color="0000FF"/>
            </w:tcBorders>
            <w:gridSpan w:val="2"/>
          </w:tcPr>
          <w:p>
            <w:pPr>
              <w:jc w:val="right"/>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80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206"/>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173"/>
        </w:trPr>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40" w:type="dxa"/>
            <w:vAlign w:val="bottom"/>
            <w:gridSpan w:val="4"/>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4140" w:type="dxa"/>
            <w:vAlign w:val="bottom"/>
          </w:tcPr>
          <w:p>
            <w:pPr>
              <w:spacing w:after="0"/>
              <w:rPr>
                <w:sz w:val="15"/>
                <w:szCs w:val="15"/>
                <w:color w:val="auto"/>
              </w:rPr>
            </w:pPr>
          </w:p>
        </w:tc>
      </w:tr>
      <w:tr>
        <w:trPr>
          <w:trHeight w:val="232"/>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4140" w:type="dxa"/>
            <w:vAlign w:val="bottom"/>
          </w:tcPr>
          <w:p>
            <w:pPr>
              <w:spacing w:after="0"/>
              <w:rPr>
                <w:sz w:val="20"/>
                <w:szCs w:val="20"/>
                <w:color w:val="auto"/>
              </w:rPr>
            </w:pPr>
          </w:p>
        </w:tc>
      </w:tr>
      <w:tr>
        <w:trPr>
          <w:trHeight w:val="228"/>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226"/>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226"/>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226"/>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226"/>
        </w:trPr>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414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X</w:t>
            </w:r>
          </w:p>
        </w:tc>
      </w:tr>
      <w:tr>
        <w:trPr>
          <w:trHeight w:val="178"/>
        </w:trPr>
        <w:tc>
          <w:tcPr>
            <w:tcW w:w="1480" w:type="dxa"/>
            <w:vAlign w:val="bottom"/>
            <w:gridSpan w:val="4"/>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5"/>
                <w:szCs w:val="15"/>
                <w:color w:val="auto"/>
              </w:rPr>
            </w:pPr>
          </w:p>
        </w:tc>
        <w:tc>
          <w:tcPr>
            <w:tcW w:w="534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4140" w:type="dxa"/>
            <w:vAlign w:val="bottom"/>
          </w:tcPr>
          <w:p>
            <w:pPr>
              <w:ind w:left="3600"/>
              <w:spacing w:after="0" w:line="178" w:lineRule="exact"/>
              <w:rPr>
                <w:sz w:val="20"/>
                <w:szCs w:val="20"/>
                <w:color w:val="auto"/>
              </w:rPr>
            </w:pPr>
            <w:r>
              <w:rPr>
                <w:rFonts w:ascii="Times New Roman" w:cs="Times New Roman" w:eastAsia="Times New Roman" w:hAnsi="Times New Roman"/>
                <w:sz w:val="18"/>
                <w:szCs w:val="18"/>
                <w:color w:val="auto"/>
              </w:rPr>
              <w:t>X</w:t>
            </w:r>
          </w:p>
        </w:tc>
      </w:tr>
      <w:tr>
        <w:trPr>
          <w:trHeight w:val="232"/>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4140" w:type="dxa"/>
            <w:vAlign w:val="bottom"/>
          </w:tcPr>
          <w:p>
            <w:pPr>
              <w:spacing w:after="0"/>
              <w:rPr>
                <w:sz w:val="20"/>
                <w:szCs w:val="20"/>
                <w:color w:val="auto"/>
              </w:rPr>
            </w:pPr>
          </w:p>
        </w:tc>
      </w:tr>
      <w:tr>
        <w:trPr>
          <w:trHeight w:val="233"/>
        </w:trPr>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6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accordance with Item 601(b)(32)(ii) of Regulation S-K and SEC</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 No. 34-47986, the certifications furnished in</w:t>
            </w:r>
          </w:p>
        </w:tc>
      </w:tr>
    </w:tbl>
    <w:p>
      <w:pPr>
        <w:ind w:left="1700"/>
        <w:spacing w:after="0" w:line="220" w:lineRule="auto"/>
        <w:rPr>
          <w:sz w:val="20"/>
          <w:szCs w:val="20"/>
          <w:color w:val="auto"/>
        </w:rPr>
      </w:pPr>
      <w:r>
        <w:rPr>
          <w:rFonts w:ascii="Times New Roman" w:cs="Times New Roman" w:eastAsia="Times New Roman" w:hAnsi="Times New Roman"/>
          <w:sz w:val="17"/>
          <w:szCs w:val="17"/>
          <w:color w:val="auto"/>
        </w:rPr>
        <w:t>Exhibits 32.1 and 32.2 hereto are deemed to accompany this Form 10-Q and will not be deemed “filed” for purposes of Section 18 of the Exchange Act or deemed to be incorporated by reference into any filing under the Exchange Act or the Securities Act except to</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5, 2023</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2023;</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5, 2023</w:t>
            </w:r>
          </w:p>
        </w:tc>
      </w:tr>
    </w:tbl>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2023;</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5, 2023</w:t>
            </w:r>
          </w:p>
        </w:tc>
      </w:tr>
    </w:tbl>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5, 2023</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5, 2023</w:t>
            </w:r>
          </w:p>
        </w:tc>
      </w:tr>
    </w:tbl>
    <w:p>
      <w:pPr>
        <w:spacing w:after="0" w:line="2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32385</wp:posOffset>
            </wp:positionV>
            <wp:extent cx="2533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1" Type="http://schemas.openxmlformats.org/officeDocument/2006/relationships/hyperlink" Target="https://www.sec.gov/Archives/edgar/data/1384101/000138410123000007/ex31veracyte-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2023-05-05T07:14:59Z</dcterms:created>
  <dcterms:modified xsi:type="dcterms:W3CDTF">2023-05-05T07:14:59Z</dcterms:modified>
</cp:coreProperties>
</file>