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August 1, 2025, there were 78,671,588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gridSpan w:val="11"/>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2024</w:t>
            </w: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60" w:type="dxa"/>
            <w:vAlign w:val="bottom"/>
            <w:tcBorders>
              <w:top w:val="single" w:sz="8" w:color="0000FF"/>
            </w:tcBorders>
            <w:gridSpan w:val="20"/>
          </w:tcPr>
          <w:p>
            <w:pPr>
              <w:spacing w:after="0" w:line="140" w:lineRule="exact"/>
              <w:rPr>
                <w:sz w:val="20"/>
                <w:szCs w:val="20"/>
                <w:color w:val="auto"/>
              </w:rPr>
            </w:pPr>
            <w:r>
              <w:rPr>
                <w:rFonts w:ascii="Times New Roman" w:cs="Times New Roman" w:eastAsia="Times New Roman" w:hAnsi="Times New Roman"/>
                <w:sz w:val="16"/>
                <w:szCs w:val="16"/>
                <w:color w:val="0000FF"/>
              </w:rPr>
              <w:t>Periods Ended June 30, 2025 and 2024</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6"/>
                <w:szCs w:val="16"/>
                <w:color w:val="0000FF"/>
              </w:rPr>
              <w:t>Six Month Periods Ended June 30, 2025 and 2024</w:t>
            </w:r>
          </w:p>
        </w:tc>
        <w:tc>
          <w:tcPr>
            <w:tcW w:w="2420" w:type="dxa"/>
            <w:vAlign w:val="bottom"/>
            <w:tcBorders>
              <w:top w:val="single" w:sz="8" w:color="0000FF"/>
            </w:tcBorders>
            <w:gridSpan w:val="9"/>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3"/>
          </w:tcPr>
          <w:p>
            <w:pPr>
              <w:spacing w:after="0" w:line="140" w:lineRule="exact"/>
              <w:rPr>
                <w:sz w:val="20"/>
                <w:szCs w:val="20"/>
                <w:color w:val="auto"/>
              </w:rPr>
            </w:pPr>
            <w:r>
              <w:rPr>
                <w:rFonts w:ascii="Times New Roman" w:cs="Times New Roman" w:eastAsia="Times New Roman" w:hAnsi="Times New Roman"/>
                <w:sz w:val="16"/>
                <w:szCs w:val="16"/>
                <w:color w:val="0000FF"/>
              </w:rPr>
              <w:t>Month Periods Ended June 30, 2025 and 2024</w:t>
            </w:r>
          </w:p>
        </w:tc>
        <w:tc>
          <w:tcPr>
            <w:tcW w:w="256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June 30, 2025 and 2024</w:t>
            </w:r>
          </w:p>
        </w:tc>
        <w:tc>
          <w:tcPr>
            <w:tcW w:w="2920" w:type="dxa"/>
            <w:vAlign w:val="bottom"/>
            <w:tcBorders>
              <w:top w:val="single" w:sz="8" w:color="0000FF"/>
            </w:tcBorders>
            <w:gridSpan w:val="9"/>
          </w:tcPr>
          <w:p>
            <w:pPr>
              <w:spacing w:after="0"/>
              <w:rPr>
                <w:sz w:val="13"/>
                <w:szCs w:val="13"/>
                <w:color w:val="auto"/>
              </w:rPr>
            </w:pPr>
          </w:p>
        </w:tc>
        <w:tc>
          <w:tcPr>
            <w:tcW w:w="340" w:type="dxa"/>
            <w:vAlign w:val="bottom"/>
            <w:gridSpan w:val="4"/>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54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5"/>
          </w:tcPr>
          <w:p>
            <w:pPr>
              <w:spacing w:after="0"/>
              <w:rPr>
                <w:sz w:val="2"/>
                <w:szCs w:val="2"/>
                <w:color w:val="auto"/>
              </w:rPr>
            </w:pPr>
          </w:p>
        </w:tc>
        <w:tc>
          <w:tcPr>
            <w:tcW w:w="680" w:type="dxa"/>
            <w:vAlign w:val="bottom"/>
            <w:gridSpan w:val="2"/>
          </w:tcPr>
          <w:p>
            <w:pPr>
              <w:spacing w:after="0"/>
              <w:rPr>
                <w:sz w:val="2"/>
                <w:szCs w:val="2"/>
                <w:color w:val="auto"/>
              </w:rPr>
            </w:pPr>
          </w:p>
        </w:tc>
        <w:tc>
          <w:tcPr>
            <w:tcW w:w="1260" w:type="dxa"/>
            <w:vAlign w:val="bottom"/>
            <w:gridSpan w:val="5"/>
          </w:tcPr>
          <w:p>
            <w:pPr>
              <w:spacing w:after="0"/>
              <w:rPr>
                <w:sz w:val="2"/>
                <w:szCs w:val="2"/>
                <w:color w:val="auto"/>
              </w:rPr>
            </w:pPr>
          </w:p>
        </w:tc>
        <w:tc>
          <w:tcPr>
            <w:tcW w:w="13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9"/>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9"/>
          </w:tcPr>
          <w:p>
            <w:pPr>
              <w:spacing w:after="0"/>
              <w:rPr>
                <w:sz w:val="13"/>
                <w:szCs w:val="13"/>
                <w:color w:val="auto"/>
              </w:rPr>
            </w:pPr>
          </w:p>
        </w:tc>
        <w:tc>
          <w:tcPr>
            <w:tcW w:w="1340" w:type="dxa"/>
            <w:vAlign w:val="bottom"/>
            <w:gridSpan w:val="2"/>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7"/>
          </w:tcPr>
          <w:p>
            <w:pPr>
              <w:spacing w:after="0"/>
              <w:rPr>
                <w:sz w:val="2"/>
                <w:szCs w:val="2"/>
                <w:color w:val="auto"/>
              </w:rPr>
            </w:pPr>
          </w:p>
        </w:tc>
        <w:tc>
          <w:tcPr>
            <w:tcW w:w="2600" w:type="dxa"/>
            <w:vAlign w:val="bottom"/>
            <w:gridSpan w:val="7"/>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6"/>
              </w:rPr>
              <w:t>Item 3. Quantitative and Qualitative Disclosures About Market Risk</w:t>
            </w: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600" w:type="dxa"/>
            <w:vAlign w:val="bottom"/>
            <w:tcBorders>
              <w:left w:val="single" w:sz="8" w:color="0000FF"/>
            </w:tcBorders>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40" w:type="dxa"/>
            <w:vAlign w:val="bottom"/>
            <w:gridSpan w:val="10"/>
          </w:tcPr>
          <w:p>
            <w:pPr>
              <w:spacing w:after="0"/>
              <w:rPr>
                <w:sz w:val="21"/>
                <w:szCs w:val="21"/>
                <w:color w:val="auto"/>
              </w:rPr>
            </w:pP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600" w:type="dxa"/>
            <w:vAlign w:val="bottom"/>
            <w:gridSpan w:val="15"/>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580" w:type="dxa"/>
            <w:vAlign w:val="bottom"/>
            <w:gridSpan w:val="1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1980" w:type="dxa"/>
            <w:vAlign w:val="bottom"/>
            <w:gridSpan w:val="7"/>
          </w:tcPr>
          <w:p>
            <w:pPr>
              <w:spacing w:after="0"/>
              <w:rPr>
                <w:sz w:val="21"/>
                <w:szCs w:val="21"/>
                <w:color w:val="auto"/>
              </w:rPr>
            </w:pP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4"/>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2"/>
          </w:tcPr>
          <w:p>
            <w:pPr>
              <w:spacing w:after="0"/>
              <w:rPr>
                <w:sz w:val="21"/>
                <w:szCs w:val="21"/>
                <w:color w:val="auto"/>
              </w:rPr>
            </w:pPr>
          </w:p>
        </w:tc>
        <w:tc>
          <w:tcPr>
            <w:tcW w:w="5580" w:type="dxa"/>
            <w:vAlign w:val="bottom"/>
            <w:gridSpan w:val="1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“expect,” “estimate,” “continue,” “ongoing,” “anticipate,” “intend,” “could,” “would,” “project,” “plan,” “expect” and similar expressions that convey uncertainty of future events or outcomes, although not all forward-looking statements contain these words. These are statements that relate to future events and include, but are not limited to, statements about:</w:t>
      </w:r>
    </w:p>
    <w:p>
      <w:pPr>
        <w:spacing w:after="0" w:line="19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volatile interest rates and foreign exchange fluctuations, as well as regional conflicts globally, including the war in Ukraine, the ongoing conflict in the Middle East, any impacts of the new policies and legislation enacted by the current administration, energy, trade and supply chain disruptions, and market volatility resulting from the above on our business;</w:t>
      </w:r>
    </w:p>
    <w:p>
      <w:pPr>
        <w:spacing w:after="0" w:line="2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evolving international trade policies and government actions relating to tariffs;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 and the Prosigna breast cancer assay;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diagnostics platform;</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ind w:left="640" w:right="2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 including our in vitro diagnostics, or IVD, products;</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and Decipher Biosciences into our business and our ability to develop and launch tests, and enter into supply agreements, with manufacturers of alternative systems;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 party payer reimbursement at acceptable levels and our expectations regarding the timing of reimbursement;</w:t>
      </w: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II, Item 1A and elsewhere in this report and in the section titled “Risk Factors” in Part I, Item 1A of our Annual Report on Form 10-K for the year ended December 31,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239,087</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372,267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1,344,104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78,633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124,069</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 June 30,</w:t>
            </w:r>
          </w:p>
        </w:tc>
        <w:tc>
          <w:tcPr>
            <w:tcW w:w="280" w:type="dxa"/>
            <w:vAlign w:val="bottom"/>
          </w:tcPr>
          <w:p>
            <w:pPr>
              <w:spacing w:after="0"/>
              <w:rPr>
                <w:sz w:val="13"/>
                <w:szCs w:val="13"/>
                <w:color w:val="auto"/>
              </w:rPr>
            </w:pPr>
          </w:p>
        </w:tc>
        <w:tc>
          <w:tcPr>
            <w:tcW w:w="1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2025 and December 31, 2024</w:t>
            </w: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$0.001 par value; 125,000,000 shares authorized, 78,599,109 and 77,772,678 shares issued and</w:t>
            </w:r>
          </w:p>
        </w:tc>
        <w:tc>
          <w:tcPr>
            <w:tcW w:w="2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June 30, 2025 and December 31, 2024, respectively</w:t>
            </w:r>
          </w:p>
        </w:tc>
        <w:tc>
          <w:tcPr>
            <w:tcW w:w="2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1,221,057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1,344,104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4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122,263</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106,970</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229,572</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197,273</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211,272</w:t>
            </w:r>
          </w:p>
        </w:tc>
      </w:tr>
      <w:tr>
        <w:trPr>
          <w:trHeight w:val="19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r>
      <w:tr>
        <w:trPr>
          <w:trHeight w:val="208"/>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70,891</w:t>
            </w:r>
          </w:p>
        </w:tc>
      </w:tr>
      <w:tr>
        <w:trPr>
          <w:trHeight w:val="204"/>
        </w:trPr>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169,277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140,381</w:t>
            </w:r>
          </w:p>
        </w:tc>
      </w:tr>
      <w:tr>
        <w:trPr>
          <w:trHeight w:val="19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32,430</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57,955</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140,431</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9"/>
        </w:trPr>
        <w:tc>
          <w:tcPr>
            <w:tcW w:w="44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Earnings (loss) per share: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(loss) per common share:</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78,391,502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76,538,325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78,210,881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75,649,057</w:t>
            </w:r>
          </w:p>
        </w:tc>
      </w:tr>
      <w:tr>
        <w:trPr>
          <w:trHeight w:val="208"/>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78,391,502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77,163,149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79,905,121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76,600,079</w:t>
            </w:r>
          </w:p>
        </w:tc>
      </w:tr>
    </w:tbl>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3,870</w:t>
            </w:r>
          </w:p>
        </w:tc>
      </w:tr>
      <w:tr>
        <w:trPr>
          <w:trHeight w:val="210"/>
        </w:trPr>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(1,703)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6"/>
                <w:szCs w:val="16"/>
                <w:color w:val="auto"/>
              </w:rPr>
              <w:t>(6,592)</w:t>
            </w: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 (loss)</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15,702</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640"/>
              <w:spacing w:after="0"/>
              <w:rPr>
                <w:sz w:val="20"/>
                <w:szCs w:val="20"/>
                <w:color w:val="auto"/>
              </w:rPr>
            </w:pPr>
            <w:r>
              <w:rPr>
                <w:rFonts w:ascii="Times New Roman" w:cs="Times New Roman" w:eastAsia="Times New Roman" w:hAnsi="Times New Roman"/>
                <w:sz w:val="16"/>
                <w:szCs w:val="16"/>
                <w:color w:val="auto"/>
              </w:rPr>
              <w:t>(2,722)</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78,306</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1,660,435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1,194,936</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10,715</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78,599</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1,670,853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(437,916)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1,221,057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2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78,599</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1,670,853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(437,916)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1,221,057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1,118,649</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0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4"/>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17,873</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20,609</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3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19,842</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221,153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1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221,153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Marseille, France, and Haifa, Israel.</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In addition, the Company’s Percepta Nasal Swab test is being run in its Clinical Laboratory Improvement Amendments of 1988, or CLIA, certified lab in support of clinical studies.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diagnostics, or IVD, test.</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Genomics, Inc., or C2i, a minimal residual disease, or MRD, detection company. Refer to Note 4, Business Combination,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2025, the condensed consolidated statements of operations for the three and six months ended June 30, 2025 and 2024, the condensed consolidated statements of comprehensive income (loss) for the three and six months ended June 30, 2025 and 2024, the condensed consolidated statements of stockholders' equity for the three and six months ended June 30, 2025 and 2024, and the condensed consolidated statements of cash flows for the six months ended June 30, 2025 and 2024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2024 has been derived from audited financial statements. The results for the three and six months ended June 30, 2025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U.S.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June 30, 2025,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June 30, 2025.</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29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r>
      <w:tr>
        <w:trPr>
          <w:trHeight w:val="20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maturities at the time of purchase of three months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and time deposits with a bank with maturities at the time of purchase that were between three months and one year. The Company classifies these investments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held-to-maturity debt securities, which are reported at amortized cost. Discounts or premiums from the purchase of the securities are recognized as a component of interest income in other income,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June 30, 2025 and December 31, 2024, no allowances for expected credit losses had been recorded and there have been no impairment or credit losses on the Company's short-term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$1.7 million and $1.5 million included in long-term assets as of June 30, 2025 and December 31, 2024, respectively,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six months ended June 30, 2025, the Company recorded $1.8 million and $2.2 million as revenue, respectively, and for the three and six months ended June 30, 2024, the Company recorded $4.0 million and $6.9 million, respectively, resulting from cash collections exceeding the estimated variable consideration related to tests reported in previous years, including revenue received from successful appeals of reimbursement denials, net of recoupments.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related diagnostic kits and services. Product revenue from diagnostic kits is generally recognized upon shipment. Shipping and handling costs incurred for product shipments are included in product revenue. Revenue is presented net of the taxes that are collected from customers and remitted to governmental authorities.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From time to time, 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$4.1 million at June 30, 2025 and $3.8 million at December 31, 2024. Deferred revenue related to these agreements was $1.5 million at June 30, 2025 and $1.7 million at December 31, 2024. Revenue included in biopharmaceutical and other revenue for the three and six months ended June 30, 2025 and 2024 was as follows (in thousands of dollars):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r>
      <w:tr>
        <w:trPr>
          <w:trHeight w:val="21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w:t>
            </w:r>
          </w:p>
        </w:tc>
      </w:tr>
      <w:tr>
        <w:trPr>
          <w:trHeight w:val="233"/>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consists primarily of costs of purchasing diagnostic kit components, labor, installation, service and packaging and delivery costs. In addition, cost of product includes royalty costs for licensed technologies included in the Company’s products. The cost of the finished product is recognized in the period the related revenue is recognized. Shipping and handling costs incurred for product shipments are included in cost of product in the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services, research and development, contract manufacturing and development, as well as other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has historically offered a defined benefit pension plan to certain non-U.S. employees of its French subsidiary, Veracyte SAS. See Note 11, Subsequent Events, for more information regarding Veracyte SAS. As of June 30, 2025 and December 31, 2024, the total pension obligation was $0.5 million and $0.4 million, respectively, and is included in other liabilities on the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or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annual disclosures.</w:t>
      </w:r>
    </w:p>
    <w:p>
      <w:pPr>
        <w:spacing w:after="0" w:line="20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will require public business entities to disclose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for equity awards are assumed to be used to repurchase shares. The following table sets forth the computation of basic and diluted EPS (in thousands, except per-share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9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(A)</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78,392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75,649</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8"/>
        </w:trPr>
        <w:tc>
          <w:tcPr>
            <w:tcW w:w="5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140"/>
        </w:trPr>
        <w:tc>
          <w:tcPr>
            <w:tcW w:w="52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78,392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77,163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79,905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76,600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8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Goodwill was $773.3 million and $745.8 million as of June 30, 2025 and December 31, 2024, respectively. The changes in the carrying amounts of goodwill during the three and six months ended June 30, 2025 were due to foreign currency translation. The Company has not recorded any impairment related to goodwill.</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3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2"/>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2,724</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23,754</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88,801</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152,920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Amortization expense of $3.3 million and $3.8 million was recognized for the three months ended June 30, 2025 and 2024, respectively, and an expense of $6.5 million and $7.4 million was recognized for the six months ended June 30, 2025 and 2024, respectively.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June 30, 2025 is as follows (in thousands of dollars):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6,657</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12,672</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32,732</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89,606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Supplies consisted of lab supplies and reagents to be used in the performance of testing services. Inventory related to finished and semi-finished goods used in the assembly of diagnostic kits related to product sales as well as raw materials consumed in the contract manufacturing process. As of June 30, 2025 and December 31, 2024, supplies and inventory consisted of the following (in thousands of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17,876</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supplies and inventory</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On July 16, 2025, the Marseille Commercial Court published a decision approving the divestiture of certain portions of the Company's French subsidiary, Veracyte SAS, to Helio Diagnostics SAS, effective August 1, 2025. The remaining assets will be managed by the judicial administrator until such time that the Marseille Commercial Court appoints a judicial liquidator to solely initiate and manage liquidation proceedings. Effective August 1, 2025, the Company no longer has the power to control the financial and operating policies of Veracyte SAS. The Company assessed the associated assets as of June 30, 2025 for impairment and determined that the value of the remaining assets of Veracyte SAS, including accounts receivable; supplies and inventory; right-of-use assets; property, plant, and equipment; and other receivables were not recoverable. As a result, the Company recorded a $20.5 million non-cash impairment charge during the three months ended June 30, 2025, as detailed in the impairment of assets row of the condensed consolidated statement of operations. See Note 11, Subsequent Events, for more information regarding Veracyte SAS.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13,231</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was agreed to be paid on achievement of certain milestones and the remainder in cash.</w:t>
      </w:r>
    </w:p>
    <w:p>
      <w:pPr>
        <w:spacing w:after="0" w:line="212"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Assets acquired and liabilities assumed were recorded based on valuations derived from estimated fair value assessments and assumptions used by the Company. The measurement period concluded in February 2025, and no adjustments were recorded during the measurement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jc w:val="both"/>
        <w:ind w:left="80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Included in cash and cash equivalents as of December 31, 2024 were $50.4 million of treasury bills with maturities at the time of purchase of three months or less, which are Level I assets as described above. Money market funds, included in cash and cash equivalents, were $0.8 million and $1.6 million as of June 30, 2025 and December 31, 2024, respectively, and are Level I assets as described above. The deposits for the leases, included in restricted cash, were $1.7 million and $1.5 million as of June 30, 2025 and December 31, 2024, respectively, and are Level I assets as described above. There were no transfers between Levels 1, 2 or 3 for the six months ended June 30, 2025 and 2024.</w:t>
      </w:r>
    </w:p>
    <w:p>
      <w:pPr>
        <w:spacing w:after="0" w:line="1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As of June 30, 2025 and December 31, 2024, this contingency was remeasured to $2.2 million and $3.3 million, respectively. For both the three and six months ended June 30, 2025, reversal of expense of $1.0 million was recorded, and for both the three and six months ended June 30, 2024, expense of $0.1 million was recorded. As of June 30, 2025, the achievement of one of the milestones is forecasted to occur within the next 12 months. As a result, $1.7 million of the contingent consideration is included in short term liabilities at June 30,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June 30, 2025 and December 31, 2024, this contingency was remeasured to $11.8 million and $14.3 million, respectively. For the three and six months ended June 30, 2025, an expense of $0.1 million and a reversal of expense of $1.9 million, respectively, were recorded. For both the three and six months ended June 30, 2024, an expense of $0.8 million was recorded. As of June 30, 2025, the achievement of all of the remaining milestones is forecasted to occur within the next 12 months. As a result, the contingent consideration is included in short term liabilities at June 30, 2025. During the year ended December 31, 2024, one of the milestones was achieved resulting in the payment of $5.0 million in cash and, during the six months ended June 30, 2025, one of the milestones was achieved resulting in the payment of $0.7 million in cash.</w:t>
      </w:r>
    </w:p>
    <w:p>
      <w:pPr>
        <w:spacing w:after="0" w:line="20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June 30, 2025 and December 31, 2024, the Company calculated the estimated fair value of the milestones using the following significant unobservable inputs: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 - 5.2% (4.7%)</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 - 6.2% (5.3%)</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10% - 90% (72%)</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- 90% (86%)</w:t>
            </w:r>
          </w:p>
        </w:tc>
      </w:tr>
    </w:tbl>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with maturities, at the time of purchase, that were between three months and one year. The Company classifies these investments as held-to-maturity debt securities, which are reported at amortized cost, and are Level I assets as described above. As of June 30, 2025 and December 31, 2024, short-term investments comprised United States treasury bills recorded at amortized cost of $101.2 million and $50.4 million, respectively, with fair values of approximately $101.2 million and $50.4 million, respectively. As of June 30, 2025, gross unrealized gains or losses on short-term investments were insignificant.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leases office and laboratory facilities in the U.S., including in South San Francisco and San Diego, California and Austin, Texas, and, prior to the liquidation of Veracyte SAS assets, in Marseille, France, and leases certain equipment under various non-cancelable lease agreements. The lease terms extend to March 2040 and contain extension of lease terms and expansion options. The leases have a weighted average remaining lease term of 11.3 years as of June 30, 2025. The Company had deposits of $1.7 million and $1.5 million included in long-term assets as of June 30, 2025 and December 31, 2024, respectively, restricted from withdrawal and held by banks in the form of collateral for irrevocable standby letters of credit held as security for the leases.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June 30, 2025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8,677</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56,821</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92,529</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41,883</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50,646</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6,414</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90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3"/>
                <w:szCs w:val="13"/>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tcPr>
          <w:p>
            <w:pPr>
              <w:spacing w:after="0"/>
              <w:rPr>
                <w:sz w:val="13"/>
                <w:szCs w:val="13"/>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00" w:type="dxa"/>
            <w:vAlign w:val="bottom"/>
          </w:tcPr>
          <w:p>
            <w:pPr>
              <w:spacing w:after="0"/>
              <w:rPr>
                <w:sz w:val="13"/>
                <w:szCs w:val="13"/>
                <w:color w:val="auto"/>
              </w:rPr>
            </w:pPr>
          </w:p>
        </w:tc>
        <w:tc>
          <w:tcPr>
            <w:tcW w:w="36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08"/>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3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spacing w:after="0" w:line="202"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jury trial is currently scheduled for January 25, 2027.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5,691,373</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5,773,382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10,742,036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8,971,566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966,979</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1,051,407</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17,400,388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15,796,355</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8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4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33"/>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w:t>
      </w:r>
    </w:p>
    <w:p>
      <w:pPr>
        <w:spacing w:after="0" w:line="247"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discreetly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discreet operating results of the business activities, nor is there any intent to bifurcate the overall business review process to produce discreet operating results specific to any of the Company's business activities. The measure of segment assets is reported on the consolidated balance sheet as total consolidated assets. Consolidated revenue does not include any inter-segment sales or transfers.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Information about reported segment revenue, measures of segment profit or loss, significant segment expenses and reconciliation to income from operations was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122,263</w:t>
            </w:r>
          </w:p>
        </w:tc>
        <w:tc>
          <w:tcPr>
            <w:tcW w:w="160" w:type="dxa"/>
            <w:vAlign w:val="bottom"/>
          </w:tcPr>
          <w:p>
            <w:pPr>
              <w:spacing w:after="0"/>
              <w:rPr>
                <w:sz w:val="18"/>
                <w:szCs w:val="18"/>
                <w:color w:val="auto"/>
              </w:rPr>
            </w:pP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106,970</w:t>
            </w:r>
          </w:p>
        </w:tc>
        <w:tc>
          <w:tcPr>
            <w:tcW w:w="16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229,572</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197,273</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r>
      <w:tr>
        <w:trPr>
          <w:trHeight w:val="20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130,164</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211,272</w:t>
            </w: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25,244</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testing revenue (1)</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testing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costs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product revenue (2)</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product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cost of biopharmaceutical and other revenue (3)</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cost of biopharmaceutical and other revenue</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6,650</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w:t>
            </w:r>
          </w:p>
        </w:tc>
      </w:tr>
      <w:tr>
        <w:trPr>
          <w:trHeight w:val="20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89,769</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169,277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140,381</w:t>
            </w:r>
          </w:p>
        </w:tc>
      </w:tr>
      <w:tr>
        <w:trPr>
          <w:trHeight w:val="19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research and development expenses (4)</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32,430</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34,703</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selling and marketing expenses (5)</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selling and marketing</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25,316</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40,866</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 (6)</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30,481</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(8,663)</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66,139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57,955</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241" w:lineRule="exact"/>
        <w:rPr>
          <w:sz w:val="20"/>
          <w:szCs w:val="20"/>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testing revenue includes cytopathology services, depreciation and amortization and other expenses.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product revenue includes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biopharmaceutical and other revenue includes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marketing expenses includes travel, entertainment, conference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includes professional fees, information technology expense, occupancy costs, depreciation and amortization, contingent consideration and other expenses.</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and is adjusted for discrete items recorded in the period. For the three months ended June 30, 2025 and 2024, the Company’s effective tax rate was 178.5% and 22.1%, respectively. The non-cash impairment of $20.5 million recorded in the period was treated as a discrete item for provisioning purposes and excluded from income thus the Company’s effective tax rate for the three months ended June 30, 2025 was substantially higher when compared to prior periods. For the six months ended June 30, 2025 and 2024, the Company’s effective tax rate was 30.1% and 29.0%, respectively. For the six months ended June 30, 2025, the primary difference between the effective tax rate and the federal statutory rate is driven by unfavorable permanent differences, offset by the full valuation allowance the Company has established on its federal, state and foreign net operating losses and credits. For the six months ended June 30, 2024, the primary difference between the effective tax rate and the federal statutory rate is driven by the full valuation allowance the Company has established on its federal, state and foreign net operating losses and credits.</w:t>
      </w:r>
    </w:p>
    <w:p>
      <w:pPr>
        <w:spacing w:after="0" w:line="2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$2.2 million and $1.6 million for the three months ended June 30, 2025 and 2024, respectively, and recorded income tax expense of $2.6 million and $1.6 million for the six months ended June 30, 2025 and 2024, respectively. The provision for income taxes recorded in the three and six months ended June 30, 2025 and 2024 consists primarily of state income taxes incurred by a subsidiary associated with the Company's Decipher product 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Deconsolidation of Veracyte SAS</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On July 16, 2025, the Marseille Commercial Court published a decision approving the divestiture of certain portions of the Company's French subsidiary, Veracyte SAS, to Helio Diagnostics SAS, effective August 1, 2025. The remaining assets will be managed and controlled by the judicial administrator until such time that the Marseille Commercial Court appoints a judicial liquidator to solely initiate and manage liquidation proceedings. Effective August 1, 2025, the Company no longer has the power to control the financial and operating policies of Veracyte SAS. Accordingly, the Company will derecognize the related assets and liabilities from its consolidated financial statements in the three months ending September 30, 2025.</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Income Tax</w:t>
      </w:r>
    </w:p>
    <w:p>
      <w:pPr>
        <w:spacing w:after="0" w:line="24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or OBBBA, which includes numerous changes to existing tax law including extending or making permanent certain business and international tax measures initially established under the 2017 Tax Cuts and Jobs Act, which were set to expire. The OBBBA permanently eliminates the requirement to capitalize and amortize U.S.-based research and experimental expenditures over five years, making these expenditures fully deductible in the period incurred. The OBBBA also permanently extends the full expensing of qualifying assets through accelerated bonus depreciation in the period acquired. The OBBBA has multiple effective dates, with certain provisions effective in 2025 and others to be implemented through 2027. The Company will continue to analyze the OBBBA and its impact on its financial statements and will reflect any impact in the period of enactment.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2024, or our Annual Report.</w:t>
      </w:r>
    </w:p>
    <w:p>
      <w:pPr>
        <w:spacing w:after="0" w:line="20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under Part II, Item 1A of this report and under Part I, Item 1A of our Annual Report. Historical results are not necessarily indicative of future results.</w:t>
      </w:r>
    </w:p>
    <w:p>
      <w:pPr>
        <w:spacing w:after="0" w:line="21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"C2i", "C2i Genomics" and the Veracyte logo are registered trademarks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Insights from these tests help patients avoid unnecessary procedures and interventions and accelerate time to appropriate treatment, thereby improving outcomes for patients in our global markets.</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the United States, we currently offer tests in prostate cancer (Decipher Prostate), thyroid cancer (Afirma), breast cancer (Prosigna), and bladder cancer (Decipher Bladder). In addition, our Percepta Nasal Swab test is being run in our Clinical Laboratory Improvement Amendments of 1988, or CLIA, certified labs in support of clinical studies.</w:t>
      </w:r>
    </w:p>
    <w:p>
      <w:pPr>
        <w:spacing w:after="0" w:line="6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through our centralized CLIA certified laboratories in South San Francisco and San Diego, California, supported by our cytopathology expertise in Austin, Texas. Additionally, primarily outside of the United States, we provide in vitro diagnostics, or IVD, tests to patients through distribution to laboratories and hospitals that can perform the tests locally. Our international distribution of IVDs is currently limited to our Prosigna test, however, in the future, we intend to offer Decipher Prostate and Percepta Nasal Swab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are aiming to expand our role across the cancer continuum with the addition of minimal residual disease, or MRD assays. This will broaden our portfolio of tests to help monitor the success of a therapeutic or surgical intervention, and support the determination of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Recent macroeconomic factors, such as interest rate fluctuations and inflation in the United States and other markets, evolving international trade policies and government actions relating to tariffs, as well as volatility in the global banking and finance systems,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and in Israel may adversely impact our business and operating results. Finally, the ongoing conflict in the Middle East and related political, military and security conditions in and around Israel may disrupt our Israel business operations and employees that we acquired through the Company’s acquisition of 100% of the outstanding equity interests of C2i, or the C2i Acquisition.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future developments and their impact on our customers' operations and our sales and renewal cycles. We may also be adversely affected by further changes in central bank policies and fluctuations in interest rates, rates of inflation, and changes in foreign currency exchange rates. See "Risk Factors" for further discussion.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spacing w:after="0" w:line="176" w:lineRule="exact"/>
        <w:rPr>
          <w:sz w:val="20"/>
          <w:szCs w:val="20"/>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single-source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 test kits, including as a result of higher average selling prices and overall spending constraints across our industry;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w:t>
      </w:r>
    </w:p>
    <w:p>
      <w:pPr>
        <w:spacing w:after="0" w:line="19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Acquisitions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 significant aspect of our business is our investment in development activities, including activities related to the development of new tests and modifications and enhancements to our current tests, including the ongoing development of our IVD and MRD strategies. In addition to these development activities, we also perform clinical evidence studies which 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to gaining clinician adoption of our tests, driving favorable coverage decisions by payers, as well as gaining guideline inclusion for such tests.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5"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Our product revenue consists primarily of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to third parties,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discovery and development experiments. Further, we conduct clinical studies to validate our new products, as well as on-going clinical studies to further the published evidence to support our commercialized tests. The timing of these research and development activities is difficult to predict, as is the timing of clinical trial enrollments and sample acquisitions. Therefore, spending on research and development may vary significantly by quarter depending on the timing of these various expenses.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Through June 30, 2025,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third-party payer and individual patients. Third-party payers and other customers in excess of 10% of total revenue and their related revenue as a percentage of total revenue were as follows for the periods presented:</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29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r>
      <w:tr>
        <w:trPr>
          <w:trHeight w:val="20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processing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diagnostic kit components, labor, installation, service and packaging and delivery costs. In addition, cost of product revenue includes royalty costs for licensed technologies included in our products. As our Prosigna test kits are sold in various configurations with different numbers of tests, our product cost per test will continue to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10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the six months ended June 30, 2025 and the year ended December 31, 2024 in support of our early-stage products, including Percepta Nasal Swab, support for the development and validation of our MRD tests, and the development of new IVD products and discovery. Going forward, we expect to incur significant expense as we invest in the continued development of our innovation engine, early-stage products including our MRD tests, required clinical studies and the development of current IVD tests.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2025 and 2024 (in thousands of dollars, except percentages and test volume):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40" w:type="dxa"/>
            <w:vAlign w:val="bottom"/>
            <w:tcBorders>
              <w:bottom w:val="single" w:sz="8" w:color="auto"/>
            </w:tcBorders>
          </w:tcPr>
          <w:p>
            <w:pPr>
              <w:spacing w:after="0"/>
              <w:rPr>
                <w:sz w:val="18"/>
                <w:szCs w:val="18"/>
                <w:color w:val="auto"/>
              </w:rPr>
            </w:pPr>
          </w:p>
        </w:tc>
      </w:tr>
      <w:tr>
        <w:trPr>
          <w:trHeight w:val="207"/>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7"/>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15,293</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32,299</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208"/>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r>
      <w:tr>
        <w:trPr>
          <w:trHeight w:val="204"/>
        </w:trPr>
        <w:tc>
          <w:tcPr>
            <w:tcW w:w="3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21%</w:t>
            </w:r>
          </w:p>
        </w:tc>
      </w:tr>
      <w:tr>
        <w:trPr>
          <w:trHeight w:val="19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4680%</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4628%</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101%</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w:t>
            </w:r>
          </w:p>
        </w:tc>
      </w:tr>
      <w:tr>
        <w:trPr>
          <w:trHeight w:val="20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13,493</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72,447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33"/>
        </w:trPr>
        <w:tc>
          <w:tcPr>
            <w:tcW w:w="3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increased $15.7 million for the three months ended June 30, 2025 compared to the same period in 2024. This was primarily due to a $15.3 million increase in testing revenue and a $0.8 million increase in our biopharmaceutical and other revenue, partially offset by a $0.3 million decrease in our product revenue. The 14% growth in testing revenue was primarily driven by an 18% volume increase, partially offset by lower prior period collections compared to the prior year period.</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increased $33.4 million for the six months ended June 30, 2025 compared to the same period in 2024. This was primarily due to a $32.3 million increase in testing revenue and a $1.3 million increase in our biopharmaceutical and other revenue, partially offset by a $0.3 million decrease in our product revenue. The 16% growth in testing revenue was primarily driven by a 20% volume increase, partially offset by lower prior period collections compared to the prior year period.</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Product revenue decreased $0.3 million for the three and six months ended June 30, 2025 compared to the same periods in 2024.</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Biopharmaceutical and other revenue increased by $0.8 million for the three months ended June 30, 2025 and increased by $1.3 million for the six months ended June 30, 2025, compared to the same periods in 2024, driven primarily by an increase of customer projects related to our U.S. CLIA test offering.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28,369</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Cytopathology services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33"/>
        </w:trPr>
        <w:tc>
          <w:tcPr>
            <w:tcW w:w="3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6"/>
        </w:trPr>
        <w:tc>
          <w:tcPr>
            <w:tcW w:w="3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3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$4.5 million, or 16%, for the three months ended June 30, 2025 compared to the same period in 2024. The increase in cost of testing revenue was due to increased volume in testing, higher staffing to support testing performance and the build out of infrastructure related to current and future growth expectations, primarily related to Decipher Prostate and Afirma tests, partially offset by lab efficiencies.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$6.8 million, or 13%, for the six months ended June 30, 2025 compared to the same period in 2024. The increase in cost of testing revenue was due to increased volume in testing, higher staffing to support testing performance and the build out of infrastructure related to current and future growth expectations, primarily related to Decipher Prostate and Afirma tests, partially offset by lab efficiencies.</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product revenue decreased $0.1 million, or 7%, for the three months ended June 30, 2025 and decreased $1.3 million, or 30%, for the six months ended June 30, 2025 compared to the same periods in 2024, driven primarily by lower volume of kit sales.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Cost of biopharmaceutical and other revenue for the three and six months ended June 30, 2025 decreased by $0.2 million and $0.4 million, respectively, compared to the same periods in 2024, driven by reductions of staffing and variable expenses related to projects.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79 %</w:t>
            </w: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r>
      <w:tr>
        <w:trPr>
          <w:trHeight w:val="210"/>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r>
      <w:tr>
        <w:trPr>
          <w:trHeight w:val="233"/>
        </w:trPr>
        <w:tc>
          <w:tcPr>
            <w:tcW w:w="3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$0.2 million, or 1%, for the three months ended June 30, 2025 compared to the same period in 2024. The decrease was primarily due to the timing of direct research and product development expense related to our on-going development costs for our IVD and MRD strategies, as well as projects to enhance laboratory efficiencies that were offset by increased headcount expenses. In addition to these costs, there was an increase in our allocated costs from general and administrative expenses.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$1.6 million, or 5%, for the six months ended June 30, 2025 compared to the same period in 2024. The increase was primarily driven by annual compensation expense increases and partially offset by timing of spend related to direct research and product development expense related to our on-going development costs for our U.S. CLIA, IVD and MRD strategies. In addition to these costs, there was an increase in our allocated costs from general and administrative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r>
      <w:tr>
        <w:trPr>
          <w:trHeight w:val="21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r>
      <w:tr>
        <w:trPr>
          <w:trHeight w:val="21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r>
      <w:tr>
        <w:trPr>
          <w:trHeight w:val="206"/>
        </w:trPr>
        <w:tc>
          <w:tcPr>
            <w:tcW w:w="3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25,316</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$1.1 million, or 5%, for the three months ended June 30, 2025 compared to the same period in 2024. The increase in compensation expense was primarily related to annual merit increases. Direct marketing expense decreased primarily due to timing of trade shows and market research. Further, there was an increase in allocated costs from general and administrative expenses.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$1.8 million, or 4%, for the six months ended June 30, 2025 compared to the same period in 2024. The increase was primarily due to annual merit increases, headcount additions and the impact of stock-based compensation related to employee exits in the prior year period, offset in part by the reduction of Envisia sales support.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Direct marketing expense decreased primarily due to the timing of trade show events. Further, there was an increase in allocated costs from general and administrative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six months ended June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Information technology expense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costs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Revaluation of acquisition-related contingent</w:t>
            </w: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6"/>
        </w:trPr>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66,139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 increased by $0.6 million for the three months ended June 30, 2025, compared to the same period in 2024. The results were impacted primarily by an increase of $4.2 million in professional fees mainly related to the Veracyte SAS collective proceedings petition filing, as well as information technology expense increases related to our cloud infrastructure and software development investments. These increases were offset by reductions in the revaluation of contingent consideration related to the acquisitions of C2i and nCounter diagnostic rights, and compensation expense given the prior year expense related to the voluntary Veracyte SAS employee exits. General and administrative expenses related to occupancy costs and information technology costs are allocated to general and administrative expense, selling and marketing expense, research and development expense, and cost of revenue based on the number of employees by location.</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$8.2 million for the six months ended June 30, 2025, compared to the same period in 2024. The results were impacted primarily by an increase of $7.9 million in professional fees mainly related to the Veracyte SAS collective proceedings petition filing, as well as information technology expense increases related to our cloud infrastructure and software development investments. Compensation expense increased primarily due to annual merit increases, additional headcount and higher stock-based compensation and was partially offset by the prior year expense related to the voluntary exits related to our Veracyte SAS employees. These increases were offset by reductions in the revaluation of contingent consideration related to the acquisitions of C2i and nCounter diagnostic rights.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July 16, 2025, the Marseille Commercial Court published a decision approving the divestiture of certain portions of our French subsidiary, Veracyte SAS, to Helio Diagnostics SAS, effective August 1, 2025. The remaining assets will be managed by the judicial administrator until such time that the Marseille Commercial Court appoints a judicial liquidator to solely initiate and manage liquidation proceedings. Effective August 1, 2025, the Company no longer has the power to control the financial and operating policies of Veracyte SAS. We assessed the associated assets as of June 30, 2025 for impairment and determined that the value of the remaining assets of Veracyte SAS including accounts receivable; supplies and inventory; right-of-use assets; property, plant, and equipment; and other receivables were not recoverable. As a result, we recorded a $20.5 million non-cash impairment charge during the three months ended June 30,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net, increased $3.8 million for the three months ended June 30, 2025 compared to the same period in 2024, primarily due to increased gain of $3.5 million due to unrealized foreign currency gain(loss) and an increase of $0.2 million from interest income.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net, increased $5.5 million for the six months ended June 30, 2025 compared to the same period in 2024, primarily due to an increased gain of $5.6 million due to unrealized foreign currency gain(loss).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expense of $2.2 million and $1.6 million for the three months ended June 30, 2025 and 2024, respectively, and recorded income tax expense of $2.6 million and $1.6 million for the six months ended June 30, 2025 and 2024, respectively.</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or the OBBBA, which includes numerous changes to existing tax law including extending or making permanent certain business and international tax measures initially established under the 2017 Tax Cuts and Jobs Act, which were set to expire. The OBBBA permanently eliminates the requirement to capitalize and amortize U.S.-based research and experimental expenditures over five years, making these expenditures fully deductible in the period incurred. The OBBBA also permanently extends the full expensing of qualifying assets through accelerated bonus depreciation in the period acquired. The OBBBA has multiple effective dates, with certain provisions effective in 2025 and others to be implemented through 2027. We will continue to analyze the OBBBA and its impact on our financial statements and will reflect any impact in the period of enactment.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June 30, 2025, we had cash and cash equivalents and short-term investments of $320.7 million. During the six months ended June 30, 2025, our cash and cash equivalents and short-term investments increased by $31.3 million. Historically, we have obtained financing primarily through sales of our equity securities. Beginning in 2023, our operations have been financed primarily by cash flows generated by our revenue. For the six months ended June 30, 2025, we had net income of $6.1 million, but we may not sustain profitability in the future. As of June 30, 2025, we had an accumulated deficit of $437.9 million.</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believe our existing cash and cash equivalents and short-term investments as of June 30, 2025,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credit markets or the banking system may impact our liquidity both in the short term and long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the U.S., including in South San Francisco and San Diego, California and Austin, Texas, and prior to the liquidation of Veracyte SAS assets, in Marseille, France, and lease certain equipment under various non-cancelable lease agreements. The lease terms extend to March 2040 and contain extension of lease term and expansion options. As of June 30, 2025, the leases have a weighted average remaining lease term of 11.3 years and total future minimum lease payments of $92.5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C2i securityholders’ agent, or the Merger Agreement, we may be required to pay to certain noteholders of C2i up to an additional $16.0 million in cash or shares of our common stock, at our election, upon the achievement of certain milestones. During the six months ended June 30, 2025, one of the milestones was achieved resulting in the payment of $0.7 million. As of June 30, 2025, we expect to achieve a portion or all of the remaining milestones contained in the Merger Agreement within the next 12 months, requiring payments totaling up to $16.0 million.</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be required to pay up to an additional $10.0 million in cash, contingent upon first achievement or occurrence, by us or on our behalf, of the commercial launch of the first, second and third diagnostic tests for use on the nCounter multiplex analysis system. As of June 30, 2025, the achievement of one of the milestones is forecasted to occur within the next 12 months, requiring payments totaling $3.5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2025 was $39.0 million. Our net income of $6.1 million includes non-cash charges of $21.9 million of stock-based compensation expense, $10.9 million of depreciation and amortization, of which $6.5 million was related to intangible asset amortization, $20.5 million tied to the impairment of assets, non-cash lease expense of $1.6 million, non-cash gains of $2.9 million from the revaluation of contingent consideration and $5.1 million from the effect of foreign currency changes on operations. Cash used as a result of changes in operating assets and liabilities was $14.2 million, primarily composed of an increase in prepaid expenses and other current assets of $5.5 million, an increase in accounts receivable of $4.3 million, a decrease in accrued liabilities and deferred revenue of $2.1 million, and an increase in supplies and inventory of $2.9 million partially offset by an increase in accounts payable of $3.1 million.</w:t>
      </w:r>
    </w:p>
    <w:p>
      <w:pPr>
        <w:spacing w:after="0" w:line="18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2024 was $20.6 million. Our net income of $3.9 million includes non-cash charges of $17.9 million of stock-based compensation expense, $11.3 million of depreciation and amortization, of which $7.4 million was related to intangible asset amortization, and the remainder was due to a non-cash lease expense of $2.3 million. Cash used as a result of changes in operating assets and liabilities was $17.0 million, primarily composed of an increase in accounts receivable of $10.1 million, an increase in supplies and inventory of $3.3 million, a decrease in operating lease liability of $2.4 million, an increase in prepaids and other current assets of $2.2 million, a decrease in accounts payable of $1.7 million, and an increase in other assets of $1.2 million. Cash used as a result of changes in operating assets and liabilities was partially offset by cash provided by an increase in accrued liabilities and deferred revenue of $3.9 million.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was $52.0 million, consisting of $48.9 million from the purchase and maturity of short-term investments and $3.1 million used in the purchase of property, plant and equipment.</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2024 was $0.1 million, consisting of $5.0 million net cash acquired from C2i excluding post-close transactions costs, partially offset by $4.9 million used in the purchase of property, plant and equipment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was $7.1 million, consisting of $11.8 million in tax payments during the period related to the vesting of restricted stock units granted to employees, partially offset by $4.8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$0.9 million, consisting of $5.1 million in tax payments during the period related to the vesting of restricted stock units granted to employees, partially offset by $4.3 million in proceeds from the exercise of options to purchase our common stock and the purchase of stock under our ESPP.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Organization, Description of Business and Summary of Significant Accounting Policies, in the notes to our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$320.7 million as of June 30, 2025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June 30, 2025 we held $3.6 million of bank deposits denominated in Euros. Such Euro denominated deposits carry a degree of risk from changes in currency exchange rates as the gains or losses from changes in exchange rates are included in our net income and comprehensive income (loss). As of June 30, 2025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spacing w:after="0" w:line="213"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effective as of June 30, 2025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Note 6, Commitments and Contingencies</w:t>
      </w:r>
      <w:r>
        <w:rPr>
          <w:rFonts w:ascii="Times New Roman" w:cs="Times New Roman" w:eastAsia="Times New Roman" w:hAnsi="Times New Roman"/>
          <w:sz w:val="18"/>
          <w:szCs w:val="18"/>
          <w:color w:val="auto"/>
        </w:rPr>
        <w:t>, under the heading “Contingencies,” in the notes to our condensed consolidated financial statements included elsewhere in this report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the following officer adopted, modified or terminated a “Rule 10b5-1 trading arrangement” (as defined in Item 408 of Regulation S-K of the Exchange Act). None of our other Section 16 officers or directors adopted, modified or terminated such “Rule 10b5-1 trading arrangements” during the three months ended June 30, 2025.</w:t>
      </w:r>
    </w:p>
    <w:p>
      <w:pPr>
        <w:spacing w:after="0" w:line="69" w:lineRule="exact"/>
        <w:rPr>
          <w:sz w:val="20"/>
          <w:szCs w:val="20"/>
          <w:color w:val="auto"/>
        </w:rPr>
      </w:pPr>
    </w:p>
    <w:p>
      <w:pPr>
        <w:jc w:val="both"/>
        <w:ind w:left="640" w:hanging="315"/>
        <w:spacing w:after="0" w:line="25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Leite, Global Chief Commercial Officer, adopted a new trading plan on June 9, 2025 (with the first trade under the new plan scheduled for approximately September 8, 2025). The trading plan will be effective until September 18, 2026 to sell an aggregate of (i) 9,077 shares of our common stock, plus (ii) 100% of the net shares resulting from the vesting of 42,137 additional common stock during the plan period (net shares are net of tax withholding).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3"/>
        </w:trPr>
        <w:tc>
          <w:tcPr>
            <w:tcW w:w="122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7"/>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vMerge w:val="restart"/>
          </w:tcPr>
          <w:p>
            <w:pPr>
              <w:spacing w:after="0"/>
              <w:rPr>
                <w:sz w:val="13"/>
                <w:szCs w:val="13"/>
                <w:color w:val="auto"/>
              </w:rPr>
            </w:pPr>
          </w:p>
        </w:tc>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vMerge w:val="restart"/>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7"/>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1040" w:type="dxa"/>
            <w:vAlign w:val="bottom"/>
            <w:gridSpan w:val="5"/>
          </w:tcPr>
          <w:p>
            <w:pPr>
              <w:jc w:val="right"/>
              <w:ind w:right="2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2023 </w:t>
            </w:r>
            <w:hyperlink r:id="rId49">
              <w:r>
                <w:rPr>
                  <w:rFonts w:ascii="Times New Roman" w:cs="Times New Roman" w:eastAsia="Times New Roman" w:hAnsi="Times New Roman"/>
                  <w:sz w:val="18"/>
                  <w:szCs w:val="18"/>
                  <w:color w:val="0000FF"/>
                </w:rPr>
                <w:t>Equity Incentive Plan, as Amended</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001-36156</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6/18/2025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40" w:type="dxa"/>
            <w:vAlign w:val="bottom"/>
            <w:gridSpan w:val="5"/>
          </w:tcPr>
          <w:p>
            <w:pPr>
              <w:jc w:val="right"/>
              <w:ind w:right="2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8"/>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of agreements under the 2023 Equity Incentive Plan</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S-8 POS</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333-270147</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6/8/2023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60" w:type="dxa"/>
            <w:vAlign w:val="bottom"/>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tcBorders>
              <w:top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4"/>
                <w:szCs w:val="14"/>
                <w:color w:val="0000FF"/>
              </w:rPr>
              <w:t>13a-14(a)/15d-14(a), as adopted pursuant to Section 302 of</w:t>
            </w:r>
          </w:p>
        </w:tc>
        <w:tc>
          <w:tcPr>
            <w:tcW w:w="40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0000FF"/>
              </w:rPr>
              <w:t>the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6940" w:type="dxa"/>
            <w:vAlign w:val="bottom"/>
            <w:gridSpan w:val="4"/>
          </w:tcPr>
          <w:p>
            <w:pPr>
              <w:spacing w:after="0"/>
              <w:rPr>
                <w:sz w:val="17"/>
                <w:szCs w:val="17"/>
                <w:color w:val="auto"/>
              </w:rPr>
            </w:pPr>
          </w:p>
        </w:tc>
        <w:tc>
          <w:tcPr>
            <w:tcW w:w="2580" w:type="dxa"/>
            <w:vAlign w:val="bottom"/>
          </w:tcPr>
          <w:p>
            <w:pPr>
              <w:spacing w:after="0"/>
              <w:rPr>
                <w:sz w:val="17"/>
                <w:szCs w:val="17"/>
                <w:color w:val="auto"/>
              </w:rPr>
            </w:pPr>
          </w:p>
        </w:tc>
      </w:tr>
      <w:tr>
        <w:trPr>
          <w:trHeight w:val="871"/>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40" w:type="dxa"/>
            <w:vAlign w:val="bottom"/>
            <w:gridSpan w:val="2"/>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2580" w:type="dxa"/>
            <w:vAlign w:val="bottom"/>
          </w:tcPr>
          <w:p>
            <w:pPr>
              <w:spacing w:after="0"/>
              <w:rPr>
                <w:sz w:val="13"/>
                <w:szCs w:val="13"/>
                <w:color w:val="auto"/>
              </w:rPr>
            </w:pPr>
          </w:p>
        </w:tc>
      </w:tr>
      <w:tr>
        <w:trPr>
          <w:trHeight w:val="219"/>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4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2440" w:type="dxa"/>
            <w:vAlign w:val="bottom"/>
          </w:tcPr>
          <w:p>
            <w:pPr>
              <w:spacing w:after="0"/>
              <w:rPr>
                <w:sz w:val="19"/>
                <w:szCs w:val="19"/>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80" w:type="dxa"/>
            <w:vAlign w:val="bottom"/>
            <w:gridSpan w:val="3"/>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2580" w:type="dxa"/>
            <w:vAlign w:val="bottom"/>
          </w:tcPr>
          <w:p>
            <w:pPr>
              <w:spacing w:after="0"/>
              <w:rPr>
                <w:sz w:val="13"/>
                <w:szCs w:val="13"/>
                <w:color w:val="auto"/>
              </w:rPr>
            </w:pPr>
          </w:p>
        </w:tc>
      </w:tr>
      <w:tr>
        <w:trPr>
          <w:trHeight w:val="206"/>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440" w:type="dxa"/>
            <w:vAlign w:val="bottom"/>
          </w:tcPr>
          <w:p>
            <w:pPr>
              <w:spacing w:after="0"/>
              <w:rPr>
                <w:sz w:val="17"/>
                <w:szCs w:val="17"/>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980" w:type="dxa"/>
            <w:vAlign w:val="bottom"/>
            <w:gridSpan w:val="6"/>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580" w:type="dxa"/>
            <w:vAlign w:val="bottom"/>
          </w:tcPr>
          <w:p>
            <w:pPr>
              <w:spacing w:after="0"/>
              <w:rPr>
                <w:sz w:val="15"/>
                <w:szCs w:val="15"/>
                <w:color w:val="auto"/>
              </w:rPr>
            </w:pPr>
          </w:p>
        </w:tc>
      </w:tr>
      <w:tr>
        <w:trPr>
          <w:trHeight w:val="232"/>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2580" w:type="dxa"/>
            <w:vAlign w:val="bottom"/>
          </w:tcPr>
          <w:p>
            <w:pPr>
              <w:spacing w:after="0"/>
              <w:rPr>
                <w:sz w:val="20"/>
                <w:szCs w:val="20"/>
                <w:color w:val="auto"/>
              </w:rPr>
            </w:pPr>
          </w:p>
        </w:tc>
      </w:tr>
      <w:tr>
        <w:trPr>
          <w:trHeight w:val="228"/>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101.SCH</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101.CAL</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101.DEF</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101.LAB</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101.PRE</w:t>
            </w: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8"/>
        </w:trPr>
        <w:tc>
          <w:tcPr>
            <w:tcW w:w="1240" w:type="dxa"/>
            <w:vAlign w:val="bottom"/>
            <w:gridSpan w:val="3"/>
          </w:tcPr>
          <w:p>
            <w:pPr>
              <w:jc w:val="right"/>
              <w:ind w:right="28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6980" w:type="dxa"/>
            <w:vAlign w:val="bottom"/>
            <w:gridSpan w:val="6"/>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580" w:type="dxa"/>
            <w:vAlign w:val="bottom"/>
          </w:tcPr>
          <w:p>
            <w:pPr>
              <w:ind w:left="2460"/>
              <w:spacing w:after="0" w:line="178" w:lineRule="exact"/>
              <w:rPr>
                <w:sz w:val="20"/>
                <w:szCs w:val="20"/>
                <w:color w:val="auto"/>
              </w:rPr>
            </w:pPr>
            <w:r>
              <w:rPr>
                <w:rFonts w:ascii="Times New Roman" w:cs="Times New Roman" w:eastAsia="Times New Roman" w:hAnsi="Times New Roman"/>
                <w:sz w:val="18"/>
                <w:szCs w:val="18"/>
                <w:color w:val="auto"/>
                <w:w w:val="76"/>
              </w:rPr>
              <w:t>X</w:t>
            </w:r>
          </w:p>
        </w:tc>
      </w:tr>
      <w:tr>
        <w:trPr>
          <w:trHeight w:val="232"/>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50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01" w:lineRule="exact"/>
        <w:rPr>
          <w:sz w:val="20"/>
          <w:szCs w:val="20"/>
          <w:color w:val="auto"/>
        </w:rPr>
      </w:pPr>
    </w:p>
    <w:p>
      <w:pPr>
        <w:ind w:left="1240" w:hanging="1216"/>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5" w:lineRule="exact"/>
        <w:rPr>
          <w:sz w:val="20"/>
          <w:szCs w:val="20"/>
          <w:color w:val="auto"/>
        </w:rPr>
      </w:pPr>
    </w:p>
    <w:p>
      <w:pPr>
        <w:jc w:val="both"/>
        <w:ind w:left="1240" w:hanging="1216"/>
        <w:spacing w:after="0" w:line="219"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2025;</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June 30, 2025;</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40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40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June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2)"/>
      <w:numFmt w:val="decimal"/>
      <w:start w:val="1"/>
    </w:lvl>
  </w:abstractNum>
  <w:abstractNum w:abstractNumId="5">
    <w:nsid w:val="4DB127F8"/>
    <w:multiLevelType w:val="hybridMultilevel"/>
    <w:lvl w:ilvl="0">
      <w:lvlJc w:val="left"/>
      <w:lvlText w:val="%1."/>
      <w:numFmt w:val="decimal"/>
      <w:start w:val="10"/>
    </w:lvl>
    <w:lvl w:ilvl="1">
      <w:lvlJc w:val="left"/>
      <w:lvlText w:val="%2"/>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9" Type="http://schemas.openxmlformats.org/officeDocument/2006/relationships/hyperlink" Target="https://www.sec.gov/Archives/edgar/data/1384101/000138410125000083/ex1018-k06x17x2025.htm" TargetMode="External"/><Relationship Id="rId50" Type="http://schemas.openxmlformats.org/officeDocument/2006/relationships/hyperlink" Target="https://www.sec.gov/Archives/edgar/data/1384101/000138410123000100/ex996-2023eipformof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2025-08-07T15:50:46Z</dcterms:created>
  <dcterms:modified xsi:type="dcterms:W3CDTF">2025-08-07T15:50:46Z</dcterms:modified>
</cp:coreProperties>
</file>