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4" w:lineRule="exact"/>
        <w:rPr>
          <w:sz w:val="24"/>
          <w:szCs w:val="24"/>
          <w:color w:val="auto"/>
        </w:rPr>
      </w:pPr>
    </w:p>
    <w:p>
      <w:pPr>
        <w:ind w:left="1120" w:hanging="64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2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8" w:lineRule="exact"/>
        <w:rPr>
          <w:sz w:val="24"/>
          <w:szCs w:val="24"/>
          <w:color w:val="auto"/>
        </w:rPr>
      </w:pPr>
    </w:p>
    <w:p>
      <w:pPr>
        <w:ind w:left="1120" w:hanging="644"/>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2" w:lineRule="exact"/>
        <w:rPr>
          <w:sz w:val="24"/>
          <w:szCs w:val="24"/>
          <w:color w:val="auto"/>
        </w:rPr>
      </w:pPr>
    </w:p>
    <w:p>
      <w:pPr>
        <w:ind w:left="408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7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p>
      <w:pPr>
        <w:spacing w:after="0" w:line="225" w:lineRule="exact"/>
        <w:rPr>
          <w:sz w:val="24"/>
          <w:szCs w:val="24"/>
          <w:color w:val="auto"/>
        </w:rPr>
      </w:pPr>
    </w:p>
    <w:tbl>
      <w:tblPr>
        <w:tblLayout w:type="fixed"/>
        <w:tblInd w:w="940" w:type="dxa"/>
        <w:tblCellMar>
          <w:top w:w="0" w:type="dxa"/>
          <w:left w:w="0" w:type="dxa"/>
          <w:bottom w:w="0" w:type="dxa"/>
          <w:right w:w="0" w:type="dxa"/>
        </w:tblCellMar>
      </w:tblPr>
      <w:tr>
        <w:trPr>
          <w:trHeight w:val="364"/>
        </w:trPr>
        <w:tc>
          <w:tcPr>
            <w:tcW w:w="6840" w:type="dxa"/>
            <w:vAlign w:val="bottom"/>
          </w:tcPr>
          <w:p>
            <w:pPr>
              <w:jc w:val="center"/>
              <w:ind w:left="2425"/>
              <w:spacing w:after="0"/>
              <w:rPr>
                <w:sz w:val="20"/>
                <w:szCs w:val="20"/>
                <w:color w:val="auto"/>
              </w:rPr>
            </w:pPr>
            <w:r>
              <w:rPr>
                <w:rFonts w:ascii="Times New Roman" w:cs="Times New Roman" w:eastAsia="Times New Roman" w:hAnsi="Times New Roman"/>
                <w:sz w:val="28"/>
                <w:szCs w:val="28"/>
                <w:b w:val="1"/>
                <w:bCs w:val="1"/>
                <w:color w:val="auto"/>
              </w:rPr>
              <w:t>VERACYTE, INC.</w:t>
            </w:r>
          </w:p>
        </w:tc>
        <w:tc>
          <w:tcPr>
            <w:tcW w:w="1880" w:type="dxa"/>
            <w:vAlign w:val="bottom"/>
          </w:tcPr>
          <w:p>
            <w:pPr>
              <w:spacing w:after="0"/>
              <w:rPr>
                <w:sz w:val="24"/>
                <w:szCs w:val="24"/>
                <w:color w:val="auto"/>
              </w:rPr>
            </w:pPr>
          </w:p>
        </w:tc>
      </w:tr>
      <w:tr>
        <w:trPr>
          <w:trHeight w:val="229"/>
        </w:trPr>
        <w:tc>
          <w:tcPr>
            <w:tcW w:w="6840" w:type="dxa"/>
            <w:vAlign w:val="bottom"/>
          </w:tcPr>
          <w:p>
            <w:pPr>
              <w:jc w:val="center"/>
              <w:ind w:left="2425"/>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1880" w:type="dxa"/>
            <w:vAlign w:val="bottom"/>
          </w:tcPr>
          <w:p>
            <w:pPr>
              <w:spacing w:after="0"/>
              <w:rPr>
                <w:sz w:val="19"/>
                <w:szCs w:val="19"/>
                <w:color w:val="auto"/>
              </w:rPr>
            </w:pPr>
          </w:p>
        </w:tc>
      </w:tr>
      <w:tr>
        <w:trPr>
          <w:trHeight w:val="327"/>
        </w:trPr>
        <w:tc>
          <w:tcPr>
            <w:tcW w:w="6840" w:type="dxa"/>
            <w:vAlign w:val="bottom"/>
          </w:tcPr>
          <w:p>
            <w:pPr>
              <w:jc w:val="center"/>
              <w:ind w:right="386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20-5455398</w:t>
            </w:r>
          </w:p>
        </w:tc>
      </w:tr>
      <w:tr>
        <w:trPr>
          <w:trHeight w:val="185"/>
        </w:trPr>
        <w:tc>
          <w:tcPr>
            <w:tcW w:w="6840" w:type="dxa"/>
            <w:vAlign w:val="bottom"/>
          </w:tcPr>
          <w:p>
            <w:pPr>
              <w:jc w:val="center"/>
              <w:ind w:right="3865"/>
              <w:spacing w:after="0" w:line="185"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1880" w:type="dxa"/>
            <w:vAlign w:val="bottom"/>
          </w:tcPr>
          <w:p>
            <w:pPr>
              <w:jc w:val="center"/>
              <w:ind w:left="192"/>
              <w:spacing w:after="0" w:line="185"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9"/>
        </w:trPr>
        <w:tc>
          <w:tcPr>
            <w:tcW w:w="6840" w:type="dxa"/>
            <w:vAlign w:val="bottom"/>
          </w:tcPr>
          <w:p>
            <w:pPr>
              <w:jc w:val="center"/>
              <w:ind w:right="3865"/>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7"/>
              </w:rPr>
              <w:t>Identification Number)</w:t>
            </w:r>
          </w:p>
        </w:tc>
      </w:tr>
      <w:tr>
        <w:trPr>
          <w:trHeight w:val="338"/>
        </w:trPr>
        <w:tc>
          <w:tcPr>
            <w:tcW w:w="6840" w:type="dxa"/>
            <w:vAlign w:val="bottom"/>
          </w:tcPr>
          <w:p>
            <w:pPr>
              <w:jc w:val="center"/>
              <w:ind w:right="3845"/>
              <w:spacing w:after="0"/>
              <w:rPr>
                <w:sz w:val="20"/>
                <w:szCs w:val="20"/>
                <w:color w:val="auto"/>
              </w:rPr>
            </w:pPr>
            <w:r>
              <w:rPr>
                <w:rFonts w:ascii="Times New Roman" w:cs="Times New Roman" w:eastAsia="Times New Roman" w:hAnsi="Times New Roman"/>
                <w:sz w:val="18"/>
                <w:szCs w:val="18"/>
                <w:b w:val="1"/>
                <w:bCs w:val="1"/>
                <w:color w:val="auto"/>
                <w:w w:val="97"/>
              </w:rPr>
              <w:t>6000 Shoreline Court, Suite 300</w:t>
            </w:r>
          </w:p>
        </w:tc>
        <w:tc>
          <w:tcPr>
            <w:tcW w:w="1880" w:type="dxa"/>
            <w:vAlign w:val="bottom"/>
          </w:tcPr>
          <w:p>
            <w:pPr>
              <w:spacing w:after="0"/>
              <w:rPr>
                <w:sz w:val="24"/>
                <w:szCs w:val="24"/>
                <w:color w:val="auto"/>
              </w:rPr>
            </w:pPr>
          </w:p>
        </w:tc>
      </w:tr>
      <w:tr>
        <w:trPr>
          <w:trHeight w:val="227"/>
        </w:trPr>
        <w:tc>
          <w:tcPr>
            <w:tcW w:w="6840" w:type="dxa"/>
            <w:vAlign w:val="bottom"/>
          </w:tcPr>
          <w:p>
            <w:pPr>
              <w:jc w:val="center"/>
              <w:ind w:right="3865"/>
              <w:spacing w:after="0"/>
              <w:rPr>
                <w:sz w:val="20"/>
                <w:szCs w:val="20"/>
                <w:color w:val="auto"/>
              </w:rPr>
            </w:pPr>
            <w:r>
              <w:rPr>
                <w:rFonts w:ascii="Times New Roman" w:cs="Times New Roman" w:eastAsia="Times New Roman" w:hAnsi="Times New Roman"/>
                <w:sz w:val="18"/>
                <w:szCs w:val="18"/>
                <w:b w:val="1"/>
                <w:bCs w:val="1"/>
                <w:color w:val="auto"/>
                <w:w w:val="97"/>
              </w:rPr>
              <w:t>South San Francisco, California</w:t>
            </w:r>
          </w:p>
        </w:tc>
        <w:tc>
          <w:tcPr>
            <w:tcW w:w="18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29"/>
        </w:trPr>
        <w:tc>
          <w:tcPr>
            <w:tcW w:w="6840" w:type="dxa"/>
            <w:vAlign w:val="bottom"/>
          </w:tcPr>
          <w:p>
            <w:pPr>
              <w:jc w:val="center"/>
              <w:ind w:right="3865"/>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(650) 243-6300</w:t>
      </w:r>
    </w:p>
    <w:p>
      <w:pPr>
        <w:spacing w:after="0" w:line="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3" w:lineRule="exact"/>
        <w:rPr>
          <w:sz w:val="24"/>
          <w:szCs w:val="24"/>
          <w:color w:val="auto"/>
        </w:rPr>
      </w:pPr>
    </w:p>
    <w:tbl>
      <w:tblPr>
        <w:tblLayout w:type="fixed"/>
        <w:tblInd w:w="480" w:type="dxa"/>
        <w:tblCellMar>
          <w:top w:w="0" w:type="dxa"/>
          <w:left w:w="0" w:type="dxa"/>
          <w:bottom w:w="0" w:type="dxa"/>
          <w:right w:w="0" w:type="dxa"/>
        </w:tblCellMar>
      </w:tblPr>
      <w:tr>
        <w:trPr>
          <w:trHeight w:val="231"/>
        </w:trPr>
        <w:tc>
          <w:tcPr>
            <w:tcW w:w="4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14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41"/>
        </w:trPr>
        <w:tc>
          <w:tcPr>
            <w:tcW w:w="43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22"/>
        </w:trPr>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Stock, par value, $0.001 per share</w:t>
            </w:r>
          </w:p>
        </w:tc>
        <w:tc>
          <w:tcPr>
            <w:tcW w:w="160" w:type="dxa"/>
            <w:vAlign w:val="bottom"/>
          </w:tcPr>
          <w:p>
            <w:pPr>
              <w:spacing w:after="0"/>
              <w:rPr>
                <w:sz w:val="19"/>
                <w:szCs w:val="19"/>
                <w:color w:val="auto"/>
              </w:rPr>
            </w:pPr>
          </w:p>
        </w:tc>
        <w:tc>
          <w:tcPr>
            <w:tcW w:w="2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VCYT</w:t>
            </w:r>
          </w:p>
        </w:tc>
        <w:tc>
          <w:tcPr>
            <w:tcW w:w="180" w:type="dxa"/>
            <w:vAlign w:val="bottom"/>
          </w:tcPr>
          <w:p>
            <w:pPr>
              <w:spacing w:after="0"/>
              <w:rPr>
                <w:sz w:val="19"/>
                <w:szCs w:val="19"/>
                <w:color w:val="auto"/>
              </w:rPr>
            </w:pPr>
          </w:p>
        </w:tc>
        <w:tc>
          <w:tcPr>
            <w:tcW w:w="414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33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6" w:lineRule="exact"/>
        <w:rPr>
          <w:sz w:val="24"/>
          <w:szCs w:val="24"/>
          <w:color w:val="auto"/>
        </w:rPr>
      </w:pPr>
    </w:p>
    <w:p>
      <w:pPr>
        <w:ind w:left="480" w:right="1480"/>
        <w:spacing w:after="0" w:line="37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3" w:lineRule="exact"/>
        <w:rPr>
          <w:sz w:val="24"/>
          <w:szCs w:val="24"/>
          <w:color w:val="auto"/>
        </w:rPr>
      </w:pPr>
    </w:p>
    <w:p>
      <w:pPr>
        <w:jc w:val="both"/>
        <w:ind w:right="100" w:firstLine="477"/>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3" w:lineRule="exact"/>
        <w:rPr>
          <w:sz w:val="24"/>
          <w:szCs w:val="24"/>
          <w:color w:val="auto"/>
        </w:rPr>
      </w:pPr>
    </w:p>
    <w:p>
      <w:pPr>
        <w:jc w:val="both"/>
        <w:ind w:right="100" w:firstLine="477"/>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542290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763"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8" w:lineRule="exact"/>
        <w:rPr>
          <w:sz w:val="20"/>
          <w:szCs w:val="20"/>
          <w:color w:val="auto"/>
        </w:rPr>
      </w:pPr>
    </w:p>
    <w:p>
      <w:pPr>
        <w:ind w:right="140" w:firstLine="477"/>
        <w:spacing w:after="0" w:line="25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jc w:val="center"/>
              <w:ind w:left="1632"/>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25"/>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2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460" w:type="dxa"/>
            <w:vAlign w:val="bottom"/>
          </w:tcPr>
          <w:p>
            <w:pPr>
              <w:jc w:val="center"/>
              <w:ind w:left="1672"/>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96"/>
        </w:trPr>
        <w:tc>
          <w:tcPr>
            <w:tcW w:w="2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60" w:type="dxa"/>
            <w:vAlign w:val="bottom"/>
          </w:tcPr>
          <w:p>
            <w:pPr>
              <w:jc w:val="center"/>
              <w:ind w:left="1692"/>
              <w:spacing w:after="0"/>
              <w:rPr>
                <w:sz w:val="20"/>
                <w:szCs w:val="20"/>
                <w:color w:val="auto"/>
              </w:rPr>
            </w:pPr>
            <w:r>
              <w:rPr>
                <w:rFonts w:ascii="Times New Roman" w:cs="Times New Roman" w:eastAsia="Times New Roman" w:hAnsi="Times New Roman"/>
                <w:sz w:val="18"/>
                <w:szCs w:val="18"/>
                <w:color w:val="auto"/>
                <w:w w:val="97"/>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85" w:lineRule="exact"/>
        <w:rPr>
          <w:sz w:val="20"/>
          <w:szCs w:val="20"/>
          <w:color w:val="auto"/>
        </w:rPr>
      </w:pPr>
    </w:p>
    <w:p>
      <w:pPr>
        <w:ind w:right="240" w:firstLine="477"/>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4" w:lineRule="exact"/>
        <w:rPr>
          <w:sz w:val="20"/>
          <w:szCs w:val="20"/>
          <w:color w:val="auto"/>
        </w:rPr>
      </w:pPr>
    </w:p>
    <w:p>
      <w:pPr>
        <w:jc w:val="both"/>
        <w:ind w:firstLine="477"/>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3" w:lineRule="exact"/>
        <w:rPr>
          <w:sz w:val="20"/>
          <w:szCs w:val="20"/>
          <w:color w:val="auto"/>
        </w:rPr>
      </w:pPr>
    </w:p>
    <w:p>
      <w:pPr>
        <w:jc w:val="both"/>
        <w:ind w:firstLine="477"/>
        <w:spacing w:after="0" w:line="234"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4" w:lineRule="exact"/>
        <w:rPr>
          <w:sz w:val="20"/>
          <w:szCs w:val="20"/>
          <w:color w:val="auto"/>
        </w:rPr>
      </w:pPr>
    </w:p>
    <w:p>
      <w:pPr>
        <w:jc w:val="both"/>
        <w:ind w:right="20" w:firstLine="477"/>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6" w:lineRule="exact"/>
        <w:rPr>
          <w:sz w:val="20"/>
          <w:szCs w:val="20"/>
          <w:color w:val="auto"/>
        </w:rPr>
      </w:pPr>
    </w:p>
    <w:p>
      <w:pPr>
        <w:ind w:left="480"/>
        <w:spacing w:after="0" w:line="207" w:lineRule="exact"/>
        <w:tabs>
          <w:tab w:leader="none" w:pos="91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82" w:lineRule="exact"/>
        <w:rPr>
          <w:sz w:val="20"/>
          <w:szCs w:val="20"/>
          <w:color w:val="auto"/>
        </w:rPr>
      </w:pPr>
    </w:p>
    <w:p>
      <w:pPr>
        <w:jc w:val="both"/>
        <w:ind w:firstLine="477"/>
        <w:spacing w:after="0" w:line="271" w:lineRule="auto"/>
        <w:rPr>
          <w:sz w:val="20"/>
          <w:szCs w:val="20"/>
          <w:color w:val="auto"/>
        </w:rPr>
      </w:pPr>
      <w:r>
        <w:rPr>
          <w:rFonts w:ascii="Times New Roman" w:cs="Times New Roman" w:eastAsia="Times New Roman" w:hAnsi="Times New Roman"/>
          <w:sz w:val="18"/>
          <w:szCs w:val="18"/>
          <w:color w:val="auto"/>
        </w:rPr>
        <w:t>As of June 30, 2023, the aggregate market value of common stock held by non-affiliates of the registrant was approximately $1.7 billion, based on the closing price of the common stock as reported on the Nasdaq Global Market for that date.</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February 23, 2024 was 75,067,823.</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45" w:lineRule="exact"/>
        <w:rPr>
          <w:sz w:val="20"/>
          <w:szCs w:val="20"/>
          <w:color w:val="auto"/>
        </w:rPr>
      </w:pPr>
    </w:p>
    <w:p>
      <w:pPr>
        <w:jc w:val="both"/>
        <w:ind w:firstLine="477"/>
        <w:spacing w:after="0" w:line="254" w:lineRule="auto"/>
        <w:rPr>
          <w:sz w:val="20"/>
          <w:szCs w:val="20"/>
          <w:color w:val="auto"/>
        </w:rPr>
      </w:pPr>
      <w:r>
        <w:rPr>
          <w:rFonts w:ascii="Times New Roman" w:cs="Times New Roman" w:eastAsia="Times New Roman" w:hAnsi="Times New Roman"/>
          <w:sz w:val="18"/>
          <w:szCs w:val="18"/>
          <w:color w:val="auto"/>
        </w:rPr>
        <w:t>Portions of the registrant's proxy statement to be filed with the Securities and Exchange Commission in connection with the solicitation of proxies for the registrant's 2024 Annual Meeting of Stockholders, or the Proxy Statement, are incorporated herein by reference in Part III of this Annual Report on Form 10-K to the extent stated herein. The Proxy Statement will be filed with the Securities and Exchange Commission within 120 days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400685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4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9220" w:type="dxa"/>
            <w:vAlign w:val="bottom"/>
            <w:gridSpan w:val="25"/>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0" w:type="dxa"/>
            <w:vAlign w:val="bottom"/>
            <w:tcBorders>
              <w:bottom w:val="single" w:sz="8" w:color="0000FF"/>
            </w:tcBorders>
            <w:vMerge w:val="continue"/>
          </w:tcPr>
          <w:p>
            <w:pPr>
              <w:spacing w:after="0"/>
              <w:rPr>
                <w:sz w:val="15"/>
                <w:szCs w:val="15"/>
                <w:color w:val="auto"/>
              </w:rPr>
            </w:pPr>
          </w:p>
        </w:tc>
        <w:tc>
          <w:tcPr>
            <w:tcW w:w="9220" w:type="dxa"/>
            <w:vAlign w:val="bottom"/>
            <w:gridSpan w:val="25"/>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5"/>
              </w:rPr>
              <w:t>Item 1. Business</w:t>
            </w:r>
          </w:p>
        </w:tc>
        <w:tc>
          <w:tcPr>
            <w:tcW w:w="8620" w:type="dxa"/>
            <w:vAlign w:val="bottom"/>
            <w:gridSpan w:val="21"/>
          </w:tcPr>
          <w:p>
            <w:pPr>
              <w:spacing w:after="0"/>
              <w:rPr>
                <w:sz w:val="17"/>
                <w:szCs w:val="17"/>
                <w:color w:val="auto"/>
              </w:rPr>
            </w:pP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Item 1A. Risk Factors</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1B. Unresolved Staff Comments</w:t>
            </w:r>
          </w:p>
        </w:tc>
        <w:tc>
          <w:tcPr>
            <w:tcW w:w="7120" w:type="dxa"/>
            <w:vAlign w:val="bottom"/>
            <w:gridSpan w:val="11"/>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1C. Cybersecurity</w:t>
            </w:r>
          </w:p>
        </w:tc>
        <w:tc>
          <w:tcPr>
            <w:tcW w:w="1020" w:type="dxa"/>
            <w:vAlign w:val="bottom"/>
            <w:gridSpan w:val="6"/>
          </w:tcPr>
          <w:p>
            <w:pPr>
              <w:spacing w:after="0"/>
              <w:rPr>
                <w:sz w:val="17"/>
                <w:szCs w:val="17"/>
                <w:color w:val="auto"/>
              </w:rPr>
            </w:pPr>
          </w:p>
        </w:tc>
        <w:tc>
          <w:tcPr>
            <w:tcW w:w="7120" w:type="dxa"/>
            <w:vAlign w:val="bottom"/>
            <w:gridSpan w:val="11"/>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6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2. Properties</w:t>
            </w:r>
          </w:p>
        </w:tc>
        <w:tc>
          <w:tcPr>
            <w:tcW w:w="8140" w:type="dxa"/>
            <w:vAlign w:val="bottom"/>
            <w:gridSpan w:val="17"/>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86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3. Legal Proceedings</w:t>
            </w:r>
          </w:p>
        </w:tc>
        <w:tc>
          <w:tcPr>
            <w:tcW w:w="7940" w:type="dxa"/>
            <w:vAlign w:val="bottom"/>
            <w:gridSpan w:val="16"/>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22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Mine Safety Disclosure</w:t>
            </w:r>
          </w:p>
        </w:tc>
        <w:tc>
          <w:tcPr>
            <w:tcW w:w="7580" w:type="dxa"/>
            <w:vAlign w:val="bottom"/>
            <w:gridSpan w:val="13"/>
          </w:tcPr>
          <w:p>
            <w:pPr>
              <w:spacing w:after="0"/>
              <w:rPr>
                <w:sz w:val="19"/>
                <w:szCs w:val="19"/>
                <w:color w:val="auto"/>
              </w:rPr>
            </w:pPr>
          </w:p>
        </w:tc>
        <w:tc>
          <w:tcPr>
            <w:tcW w:w="1220" w:type="dxa"/>
            <w:vAlign w:val="bottom"/>
            <w:gridSpan w:val="2"/>
          </w:tcPr>
          <w:p>
            <w:pPr>
              <w:spacing w:after="0"/>
              <w:rPr>
                <w:sz w:val="19"/>
                <w:szCs w:val="19"/>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top w:val="single" w:sz="8" w:color="0000FF"/>
            </w:tcBorders>
            <w:gridSpan w:val="13"/>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580" w:type="dxa"/>
            <w:vAlign w:val="bottom"/>
            <w:gridSpan w:val="13"/>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440" w:type="dxa"/>
            <w:vAlign w:val="bottom"/>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Item 6. [Reserved]</w:t>
            </w:r>
          </w:p>
        </w:tc>
        <w:tc>
          <w:tcPr>
            <w:tcW w:w="13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86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7. Management's Discussion and Analysis of Financial Condition and Results of Operations</w:t>
            </w:r>
          </w:p>
        </w:tc>
        <w:tc>
          <w:tcPr>
            <w:tcW w:w="2940" w:type="dxa"/>
            <w:vAlign w:val="bottom"/>
            <w:gridSpan w:val="4"/>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86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940" w:type="dxa"/>
            <w:vAlign w:val="bottom"/>
            <w:gridSpan w:val="4"/>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4860" w:type="dxa"/>
            <w:vAlign w:val="bottom"/>
            <w:gridSpan w:val="7"/>
          </w:tcPr>
          <w:p>
            <w:pPr>
              <w:spacing w:after="0"/>
              <w:rPr>
                <w:sz w:val="17"/>
                <w:szCs w:val="17"/>
                <w:color w:val="auto"/>
              </w:rPr>
            </w:pPr>
          </w:p>
        </w:tc>
        <w:tc>
          <w:tcPr>
            <w:tcW w:w="1220" w:type="dxa"/>
            <w:vAlign w:val="bottom"/>
            <w:gridSpan w:val="2"/>
          </w:tcPr>
          <w:p>
            <w:pPr>
              <w:spacing w:after="0"/>
              <w:rPr>
                <w:sz w:val="17"/>
                <w:szCs w:val="17"/>
                <w:color w:val="auto"/>
              </w:rPr>
            </w:pPr>
          </w:p>
        </w:tc>
        <w:tc>
          <w:tcPr>
            <w:tcW w:w="200" w:type="dxa"/>
            <w:vAlign w:val="bottom"/>
            <w:gridSpan w:val="3"/>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w w:val="97"/>
              </w:rPr>
              <w:t>Item 9. Changes in and Disagreements with Accountants on Accounting and Financial Disclosure</w:t>
            </w:r>
          </w:p>
        </w:tc>
        <w:tc>
          <w:tcPr>
            <w:tcW w:w="290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6"/>
              </w:rPr>
              <w:t>Item 9A. Controls and Procedures</w:t>
            </w:r>
          </w:p>
        </w:tc>
        <w:tc>
          <w:tcPr>
            <w:tcW w:w="4500" w:type="dxa"/>
            <w:vAlign w:val="bottom"/>
            <w:gridSpan w:val="9"/>
          </w:tcPr>
          <w:p>
            <w:pPr>
              <w:spacing w:after="0"/>
              <w:rPr>
                <w:sz w:val="17"/>
                <w:szCs w:val="17"/>
                <w:color w:val="auto"/>
              </w:rPr>
            </w:pPr>
          </w:p>
        </w:tc>
        <w:tc>
          <w:tcPr>
            <w:tcW w:w="290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96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Item 9B. Other Information</w:t>
            </w:r>
          </w:p>
        </w:tc>
        <w:tc>
          <w:tcPr>
            <w:tcW w:w="440" w:type="dxa"/>
            <w:vAlign w:val="bottom"/>
            <w:gridSpan w:val="3"/>
          </w:tcPr>
          <w:p>
            <w:pPr>
              <w:spacing w:after="0"/>
              <w:rPr>
                <w:sz w:val="17"/>
                <w:szCs w:val="17"/>
                <w:color w:val="auto"/>
              </w:rPr>
            </w:pPr>
          </w:p>
        </w:tc>
        <w:tc>
          <w:tcPr>
            <w:tcW w:w="74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tcBorders>
              <w:top w:val="single" w:sz="8" w:color="0000FF"/>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4740" w:type="dxa"/>
            <w:vAlign w:val="bottom"/>
            <w:tcBorders>
              <w:top w:val="single" w:sz="8" w:color="0000FF"/>
            </w:tcBorders>
            <w:gridSpan w:val="16"/>
          </w:tcPr>
          <w:p>
            <w:pPr>
              <w:spacing w:after="0"/>
              <w:rPr>
                <w:sz w:val="17"/>
                <w:szCs w:val="17"/>
                <w:color w:val="auto"/>
              </w:rPr>
            </w:pPr>
          </w:p>
        </w:tc>
        <w:tc>
          <w:tcPr>
            <w:tcW w:w="434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11. Executive Compensation</w:t>
            </w:r>
          </w:p>
        </w:tc>
        <w:tc>
          <w:tcPr>
            <w:tcW w:w="2240" w:type="dxa"/>
            <w:vAlign w:val="bottom"/>
            <w:gridSpan w:val="4"/>
          </w:tcPr>
          <w:p>
            <w:pPr>
              <w:spacing w:after="0"/>
              <w:rPr>
                <w:sz w:val="17"/>
                <w:szCs w:val="17"/>
                <w:color w:val="auto"/>
              </w:rPr>
            </w:pPr>
          </w:p>
        </w:tc>
        <w:tc>
          <w:tcPr>
            <w:tcW w:w="516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42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98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13. Certain Relationships and Related Transactions, and Director Independence</w:t>
            </w:r>
          </w:p>
        </w:tc>
        <w:tc>
          <w:tcPr>
            <w:tcW w:w="1800" w:type="dxa"/>
            <w:vAlign w:val="bottom"/>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8"/>
              </w:rPr>
              <w:t>Item 14. Principal Accountant Fees and Services</w:t>
            </w:r>
          </w:p>
        </w:tc>
        <w:tc>
          <w:tcPr>
            <w:tcW w:w="2500" w:type="dxa"/>
            <w:vAlign w:val="bottom"/>
            <w:gridSpan w:val="5"/>
          </w:tcPr>
          <w:p>
            <w:pPr>
              <w:spacing w:after="0"/>
              <w:rPr>
                <w:sz w:val="17"/>
                <w:szCs w:val="17"/>
                <w:color w:val="auto"/>
              </w:rPr>
            </w:pPr>
          </w:p>
        </w:tc>
        <w:tc>
          <w:tcPr>
            <w:tcW w:w="382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tcBorders>
              <w:top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632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15. Exhibits, Financial Statement Schedules</w:t>
            </w:r>
          </w:p>
        </w:tc>
        <w:tc>
          <w:tcPr>
            <w:tcW w:w="632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16. Form 10-K Summary</w:t>
            </w:r>
          </w:p>
        </w:tc>
        <w:tc>
          <w:tcPr>
            <w:tcW w:w="1320" w:type="dxa"/>
            <w:vAlign w:val="bottom"/>
            <w:gridSpan w:val="4"/>
          </w:tcPr>
          <w:p>
            <w:pPr>
              <w:spacing w:after="0"/>
              <w:rPr>
                <w:sz w:val="17"/>
                <w:szCs w:val="17"/>
                <w:color w:val="auto"/>
              </w:rPr>
            </w:pPr>
          </w:p>
        </w:tc>
        <w:tc>
          <w:tcPr>
            <w:tcW w:w="6320" w:type="dxa"/>
            <w:vAlign w:val="bottom"/>
            <w:gridSpan w:val="10"/>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764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764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1654"/>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45" w:lineRule="exact"/>
        <w:rPr>
          <w:sz w:val="20"/>
          <w:szCs w:val="20"/>
          <w:color w:val="auto"/>
        </w:rPr>
      </w:pPr>
    </w:p>
    <w:p>
      <w:pPr>
        <w:jc w:val="both"/>
        <w:ind w:firstLine="397"/>
        <w:spacing w:after="0" w:line="261"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inflation, rising interest rates and foreign exchange fluctuations, as well as regional conflicts globally, energy and supply chain disruptions, and market volatility resulting from the above, on our business; changes in our executive officers; our beliefs with respect to the optimization of our processes for the analysis of ribonucleic acid, or RNA, samples; our ability to successfully integrate C2i Genomics, Inc., or C2i, HalioDx and Decipher Biosciences into our business; our ability to deploy the nCounter Analysis System successfully and run our tests on this platform worldwide; our belief in the importance of maintaining libraries of clinical evidence; our expectations regarding the Percepta Nasal Swab classifier for early lung cancer detection, the Envisia classifier on the nCounter system and the LymphMark lymphoma subtyping test; our expectations regarding the addition of minimal residue detection capabilities to our diagnostics platform; our expectations regarding our diagnostic company partnerships; our expectations regarding capital expenditures; our anticipated cash needs and our estimates regarding our capital requirements; the timing and success of our transition to offering more of our tests as in vitro diagnostic tests on multiple platforms worldwide;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number of patients who are candidates for our tests;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200" w:lineRule="exact"/>
        <w:rPr>
          <w:sz w:val="20"/>
          <w:szCs w:val="20"/>
          <w:color w:val="auto"/>
        </w:rPr>
      </w:pPr>
    </w:p>
    <w:p>
      <w:pPr>
        <w:spacing w:after="0" w:line="227"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9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HalioDx, TMExplore, Brightplex, Immunosign, C2i Genomics, C2intelligence, C2inform and the Veracyte logo are registered or pending trademarks of Veracyte, Inc. and its subsidiaries in the United States and selected countries. nCounter is the registered trademark of NanoString Technologies, Inc., or NanoString, in the United States and selected countries and used by Veracyte under license. Immunoscore is the registered trademark of Institut National de la Santé et de la Recherche Médicale, or Inserm, in the United States and selected countries and used by Veracyte under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internal estimates. Although we have not independently verified the third-party data, we are responsible for its inclusion in the annual report and believe it to be reasonable.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At Veracyte, we believe that exceptional cancer care begins with exceptional diagnostics. 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accelerating time to appropriate treatment, thereby improving outcomes for patients all over the world. With our acquisition of C2i, a minimal residual disease, or MRD, detection company, which was completed in February 2024, we aim to expand our role across the cancer continuum, moving from providing early decision support to following the patient through treatment, helping to monitor the success of a therapeutic or surgical intervention, and supporting the determination of the best course of action for each patient.</w:t>
      </w:r>
    </w:p>
    <w:p>
      <w:pPr>
        <w:spacing w:after="0" w:line="8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Through our leading portfolio of comprehensive molecular diagnostic tests, we are focused on progressing patient care from the current standard to a more individualized approach, leveraging each patient’s unique cancer biology to improve their outcomes.</w:t>
      </w:r>
    </w:p>
    <w:p>
      <w:pPr>
        <w:spacing w:after="0" w:line="6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currently offer tests in thyroid cancer (Afirma); prostate cancer (Decipher Prostate); breast cancer (Prosigna); bladder cancer (Decipher Bladder); and interstitial lung diseases (Envisia). Our novel Percepta Nasal Swab test for lung cancer is being run in our Clinical Laboratory Improvement Amendments of 1988, or CLIA, laboratory in support of clinical studies and our test for lymphoma is in development as a companion diagnostic.</w:t>
      </w:r>
    </w:p>
    <w:p>
      <w:pPr>
        <w:spacing w:after="0" w:line="7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laboratory developed tests, or LDTs, through our centralized CLIA certified laboratories in South San Francisco and San Diego, California, supported by our cytopathology expertise in Austin, Texas. Additionally, primarily outside of the United States, we provide tests to patients as in vitro diagnostics, or IVDs, which are distributed to laboratories and hospitals that can perform the tests locally. Our Prosigna test is currently available as an IVD and our Decipher Prostate and Percepta Nasal Swab tests are in development as IVDs. We are using a multi-platform IVD approach, which will include next generation sequencing, or NGS, and quantitative polymerase chain reaction, or qPCR, to accelerate our ability to reach patients globally with our tests.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Novel Approach — the Veracyte Diagnostics Platform</w:t>
      </w:r>
    </w:p>
    <w:p>
      <w:pPr>
        <w:spacing w:after="0" w:line="245"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We have established a novel approach to drive the successful launch and adoption of our high-performing tests, which we refer to as the Veracyte Diagnostics Platform. This approach leverages broad genomic and clinical data, our deep bioinformatics and artificial intelligence, or AI, capabilities, and a powerful evidence-generation engine, which ultimately drives durable reimbursement and guideline inclusion for our tests, along with new insights to support continued innovation and pipeline development.</w:t>
      </w:r>
    </w:p>
    <w:p>
      <w:pPr>
        <w:spacing w:after="0" w:line="88"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Our high performing tests are developed using this proven framework. We identify an unmet clinical need, determine the combination of appropriate biomarkers utilizing cutting-edge genomic and other technologies, and then tune our assays with deep scientific and machine learning capabilities.</w:t>
      </w:r>
    </w:p>
    <w:p>
      <w:pPr>
        <w:spacing w:after="0" w:line="62"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then take a comprehensive approach to launching and driving adoption for our tests. We generate extensive genomic and clinical data through our whole-omic approach, fueling insights, evidence and, ultimately, further utility. Today, we take a whole-transcriptome approach to our diagnostic, prognostic and predictive tests. C2i Genomic’s MRD technology will add a whole-genome approach for treatment effectiveness, monitoring, and disease recurrence detection.</w:t>
      </w:r>
    </w:p>
    <w:p>
      <w:pPr>
        <w:spacing w:after="0" w:line="7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each case, this data is used to develop a comprehensive and robust assay to address a clinical need. We perform these tests in our clinical labs to generate a growing repository of data. We then utilize our deep bioinformatic and AI capabilities to derive broad insights that not only support the test in question, but also enable research to demonstrate expanded test utility or support entry into new indications.</w:t>
      </w:r>
    </w:p>
    <w:p>
      <w:pPr>
        <w:spacing w:after="0" w:line="7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Our experienced clinical and medical teams work with our scientific and commercial teams to drive repeated cycles of evidence development. With both prospective and retrospective studies over time, we focus on evidence that allows us to answer key clinical questions while also demonstrating the clinical benefit and impact of our tests, which is needed to drive their adoption and guideline inclusion.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With our years of experience in market access and reimbursement, we work closely with public and private payers to leverage this evidence and meet their clinical utility requirements, which facilitates reimbursement. Our market-leading, real-world utilization then continues to drive more data, which leads to more insights, more evidence and more utility, all of which provide additional support for and confidence in our tests, further increasing durable reimbursement and guideline inclusion for our tests, along with new insights to support continued innovation and pipeline development.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Serving the U.S. Market Through Our CLIA Labs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United States, our tests are improving patient care in thyroid, prostate, lung, and bladder cancer, as well as in interstitial lung disease.</w:t>
      </w:r>
    </w:p>
    <w:p>
      <w:pPr>
        <w:spacing w:after="0" w:line="11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Currently all of our tests are serviced through our own CLIA certified laboratories in South San Francisco and San Diego, California; and Austin, Texas. We manage our labs with a focus on operational excellence and continuous improvement. We measure performance using such criteria as lab-processing turnaround time, failure rates and deviation vs. control. We have an active monitoring program to ensure lab operations exceed regulatory requirements. We use a systematic, analytical approach aimed at delivering optimal outcomes for patients and referring physicians, while driving cost and lab-efficiency improvement as we scale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Diagnostic Tests Offered Through Our CLIA Labs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Thyroid Cancer - Afirma Genomic Sequencing Classifier</w:t>
      </w:r>
    </w:p>
    <w:p>
      <w:pPr>
        <w:spacing w:after="0" w:line="9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Each year in the U.S, approximately 600,000 people undergo fine needle aspiration, or FNA, biopsy evaluation for potentially cancerous thyroid nodules. Many of these patients receive indeterminate results (not clearly benign or malignant) based on traditional cytopathology evaluation. Historically, most of these patients were referred to diagnostic surgery, even though 70% to 80% of the time, the nodules proved to be benign.</w:t>
      </w:r>
    </w:p>
    <w:p>
      <w:pPr>
        <w:spacing w:after="0" w:line="7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developed the Afirma Genomic Sequencing Classifier, or GSC, to determine which patients with indeterminate results are actually benign so that these patients may avoid unnecessary, costly surgery that often leads to the need for lifelong daily thyroid hormone replacement therapy. The test was developed with whole-transcriptome RNA sequencing and machine learning technology to provide physicians with clinically actionable results from the same FNA biopsy used for initial cytopathology. Afirma GSC testing also provides important gene mutation information to help guide treatment decisions for patients with thyroid nodules that are suspicious for cancer.</w:t>
      </w:r>
    </w:p>
    <w:p>
      <w:pPr>
        <w:spacing w:after="0" w:line="80"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 xml:space="preserve">Strong clinical validation data from a multicenter cohort of prospectively collected patient samples were published in </w:t>
      </w:r>
      <w:r>
        <w:rPr>
          <w:rFonts w:ascii="Times New Roman" w:cs="Times New Roman" w:eastAsia="Times New Roman" w:hAnsi="Times New Roman"/>
          <w:sz w:val="18"/>
          <w:szCs w:val="18"/>
          <w:i w:val="1"/>
          <w:iCs w:val="1"/>
          <w:color w:val="auto"/>
        </w:rPr>
        <w:t>JAMA Surgery</w:t>
      </w:r>
      <w:r>
        <w:rPr>
          <w:rFonts w:ascii="Times New Roman" w:cs="Times New Roman" w:eastAsia="Times New Roman" w:hAnsi="Times New Roman"/>
          <w:sz w:val="18"/>
          <w:szCs w:val="18"/>
          <w:color w:val="auto"/>
        </w:rPr>
        <w:t xml:space="preserve"> in 2018. The findings showed that the Afirma GSC has a sensitivity of 91% and specificity of 68%, meaning that in a patient population with 24% cancer prevalence – which is what would be expected in clinical practice – the test can identify more than two-thirds of benign thyroid nodules, with a negative predictive value, or NPV, of 96%. In 2022, a meta-analysis of 13 independent studies assessing the test's performance in a real-world clinical setting found a sensitivity of 97%, a specificity of 88%, and an NPV of 99%, reinforcing Afirma's performance.</w:t>
      </w:r>
    </w:p>
    <w:p>
      <w:pPr>
        <w:spacing w:after="0" w:line="80"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 xml:space="preserve">Afirma GSC and its predecessor, the Afirma Gene Expression Classifier, have been featured in more than 140 peer-reviewed, published studies. These include the original clinical validation study, which was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Afirma testing is included in leading practice guidelines and is covered for over 275 million Medicare and commercial health plan enrollees in the United States.</w:t>
      </w:r>
    </w:p>
    <w:p>
      <w:pPr>
        <w:spacing w:after="0" w:line="7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Our sales team sells Afirma GSC to endocrinologists and other physicians who perform FNA biopsies on patients with thyroid nodules. Physicians can order Afirma GSC testing in one of two ways: by submitting indeterminate FNA samples directly to Veracyte for genomic testing or by submitting FNA samples for initial cytopathology analysis by our partner, Thyroid Cytopathology Partners, with genomic testing performed by Veracyte when the cytopathology is indeterminate. Our online portal enables physicians and their staff to easily submit and track test orders and download results.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Prostate Cancer - Decipher Prostate Biopsy and Radical Prostatectomy, or RP, Genomic Classifiers</w:t>
      </w:r>
    </w:p>
    <w:p>
      <w:pPr>
        <w:spacing w:after="0" w:line="9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An estimated 288,000 men are diagnosed with prostate cancer each year in the United States. Prior to the utilization of genomics, clinicians relied solely on clinical parameters, such as prostate-specific antigen, or PSA, level and pathology to determine the appropriate treatment for each patient. But those factors alone do not always reflect the true biology of the tumor, which often leads to over- and under-treatment of patients with localized prostate cancer. The Decipher Prostate Genomic Classifier test results dramatically improve the physician's ability to personalize therapy for each patient and make more appropriate treatment decisions.</w:t>
      </w:r>
    </w:p>
    <w:p>
      <w:pPr>
        <w:spacing w:after="0" w:line="8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Decipher Prostate cancer tests, developed through whole-transcriptome analysis and machine learning, are used across localized disease to predict a patient’s risk of progressing to metastatic disease within five years, which helps physicians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determine an appropriate treatment plan. The Decipher Prostate Biopsy test is performed on a prostate biopsy sample following a cancer diagnosis to inform whether the patient is a candidate for active surveillance, needs monotherapy or may benefit from multi-modal or intensified therapy. The Decipher Prostate RP test is performed on surgical tissue to guide decision-making regarding treatment timing following radical prostatectomy and to help determine whether patients undergoing salvage radiotherapy may benefit from the addition of hormone therapy or may safely avoid hormone therapy and its side effects.</w:t>
      </w:r>
    </w:p>
    <w:p>
      <w:pPr>
        <w:spacing w:after="0" w:line="6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Decipher Prostate Genomic Classifier is currently being investigated in seven National Cancer Institute-sponsored, phase 3, prospective, randomized controlled clinical trials; 24 phase 2/3 prospective trials; and more than 20 retrospective studies of phase 3 randomized controlled trials. Many of these trials require Decipher Prostate testing for study inclusion. The test’s performance and utility has been evaluated in more than 75 peer-reviewed, published studies and an additional 73 discovery publications leveraging the research-use-only Decipher GRID.</w:t>
      </w:r>
    </w:p>
    <w:p>
      <w:pPr>
        <w:spacing w:after="0" w:line="7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NCCN Clinical Practice Guidelines in Oncology, or NCCN Guidelines, for Prostate Cancer (v1.2023) includes a table (Table 1) in Principles of Risk Stratification summarizing the characteristics of different tools used for initial risk stratification of clinically localized prostate cancer. In this table, Decipher Prostate is the only gene expression test with the highest level of evidence (Level 1) for validation. The NCCN Guidelines also uniquely suggest use of the Decipher Prostate RP test to inform treatment recommendations, post surgery, based on the patient’s Decipher score. Decipher Prostate is covered by Medicare and commercial payers representing approximately 200 million enrollees.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Bladder Cancer - Decipher Bladder Genomic Classifier</w:t>
      </w:r>
    </w:p>
    <w:p>
      <w:pPr>
        <w:spacing w:after="0" w:line="9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Each year in the United States, approximately 82,000 people are expected to be diagnosed with bladder cancer. Patients diagnosed with non-metastatic muscle-invasive bladder cancer, or MIBC, often undergo neoadjuvant chemotherapy, or NAC, prior to standard-of-care radical cystectomy, even though the absolute survival benefit associated with the addition of NAC to radical cystectomy is just 5% to 10%. Until recently, physicians often struggled to determine which MIBC tumors would or would not respond to chemotherapy.</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Decipher Bladder is a genomic test that measures the molecular profile of bladder cancer using gene expression analysis from transurethral resected bladder tumor specimens. The test was developed for use in bladder cancer patients with high-grade non-muscle-invasive disease who are being considered for treatment and patients with muscle-invasive disease who face the question of immediate cystectomy or systemic treatment in the neoadjuvant setting prior to cystectomy. Decipher Bladder reports the molecular subtype of the tumor specimen as Luminal or Non-Luminal (Luminal Infiltrated, Basal, Basal Claudin-Low or Neuroendocrine-like), with each subtype having distinct biological composition, clinical behavior and predicted benefit from NAC, and may have implications for future therapeutic strategies.</w:t>
      </w:r>
    </w:p>
    <w:p>
      <w:pPr>
        <w:spacing w:after="0" w:line="8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Decipher Bladder test is supported by multiple peer-reviewed clinical studies demonstrating its ability to identify which patients have a higher risk of upstaging to non-organ confined disease at surgery and which patients may benefit the most from neoadjuvant therapy.</w:t>
      </w:r>
    </w:p>
    <w:p>
      <w:pPr>
        <w:spacing w:after="0" w:line="6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began commercialization of the Decipher Bladder test in the fall of 2021, following final Medicare coverage for the test in July 2021. The Decipher Bladder test is the first genomic test to be covered by Medicare for patients with bladder cancer.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ILD/IPF - Envisia Genomic Classifier</w:t>
      </w:r>
    </w:p>
    <w:p>
      <w:pPr>
        <w:spacing w:after="0" w:line="11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Each year in the United States approximately 200,000 patients are suspected of having an interstitial lung disease, or ILD, including idiopathic pulmonary fibrosis, or IPF, which is among the most common and deadly of these lung-scarring diseases. Obtaining an accurate, timely IPF diagnosis is important given the availability of drugs that can slow the progression of this debilitating disease, as well as the need to avoid inappropriate and potentially harmful treatment. Additionally, prognostic information may help physicians determine treatment plans for patients with ILDs, including IPF.</w:t>
      </w:r>
    </w:p>
    <w:p>
      <w:pPr>
        <w:spacing w:after="0" w:line="7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Limitations in current technologies often make IPF difficult to diagnose, which can lead to treatment delays, repeated misdiagnoses, patient distress and added healthcare expenses. Physicians routinely use high-resolution computed tomography, or HRCT, imaging to identify usual interstitial pneumonia, or UIP, the pattern whose presence is essential to IPF diagnosis. UIP also helps identify non-IPF patients whose ILD is likely to progress. HRCT, however, frequently provides inconclusive results, with current guidelines recommending consideration of surgery to secure a more definitive diagnosis. Such surgeries are risky and expensive, and many patients are too frail to undergo the procedure. Of the 200,000 patients suspected of having ILD, approximately half have a probable or indeterminate UIP pattern on HRCT imaging.</w:t>
      </w:r>
    </w:p>
    <w:p>
      <w:pPr>
        <w:spacing w:after="0" w:line="83"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The Envisia classifier is the first test of its kind for improving the diagnosis of ILDs, including IPF, without the need for surgery. The test identifies UIP with high accuracy on patient samples that are obtained through transbronchial biopsy, a nonsurgical procedure that is commonly used in lung evaluation.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 xml:space="preserve">The Envisia classifier is supported by clinical data published in multiple peer-reviewed journals, including </w:t>
      </w:r>
      <w:r>
        <w:rPr>
          <w:rFonts w:ascii="Times New Roman" w:cs="Times New Roman" w:eastAsia="Times New Roman" w:hAnsi="Times New Roman"/>
          <w:sz w:val="18"/>
          <w:szCs w:val="18"/>
          <w:i w:val="1"/>
          <w:iCs w:val="1"/>
          <w:color w:val="auto"/>
        </w:rPr>
        <w:t>The Lancet Respiratory Medicine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American Journal of Respiratory and Critical Care Medicine. </w:t>
      </w:r>
      <w:r>
        <w:rPr>
          <w:rFonts w:ascii="Times New Roman" w:cs="Times New Roman" w:eastAsia="Times New Roman" w:hAnsi="Times New Roman"/>
          <w:sz w:val="18"/>
          <w:szCs w:val="18"/>
          <w:color w:val="auto"/>
        </w:rPr>
        <w:t>In 2022, an updated global (ATS/ERS/JRS/ALAT) clinical practice guideline highlighted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role of the Envisia Classifier in the diagnosis of IPF with more than 40% of the guideline authors voting to recommend Envisia testing. The guideline points to a published meta-analysis in </w:t>
      </w:r>
      <w:r>
        <w:rPr>
          <w:rFonts w:ascii="Times New Roman" w:cs="Times New Roman" w:eastAsia="Times New Roman" w:hAnsi="Times New Roman"/>
          <w:sz w:val="18"/>
          <w:szCs w:val="18"/>
          <w:i w:val="1"/>
          <w:iCs w:val="1"/>
          <w:color w:val="auto"/>
        </w:rPr>
        <w:t>AnnalsATS</w:t>
      </w:r>
      <w:r>
        <w:rPr>
          <w:rFonts w:ascii="Times New Roman" w:cs="Times New Roman" w:eastAsia="Times New Roman" w:hAnsi="Times New Roman"/>
          <w:sz w:val="18"/>
          <w:szCs w:val="18"/>
          <w:color w:val="auto"/>
        </w:rPr>
        <w:t xml:space="preserve"> demonstrating the Envisia test's consistently high specificity of 92% across 4 separate studies.</w:t>
      </w:r>
    </w:p>
    <w:p>
      <w:pPr>
        <w:spacing w:after="0" w:line="7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obtained Medicare coverage for the Envisia classifier through the Molecular Diagnostics Services Program, or MolDX, program in 2019. We estimate that half of the patients evaluated for ILDs/IPF in the United States are covered by Medicare.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Lung Cancer - Percepta Nasal Swab Test</w:t>
      </w:r>
    </w:p>
    <w:p>
      <w:pPr>
        <w:spacing w:after="0" w:line="99" w:lineRule="exact"/>
        <w:rPr>
          <w:sz w:val="20"/>
          <w:szCs w:val="20"/>
          <w:color w:val="auto"/>
        </w:rPr>
      </w:pPr>
    </w:p>
    <w:p>
      <w:pPr>
        <w:jc w:val="both"/>
        <w:ind w:firstLine="397"/>
        <w:spacing w:after="0" w:line="239" w:lineRule="auto"/>
        <w:rPr>
          <w:sz w:val="20"/>
          <w:szCs w:val="20"/>
          <w:color w:val="auto"/>
        </w:rPr>
      </w:pPr>
      <w:r>
        <w:rPr>
          <w:rFonts w:ascii="Times New Roman" w:cs="Times New Roman" w:eastAsia="Times New Roman" w:hAnsi="Times New Roman"/>
          <w:sz w:val="18"/>
          <w:szCs w:val="18"/>
          <w:color w:val="auto"/>
        </w:rPr>
        <w:t>Lung cancer has the highest mortality rate of all cancers worldwide, causing approximately 1.8 million deaths each year. Lung nodules are typically the first sign of lung cancer and cannot be ignored, however most of them are benign. Physicians currently have limited objective tools to help accurately determine which patients with lung nodules found on CT scans have cancer. Approximately 15 million patients are now recommended for annual lung cancer CT screening to detect potentially cancerous lung nodules early. Approximately 1 million Americans are screened annually for lung cancer, and about 1.6 million lung nodules are found incidentally each year. We developed the noninvasive Percepta Nasal Swab test to help physicians more accurately, quickly and confidently determine lung cancer risk so that patients whose lung nodules are benign may avoid unnecessary invasive procedures and patients whose nodules are likely cancerous may proceed to further diagnostic work-up and, if necessary, treatment.</w:t>
      </w:r>
    </w:p>
    <w:p>
      <w:pPr>
        <w:spacing w:after="0" w:line="92"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The Percepta Nasal Swab test is built upon foundational "field of injury" science, through which genomic changes associated with lung cancer in current and former smokers are detected using a sample collected non-invasively from the nasal passage. Veracyte developed the final classifier using RNA whole-transcriptome sequencing and machine learning on a training set of nasal samples from more than 1,100 patients representing a wide range of lung and tumor biology.</w:t>
      </w:r>
    </w:p>
    <w:p>
      <w:pPr>
        <w:spacing w:after="0" w:line="73" w:lineRule="exact"/>
        <w:rPr>
          <w:sz w:val="20"/>
          <w:szCs w:val="20"/>
          <w:color w:val="auto"/>
        </w:rPr>
      </w:pPr>
    </w:p>
    <w:p>
      <w:pPr>
        <w:jc w:val="both"/>
        <w:ind w:firstLine="397"/>
        <w:spacing w:after="0" w:line="238" w:lineRule="auto"/>
        <w:rPr>
          <w:sz w:val="20"/>
          <w:szCs w:val="20"/>
          <w:color w:val="auto"/>
        </w:rPr>
      </w:pPr>
      <w:r>
        <w:rPr>
          <w:rFonts w:ascii="Times New Roman" w:cs="Times New Roman" w:eastAsia="Times New Roman" w:hAnsi="Times New Roman"/>
          <w:sz w:val="18"/>
          <w:szCs w:val="18"/>
          <w:color w:val="auto"/>
        </w:rPr>
        <w:t xml:space="preserve">Clinical validation data published in the journal </w:t>
      </w:r>
      <w:r>
        <w:rPr>
          <w:rFonts w:ascii="Times New Roman" w:cs="Times New Roman" w:eastAsia="Times New Roman" w:hAnsi="Times New Roman"/>
          <w:sz w:val="18"/>
          <w:szCs w:val="18"/>
          <w:i w:val="1"/>
          <w:iCs w:val="1"/>
          <w:color w:val="auto"/>
        </w:rPr>
        <w:t>CHEST</w:t>
      </w:r>
      <w:r>
        <w:rPr>
          <w:rFonts w:ascii="Times New Roman" w:cs="Times New Roman" w:eastAsia="Times New Roman" w:hAnsi="Times New Roman"/>
          <w:sz w:val="18"/>
          <w:szCs w:val="18"/>
          <w:color w:val="auto"/>
        </w:rPr>
        <w:t xml:space="preserve"> showed that when the Percepta Nasal Swab test identified patients as low risk, its sensitivity was 97%, providing a negative predictive value, or NPV, of 98% in a population with the 25% cancer prevalence that would be expected in a broad cohort with suspicious lung nodules. We believe this NPV can assist physicians in avoiding unnecessary invasive procedures in these patients with a very small likelihood of missing a cancer. When the test identified patients as high risk, its specificity was 92%, for a positive predictive value, or PPV, of 70% at a malignancy rate of 25%. Given these data, we believe the Percepta Nasal Swab test would assist physicians in directing these patients to further procedures so they could obtain an accurate diagnosis and speed time to treatment, if necessary. Patients in the moderate risk group could be managed according to current clinical guidelines. We are running the Percepta Nasal Swab test in our CLIA lab in support of our NIGHTINGALE clinical utility study, in an effort to produce data to help drive Medicare and private payer coverage, as well as clinical adoption.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Driving Global Growth with Distributed IVD Tests</w:t>
      </w:r>
    </w:p>
    <w:p>
      <w:pPr>
        <w:spacing w:after="0" w:line="152"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Once we have developed robust clinical evidence and physician adoption of our tests in the United States, we typically then drive further patient access by launching them, as appropriate, into global markets as IVD tests. This approach enables our tests to be performed locally in laboratories and hospitals worldwide, which we believe facilitates market access and physician adoption in Europe and other strategic global markets.</w:t>
      </w:r>
    </w:p>
    <w:p>
      <w:pPr>
        <w:spacing w:after="0" w:line="86"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7"/>
          <w:szCs w:val="17"/>
          <w:color w:val="auto"/>
        </w:rPr>
        <w:t>We currently offer IVD testing in breast cancer using the nCounter Analysis System, for which we acquired the exclusive worldwide license for clinical IVD test use in December 2019. In November 2023, we announced a multi-year agreement with Illumina, Inc. to develop and offer some of our molecular tests as decentralized IVD tests on their NextSeq 550Dx NGS instrument to leverage their large installed base and lower cost per test. This agreement reflects our expanded, multi-platform approach to IVD testing, which will include NGS and qPCR, to help accelerate our ability to make our tests available to more patients globally. The first tests that we plan to develop for the Illumina NextSeq 550Dx instrument are our Prosigna Breast Cancer Assay and Percepta Nasal Swab test, which we expect to be available for commercialization outside of the United States in 2025 and 2026, respectively. We are also developing our Decipher Prostate test as a qPCR-based test, which we expect to commercialize outside of the United States in the second half of 2025.</w:t>
      </w:r>
    </w:p>
    <w:p>
      <w:pPr>
        <w:spacing w:after="0" w:line="62"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Our acquisition of HalioDx in August 2021 provided us with a European headquarters to develop, manufacture and supply our own IVD test kits. We have largely completed the transition of our test manufacturing from NanoString in the United States to our facility in Marseille, France, giving us greater control of our IVD test supply chain. The vertical integration of development and manufacturing will enhance our ability to efficiently serve the global market with a broad menu of diagnostic tests.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Breast Cancer - Prosigna Breast Cancer Assay</w:t>
      </w:r>
    </w:p>
    <w:p>
      <w:pPr>
        <w:spacing w:after="0" w:line="113"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Breast cancer is the most common cancer and the leading cause of cancer-related death in women worldwide. In 2020, there were an estimated 2.3 million new cases of the disease. Hormone receptor positive breast cancer is the most prevalent type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of breast cancer, comprising approximately 70% of cases. Of these, we estimate that the global early-stage breast cancer recurrence market is significant, with approximately 750,000 patients potentially eligible for the Prosigna Breast Cancer Assay annually. Included in this estimate are approximately 280,000 patients in the United States and 270,000 across the major markets in Europe.</w:t>
      </w:r>
    </w:p>
    <w:p>
      <w:pPr>
        <w:spacing w:after="0" w:line="68"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Information about individual patients’ prognosis is the foundation of treatment decision-making and recommendations in breast cancer. However, traditional non-molecular tests are often insufficient to reliably determine patients’ individual risk of recurrence and, therefore, adequately inform therapy decisions.</w:t>
      </w:r>
    </w:p>
    <w:p>
      <w:pPr>
        <w:spacing w:after="0" w:line="68" w:lineRule="exact"/>
        <w:rPr>
          <w:sz w:val="20"/>
          <w:szCs w:val="20"/>
          <w:color w:val="auto"/>
        </w:rPr>
      </w:pPr>
    </w:p>
    <w:p>
      <w:pPr>
        <w:jc w:val="both"/>
        <w:ind w:firstLine="397"/>
        <w:spacing w:after="0" w:line="241" w:lineRule="auto"/>
        <w:rPr>
          <w:sz w:val="20"/>
          <w:szCs w:val="20"/>
          <w:color w:val="auto"/>
        </w:rPr>
      </w:pPr>
      <w:r>
        <w:rPr>
          <w:rFonts w:ascii="Times New Roman" w:cs="Times New Roman" w:eastAsia="Times New Roman" w:hAnsi="Times New Roman"/>
          <w:sz w:val="18"/>
          <w:szCs w:val="18"/>
          <w:color w:val="auto"/>
        </w:rPr>
        <w:t>The Prosigna Breast Cancer Assay is a clinically validated prognostic assay that uses advanced genomic technology and combines clinical and pathological information to help inform next steps for post-menopausal women with early-stage, hormone receptor positive breast cancer, helping them avoid unnecessary toxic chemotherapy or under-treatment. The assay is performed in laboratories in Europe and the United States, as well as select other countries. The Prosigna Breast Cancer Assay analyzes the activity of 46 genes in the PAM50 gene signature, and based on molecular subtypes, proliferation score, and clinical-pathological features, can provide a hormone-receptor positive, early-stage breast cancer patient and their physician with a prognostic risk-of-recurrence score that indicates the probability of cancer recurrence over the next ten years.</w:t>
      </w:r>
    </w:p>
    <w:p>
      <w:pPr>
        <w:spacing w:after="0" w:line="74" w:lineRule="exact"/>
        <w:rPr>
          <w:sz w:val="20"/>
          <w:szCs w:val="20"/>
          <w:color w:val="auto"/>
        </w:rPr>
      </w:pPr>
    </w:p>
    <w:p>
      <w:pPr>
        <w:jc w:val="both"/>
        <w:ind w:firstLine="397"/>
        <w:spacing w:after="0" w:line="244" w:lineRule="auto"/>
        <w:rPr>
          <w:sz w:val="20"/>
          <w:szCs w:val="20"/>
          <w:color w:val="auto"/>
        </w:rPr>
      </w:pPr>
      <w:r>
        <w:rPr>
          <w:rFonts w:ascii="Times New Roman" w:cs="Times New Roman" w:eastAsia="Times New Roman" w:hAnsi="Times New Roman"/>
          <w:sz w:val="18"/>
          <w:szCs w:val="18"/>
          <w:color w:val="auto"/>
        </w:rPr>
        <w:t xml:space="preserve">The Prosigna assay is clinically validated in studies published in </w:t>
      </w:r>
      <w:r>
        <w:rPr>
          <w:rFonts w:ascii="Times New Roman" w:cs="Times New Roman" w:eastAsia="Times New Roman" w:hAnsi="Times New Roman"/>
          <w:sz w:val="18"/>
          <w:szCs w:val="18"/>
          <w:i w:val="1"/>
          <w:iCs w:val="1"/>
          <w:color w:val="auto"/>
        </w:rPr>
        <w:t>Annals of Oncology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Medicare coverage for Prosigna has been in effect since 2015. The test is recommended in guidelines from the National Comprehensive Cancer Network and the American Society of Clinical Oncology in the United States. Outside of the United States, the test is included in leading medical guidelines, including from the National Institute for Health and Care Excellence in the United Kingdom and the European Society for Medical Oncology.</w:t>
      </w:r>
    </w:p>
    <w:p>
      <w:pPr>
        <w:spacing w:after="0" w:line="73"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The Prosigna assay utilizes formalin-fixed and paraffin-embedded breast cancer tissue and is offered as an IVD test that runs on the nCounter Analysis System. The test has been CE-IVD marked, showing that it conforms with European Union regulations, and is available for use by healthcare professionals in the European Union and other countries that recognize the CE mark, as well as in Canada, Israel, Australia, New Zealand and Hong Kong. The Prosigna test is FDA 510(k) cleared in the United States for use on the nCounter Analysis System.</w:t>
      </w:r>
    </w:p>
    <w:p>
      <w:pPr>
        <w:spacing w:after="0" w:line="88" w:lineRule="exact"/>
        <w:rPr>
          <w:sz w:val="20"/>
          <w:szCs w:val="20"/>
          <w:color w:val="auto"/>
        </w:rPr>
      </w:pPr>
    </w:p>
    <w:p>
      <w:pPr>
        <w:ind w:right="1940" w:firstLine="397"/>
        <w:spacing w:after="0" w:line="414" w:lineRule="auto"/>
        <w:rPr>
          <w:sz w:val="20"/>
          <w:szCs w:val="20"/>
          <w:color w:val="auto"/>
        </w:rPr>
      </w:pPr>
      <w:r>
        <w:rPr>
          <w:rFonts w:ascii="Times New Roman" w:cs="Times New Roman" w:eastAsia="Times New Roman" w:hAnsi="Times New Roman"/>
          <w:sz w:val="18"/>
          <w:szCs w:val="18"/>
          <w:color w:val="auto"/>
        </w:rPr>
        <w:t xml:space="preserve">The Prosigna Breast Cancer Assay is sold to laboratories by our direct sales team and through distributors in certain countries. </w:t>
      </w:r>
      <w:r>
        <w:rPr>
          <w:rFonts w:ascii="Times New Roman" w:cs="Times New Roman" w:eastAsia="Times New Roman" w:hAnsi="Times New Roman"/>
          <w:sz w:val="18"/>
          <w:szCs w:val="18"/>
          <w:b w:val="1"/>
          <w:bCs w:val="1"/>
          <w:color w:val="auto"/>
        </w:rPr>
        <w:t>Expanding Into Minimal Residual Disease</w:t>
      </w:r>
    </w:p>
    <w:p>
      <w:pPr>
        <w:spacing w:after="0" w:line="1" w:lineRule="exact"/>
        <w:rPr>
          <w:sz w:val="20"/>
          <w:szCs w:val="20"/>
          <w:color w:val="auto"/>
        </w:rPr>
      </w:pPr>
    </w:p>
    <w:p>
      <w:pPr>
        <w:jc w:val="both"/>
        <w:ind w:firstLine="397"/>
        <w:spacing w:after="0" w:line="262" w:lineRule="auto"/>
        <w:rPr>
          <w:sz w:val="20"/>
          <w:szCs w:val="20"/>
          <w:color w:val="auto"/>
        </w:rPr>
      </w:pPr>
      <w:r>
        <w:rPr>
          <w:rFonts w:ascii="Times New Roman" w:cs="Times New Roman" w:eastAsia="Times New Roman" w:hAnsi="Times New Roman"/>
          <w:sz w:val="17"/>
          <w:szCs w:val="17"/>
          <w:color w:val="auto"/>
        </w:rPr>
        <w:t>In February 2024, we acquired C2i, an MRD company, adding whole-genome MRD capabilities to our novel diagnostics platform and positioning us to serve physicians and their patients further along the care continuum, in combination with our diagnostic and prognostic tests. MRD is a large emerging market, currently estimated at a total addressable market, or TAM, of $20 billion annually. We believe we can leverage our specialist commercial channels and relationships to partner early in a patient’s care, using our indication-specific focus and expertise to drive adoption from the first diagnostic test onward. MRD testing will expand the value we provide to clinicians to inform whether a patient’s intervention was successful or if management escalation is required.</w:t>
      </w:r>
    </w:p>
    <w:p>
      <w:pPr>
        <w:spacing w:after="0" w:line="58"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C2i’s whole-genome, artificial intelligence-powered approach generates broad signatures from blood more quickly and efficiently than bespoke panels. C2i's MRD solution requires less than a tube of blood (as little as 3-4 ml blood, or 1-2 ml plasma), can go from sample to result in just two weeks, and delivers improved performance compared to imaging and other molecular tests. We believe this ability will enable physicians to track a tumor’s progression as it evolves from early diagnosis through patient treatment and follow-up.</w:t>
      </w:r>
    </w:p>
    <w:p>
      <w:pPr>
        <w:spacing w:after="0" w:line="7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expect our first application of C2i’s technology will be a muscle-invasive bladder cancer MRD test, where we plan to leverage our strong urology commercial channel and a clear pathway to expected reimbursement. We expect to launch our first test in the first half of 2026. We plan to also develop further MRD tests in several other indications.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152"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have formed numerous biopharmaceutical partnerships that derive value out of our current assets or future ones. Through development and commercialization of our tests, we have built or gained access to unique biorepositories that include extensive clinical cohorts and whole-genome RNA sequencing and other data.</w:t>
      </w:r>
    </w:p>
    <w:p>
      <w:pPr>
        <w:spacing w:after="0" w:line="68"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Through the acquisition of HalioDx in 2021, we gained expertise in immuno-oncology services for biopharmaceutical customers, as well as know-how in IVD test development and manufacturing, the latter of which is utilized to provide services to other diagnostic companies in indications that are noncompetitive to Veracyte.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15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Recent interest rate increases and inflation in the United States and other markets globally, as well as turmoil in the global banking and finance system, have heightened the risk of an economic downturn or recession and volatility and have resulted in recent volatility in the capital or credit markets in the United States and globally. Moreover, the continued fluctuation of the United States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regional conflicts like those between Russia and Ukraine have increased the risk of disruptions to energy supplies in Europe, which may impact our ability to manufacture tests or perform services from our facility in Marseille, France, and other conflicts may adversely impact our business and operating results. Finally, the ongoing conflict in the Middle East may disrupt our Israel business operations and affect employees acquired through our acquisition of C2i.</w:t>
      </w:r>
    </w:p>
    <w:p>
      <w:pPr>
        <w:spacing w:after="0" w:line="13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extent of the impact of macroeconomic factors on our future liquidity and operational performance will depend on certain developments, the impact on our customers' operations; the impact to our sales and renewal cycles; changes in central bank policies and interest rates; rates of inflation; and changes in foreign currency exchange rates. See "Risk Factors" for further discussion.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66" w:lineRule="exact"/>
        <w:rPr>
          <w:sz w:val="20"/>
          <w:szCs w:val="20"/>
          <w:color w:val="auto"/>
        </w:rPr>
      </w:pPr>
    </w:p>
    <w:p>
      <w:pPr>
        <w:jc w:val="both"/>
        <w:ind w:firstLine="397"/>
        <w:spacing w:after="0" w:line="255" w:lineRule="auto"/>
        <w:rPr>
          <w:sz w:val="20"/>
          <w:szCs w:val="20"/>
          <w:color w:val="auto"/>
        </w:rPr>
      </w:pPr>
      <w:r>
        <w:rPr>
          <w:rFonts w:ascii="Times New Roman" w:cs="Times New Roman" w:eastAsia="Times New Roman" w:hAnsi="Times New Roman"/>
          <w:sz w:val="18"/>
          <w:szCs w:val="18"/>
          <w:color w:val="auto"/>
        </w:rPr>
        <w:t>Revenue from our tests comes from several sources, including commercial third-party payers, such as insurance companies and health maintenance organizations, government payers, such as Medicare and Medicaid, and patients.</w:t>
      </w:r>
    </w:p>
    <w:p>
      <w:pPr>
        <w:spacing w:after="0" w:line="6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Medicare generally covers molecular diagnostic tests through the individual Medicare Administrative Contracts, or MACs. Medicare coverage for most of Veracyte’s tests is determined through the MolDX program, administered by the MAC Palmetto GBA. Through Local Coverage Determinations, or LCDs, and associated coverage articles, MolDX covers Afirma GSC, Envisia, Decipher Prostate, Decipher Bladder, and Prosigna. For testing services that do not fall within the scope of the MolDX program, coverage may be adjudicated by the MAC with jurisdiction over the laboratory that performs the test, either via an LCD or on a claim-by-claim basis.</w:t>
      </w:r>
    </w:p>
    <w:p>
      <w:pPr>
        <w:spacing w:after="0" w:line="82"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Since 1984, Medicare has paid for clinical diagnostic laboratory tests, or CDLTs, on the Clinical Laboratory Fee Schedule, or CLFS, under section 1833(h) of the Social Security Act, or the SSA. Section 216(a) of the Protecting Access to Medicare Act of 2014, or PAMA, made extensive revisions to the Medicare CLFS coding, rate setting processes, and laboratory payment reporting for CDLTs, and created a new subcategory of CDLTs called Advanced Diagnostic Laboratory Tests, or ADLTs, with separate reporting and payment requirements.</w:t>
      </w:r>
    </w:p>
    <w:p>
      <w:pPr>
        <w:spacing w:after="0" w:line="7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2016, the Centers for Medicare and Medicaid Services, or CMS, issued the final rule to implement the requirements of PAMA, which significantly revised the Medicare payment system for CDLTs. The final rule was implemented on January 1, 2018, for the private payer rate-based fee schedule required by PAMA. Under the final rule, for CDLTs furnished on or after January 1, 2018, the amount Medicare pays is equal to the weighted median of private payer rates for the CDLTs, reported triennially for CDLTs, and annually for ADLTs. Since the initial implementation of PAMA, Congress has extended the payment review cycle on multiple occasions. The most recent legislation, passed in November 2023, enacts another one-year delay in reporting of private payor rates under PAMA which delays the next private payor rate reporting period from January-March 2024 to January-March 2025. Reporting during this period will continue to be based on private payor rates for which final payment was made from January-June 2019. If not delayed further, rates reported in 2025 would set CLFS payment rates from 2026-2028.</w:t>
      </w:r>
    </w:p>
    <w:p>
      <w:pPr>
        <w:spacing w:after="0" w:line="82"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We submit claims to payers directly using unique American Medical Association Current Procedural Terminology, or CPT, codes when they exist for our products and services and use either miscellaneous or common CPT codes for non-proprietary testing services or when unique codes do not exist. Third-party payers, including Medicare, have specific and often complex billing rules, failure to abide by which may result in denials, audits, and/or refund requests. We work with commercial payers to establish medical coverage policies for our tests and services, negotiate network status and contracted rates. Payment from third-party payers differs depending on whether we have entered into a contract with the payers as a “contracted provider” or do not have a contract and are considered a “non-contracted provider.” Payers will often reimburse non-contracted providers, if at all, at a lower rate than contracted providers.</w:t>
      </w:r>
    </w:p>
    <w:p>
      <w:pPr>
        <w:spacing w:after="0" w:line="6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When we contract to serve as a contracted provider, reimbursements are made pursuant to a negotiated fee schedule and are limited to only covered indications. Becoming a contracted provider generally results in higher reimbursement for covered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indications and lack of reimbursement for non-covered indications. As a result, the impact of becoming a contracted provider with a specific payer will vary.</w:t>
      </w:r>
    </w:p>
    <w:p>
      <w:pPr>
        <w:spacing w:after="0" w:line="122"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In some cases, third party payers may request audits of the amounts paid to us. This may require us to repay certain amounts to payers as a result of such audits.</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Factors that impact reimbursement include, among others:</w:t>
      </w:r>
    </w:p>
    <w:p>
      <w:pPr>
        <w:spacing w:after="0" w:line="97"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medical policies indicating coverage for our products and services;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status and claims adjudication as in-network or out of network and corresponding patient co-pay/coinsurance responsibilities;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financial assistance programs;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American Medical Association's CPT coding rules and edits;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clinical laboratory and physician fee schedules;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sequestration;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fee schedules;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rates for our diagnostics;</w:t>
      </w:r>
    </w:p>
    <w:p>
      <w:pPr>
        <w:spacing w:after="0" w:line="44" w:lineRule="exact"/>
        <w:rPr>
          <w:rFonts w:ascii="Times New Roman" w:cs="Times New Roman" w:eastAsia="Times New Roman" w:hAnsi="Times New Roman"/>
          <w:sz w:val="18"/>
          <w:szCs w:val="18"/>
          <w:color w:val="auto"/>
        </w:rPr>
      </w:pPr>
    </w:p>
    <w:p>
      <w:pPr>
        <w:ind w:left="640" w:hanging="316"/>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management or prior authorization processes and steps put in place by commercial payers ensuring medical necessity of services ordered for patients;</w:t>
      </w:r>
    </w:p>
    <w:p>
      <w:pPr>
        <w:spacing w:after="0" w:line="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errors;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disputes.</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years ended December 31, 2023, 2022 and 2021, respectively, revenue was represented by the indicated percent for each payer:</w:t>
      </w:r>
    </w:p>
    <w:p>
      <w:pPr>
        <w:spacing w:after="0" w:line="9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Medicare accounted for 35%, 36% and 35% of our testing revenue. Medicaid accounted for 1%, 3%, and 2% of our testing revenue. Private commercial payers accounted for 64%, 61%, and 63% of our testing revenue.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Vitro Diagnostic Tests</w:t>
      </w:r>
    </w:p>
    <w:p>
      <w:pPr>
        <w:spacing w:after="0" w:line="11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For our IVD tests, we bill hospital and laboratory customers directly for test kits they order. Our customers subsequently bill third-party payers for reimbursement. We continue to drive Prosigna reimbursement efforts in Europe and other global markets through the development of clinical and other evidence to support the test’s inclusion in guidelines and coverage programs. The test is currently reimbursed in Germany, France, Spain, Portugal, Italy, Netherlands, Norway, Sweden, Denmark, Austria, Lithuania, Switzerland, Canada, England, Scotland, and Israel.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5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Our main competition are companies that use next generation sequencing technology or other methods to measure genomic biomarkers in disease areas addressed by our tests.</w:t>
      </w:r>
    </w:p>
    <w:p>
      <w:pPr>
        <w:spacing w:after="0" w:line="62"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Our Afirma test faces competition from companies that use next generation sequencing technology or other methods to measure mutational markers such as BRAF and KRAS, along with numerous other mutations. These organizations include, for example, Interpace Diagnostics Group, Inc. and CBLPath, Inc./University of Pittsburgh Medical Center, as well as others who are developing new products or technologies that may compete with our tests.</w:t>
      </w:r>
    </w:p>
    <w:p>
      <w:pPr>
        <w:spacing w:after="0" w:line="5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Our Decipher Prostate test faces competition from Myriad Genetics, Inc., or Myriad Genetics, and MDxHealth, SA, or MDxHealth, which offer genomic testing for prognostic purposes within localized prostate cancer. Additionally, traditional methods used by pathologists and clinicians to estimate risk of disease progression pose competitive threats to our business. Additionally, companies seeking to combine traditional pathology methods and artificial intelligence powered image analysis could potentially emerge as competitors. Of these, Artera appears to be farthest along in development of a commercial product. In bladder cancer, we are not currently aware of a direct competitor offering genomic testing for prognostic purposes that match the intended use population for our test. However, DNA mutational analysis, traditional clinical methods and nomograms are currently in use by physicians for similar purposes.</w:t>
      </w:r>
    </w:p>
    <w:p>
      <w:pPr>
        <w:spacing w:after="0" w:line="8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Envisia classifier will similarly come from traditional methods used by physicians to diagnose the related diseases. For the Percepta Nasal Swab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believe our primary competition in MIBC is Natera, Inc. For future indications we choose to serve, competition may come from numerous other companies in the space, including but not limited to, Natera, Inc., Guardant Health, Inc., Personalis, Inc., NeoGenomics, Inc., Exact Sciences Corporation, Twist Biosciences Corporation, Invitae Corporation, and Myriad Genetics, Inc.</w:t>
      </w:r>
    </w:p>
    <w:p>
      <w:pPr>
        <w:spacing w:after="0" w:line="7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7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believe key factors contributing to our success in the market include our Veracyte Diagnostics Platform, scientific and technological excellence, evidence of clinical differentiation, strong KOL support and payer coverage policies for our tests. We believe our strength across these areas form a barrier to entry and a competitive advantage. Our specialist channels and relationships allow us to enter the cancer care continuum at the beginning of a cancer patient’s journey, which positions us to more easily move down through that journey from diagnosis through treatment and monitoring. However, our competitive landscape may change over time as new competitors enter the market. As we add new tests and services, we will face many of these same competitive risks for these new tests as well.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Technology</w:t>
      </w:r>
    </w:p>
    <w:p>
      <w:pPr>
        <w:spacing w:after="0" w:line="152" w:lineRule="exact"/>
        <w:rPr>
          <w:sz w:val="20"/>
          <w:szCs w:val="20"/>
          <w:color w:val="auto"/>
        </w:rPr>
      </w:pPr>
    </w:p>
    <w:p>
      <w:pPr>
        <w:jc w:val="both"/>
        <w:ind w:firstLine="397"/>
        <w:spacing w:after="0" w:line="262" w:lineRule="auto"/>
        <w:rPr>
          <w:sz w:val="20"/>
          <w:szCs w:val="20"/>
          <w:color w:val="auto"/>
        </w:rPr>
      </w:pPr>
      <w:r>
        <w:rPr>
          <w:rFonts w:ascii="Times New Roman" w:cs="Times New Roman" w:eastAsia="Times New Roman" w:hAnsi="Times New Roman"/>
          <w:sz w:val="17"/>
          <w:szCs w:val="17"/>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73"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Certain of our issued patents expire between 2024 and 2038 and are related to methods used in thyroid cancer diagnostics, urologic cancers diagnostics, lung cancer and disease diagnostics, breast cancer diagnostics, and immuno-oncology diagnostics.</w:t>
      </w:r>
    </w:p>
    <w:p>
      <w:pPr>
        <w:spacing w:after="0" w:line="7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intend to file additional patent applications in the United States and abroad to strengthen our intellectual property rights; however, our patent applications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68" w:lineRule="exact"/>
        <w:rPr>
          <w:sz w:val="20"/>
          <w:szCs w:val="20"/>
          <w:color w:val="auto"/>
        </w:rPr>
      </w:pPr>
    </w:p>
    <w:p>
      <w:pPr>
        <w:jc w:val="both"/>
        <w:ind w:firstLine="397"/>
        <w:spacing w:after="0" w:line="243" w:lineRule="auto"/>
        <w:rPr>
          <w:sz w:val="20"/>
          <w:szCs w:val="20"/>
          <w:color w:val="auto"/>
        </w:rPr>
      </w:pPr>
      <w:r>
        <w:rPr>
          <w:rFonts w:ascii="Times New Roman" w:cs="Times New Roman" w:eastAsia="Times New Roman" w:hAnsi="Times New Roman"/>
          <w:sz w:val="18"/>
          <w:szCs w:val="18"/>
          <w:color w:val="auto"/>
        </w:rPr>
        <w:t>We hold or in-license registered trademarks in the United States for “Veracyte,” “Afirma,” “Percepta,” “Envisia,” “Prosigna,” “Lymphmark,” “Decipher,” “GRID,” “HalioDx,” “Immunoscore,” “Brightplex,” “Immunosign,” “TMExplore,” and the Veracyte logo. “C2i Genomics,” “C2Inform,” and “C2Intelligence” are trademarks acquired through the C2i acquisition and are pending registration with the USPTO. We also hold registered trademarks in various jurisdictions outside of the United States.</w:t>
      </w:r>
    </w:p>
    <w:p>
      <w:pPr>
        <w:spacing w:after="0" w:line="75" w:lineRule="exact"/>
        <w:rPr>
          <w:sz w:val="20"/>
          <w:szCs w:val="20"/>
          <w:color w:val="auto"/>
        </w:rPr>
      </w:pPr>
    </w:p>
    <w:p>
      <w:pPr>
        <w:jc w:val="both"/>
        <w:ind w:firstLine="397"/>
        <w:spacing w:after="0" w:line="241" w:lineRule="auto"/>
        <w:rPr>
          <w:sz w:val="20"/>
          <w:szCs w:val="20"/>
          <w:color w:val="auto"/>
        </w:rPr>
      </w:pPr>
      <w:r>
        <w:rPr>
          <w:rFonts w:ascii="Times New Roman" w:cs="Times New Roman" w:eastAsia="Times New Roman" w:hAnsi="Times New Roman"/>
          <w:sz w:val="18"/>
          <w:szCs w:val="18"/>
          <w:color w:val="auto"/>
        </w:rPr>
        <w:t>We require all employees and consultants working for us to execute confidentiality agreements, which provide that all confidential information received by them during the course of the employment or consulting relationship be kept confidential, except in specified circumstances. Our agreements with our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66" w:lineRule="exact"/>
        <w:rPr>
          <w:sz w:val="20"/>
          <w:szCs w:val="20"/>
          <w:color w:val="auto"/>
        </w:rPr>
      </w:pPr>
    </w:p>
    <w:p>
      <w:pPr>
        <w:jc w:val="both"/>
        <w:ind w:firstLine="397"/>
        <w:spacing w:after="0" w:line="239" w:lineRule="auto"/>
        <w:rPr>
          <w:sz w:val="20"/>
          <w:szCs w:val="20"/>
          <w:color w:val="auto"/>
        </w:rPr>
      </w:pPr>
      <w:r>
        <w:rPr>
          <w:rFonts w:ascii="Times New Roman" w:cs="Times New Roman" w:eastAsia="Times New Roman" w:hAnsi="Times New Roman"/>
          <w:sz w:val="18"/>
          <w:szCs w:val="18"/>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 Historically, the cost of compliance for these safety laws and regulations related to the protection of the environment has not materially impacted our operations. There were no material capital expenditures related to environmental compliance in the year ended December 31, 2023. Similarly, we do not anticipate any significant expenditures for the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52" w:lineRule="exact"/>
        <w:rPr>
          <w:sz w:val="20"/>
          <w:szCs w:val="20"/>
          <w:color w:val="auto"/>
        </w:rPr>
      </w:pPr>
    </w:p>
    <w:p>
      <w:pPr>
        <w:jc w:val="both"/>
        <w:ind w:firstLine="397"/>
        <w:spacing w:after="0" w:line="238" w:lineRule="auto"/>
        <w:rPr>
          <w:sz w:val="20"/>
          <w:szCs w:val="20"/>
          <w:color w:val="auto"/>
        </w:rPr>
      </w:pPr>
      <w:r>
        <w:rPr>
          <w:rFonts w:ascii="Times New Roman" w:cs="Times New Roman" w:eastAsia="Times New Roman" w:hAnsi="Times New Roman"/>
          <w:sz w:val="18"/>
          <w:szCs w:val="18"/>
          <w:color w:val="auto"/>
        </w:rPr>
        <w:t>We procure reagents, equipment, and other materials that we use to perform our tests from sole suppliers. We also purchase components used in our collection kits from sole-source suppliers. Some of these items are unique to these suppliers and vendors. In addition, we utilize external providers to assemble and distribute our sample collection kits. While we have developed alternate sourcing strategies for these materials and vendors where possible,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if materials become unavailable, or if we elect to change suppliers, an interruption in test processing could occur, we may not be able to deliver patient reports and we may incur high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From time to time, we may be party to lawsuits in the ordinary course of business. We are currently not a party to any material legal proceedings.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Laboratory Improvement Amendments of 1988, or CLIA</w:t>
      </w:r>
    </w:p>
    <w:p>
      <w:pPr>
        <w:spacing w:after="0" w:line="24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As a clinical reference laboratory, we are required to hold certain federal, state and local licenses, certifications and permits to conduct our business. We are subject to CLIA, a federal law that regulates clinical laboratories that test specimens derived from humans for the purpose of providing information for the diagnosis, prevention or treatment of disease. Under CLIA, which is administered by CMS, we are required to hold a certificate applicable to the type of laboratory examinations and tests we perform and to comply with standards covering personnel qualifications, facilities administration, quality systems, inspections, and proficiency testing. We must maintain CLIA compliance and certification to sell our tests and be eligible to bill state and federal healthcare programs, as well as many private third-party payers.</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Moreover, 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or cancellation of our approval to receive payments under Medicare for our services. If we were to be found out of compliance with CLIA requirements and subjected to sanctions, our business could be harmed.</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hold CLIA certifications to perform testing at our South San Francisco and San Diego, California; and Austin, Texas laboratory locations. To renew our CLIA certificates, we are subject to survey and inspection every two years to assess compliance with program standards. Moreover, CLIA inspectors may conduct random inspections of our clinical reference laboratories. If we in the future fail to maintain CLIA certificates in our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Laboratory Licensing</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California Laboratory Licensing</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addition to federal certification requirements of laboratories under CLIA, licensure is required and maintained for our South San Francisco and San Diego, California clinical reference laboratories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2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If our clinical reference laboratories are out of compliance with California standards, the California Department of Public Health, or CDPH, may suspend, restrict or revoke our license to operate our clinical reference laboratories, assess substantial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civil money penalties, or impose specific corrective action plans. Any such actions could materially affect our business. We maintain current licenses in good standing with CDPH. However, we cannot provide assurance that CDPH will at all times in the future find us to be in compliance with all such laws.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New York Laboratory Licensing</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clinical reference laboratories are required to be licensed by New York, under New York laws and regulations before we receive specimens from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The New York laws and regulations establish standards for:</w:t>
      </w:r>
    </w:p>
    <w:p>
      <w:pPr>
        <w:spacing w:after="0" w:line="226" w:lineRule="exact"/>
        <w:rPr>
          <w:sz w:val="20"/>
          <w:szCs w:val="20"/>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management systems;</w:t>
      </w:r>
    </w:p>
    <w:p>
      <w:pPr>
        <w:spacing w:after="0" w:line="22"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qualifications, responsibilities, and training;</w:t>
      </w:r>
    </w:p>
    <w:p>
      <w:pPr>
        <w:spacing w:after="0" w:line="4"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and resource management;</w:t>
      </w:r>
    </w:p>
    <w:p>
      <w:pPr>
        <w:spacing w:after="0" w:line="4"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pre-analytic, analytic (including validation and quality control), and post-analytic systems; and</w:t>
      </w:r>
    </w:p>
    <w:p>
      <w:pPr>
        <w:spacing w:after="0" w:line="4"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assessments and improvements.</w:t>
      </w:r>
    </w:p>
    <w:p>
      <w:pPr>
        <w:spacing w:after="0" w:line="226"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New York law also mandates proficiency testing for laboratories licensed under New York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laboratory developed tests before the test is offered in New York; approval has been received for the Afirma GSC, Envisia, Decipher Prostate and Decipher Bladder tests. NYSDOH approval has also been received for Percepta Nasal Swab in support of our clinical trial. Should we be found out of compliance with New York laboratory standards of practice, we could be subject to sanctions, which could harm our business. We maintain a current license in good standing with NYSDOH for our South San Francisco and San Diego, California; and Austin, Texas laboratories. We cannot provide assurance that the NYSDOH will at all times find us to be in compliance with applicable laws.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States' Laboratory Licensing</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addition to New York and California, other states require licensing of in-state and out-of-state laboratories under certain circumstances. For example, Pennsylvania, Maryland and Rhode Island require licenses to test specimens from patients in those states. We have obtained licenses from states where we believe we are required to be licensed and believe we are in compliance with applicable licensing laws.</w:t>
      </w:r>
    </w:p>
    <w:p>
      <w:pPr>
        <w:spacing w:after="0" w:line="206"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From time to time, we may become aware of other states that require in-state or out-of-state laboratories to obtain licensure in order to accept specimens from, or conduct laboratory operations in, the state, and it is possible that other states will have such requirements in the future. If we identify any other state with such requirements or if we are contacted by any other state advising us of such requirements, we intend to comply with such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Regulation of Laboratory Testing</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Food and Drug Administration: In Vitro Diagnostics and Diagnostic Kits</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IVDs and diagnostic kits, including collection systems that are sold and distributed in the United States, are regulated as medical devices by the FDA. Devices subject to FDA regulation must undergo premarket review prior to commercialization unless exempt from such review. In addition, manufacturers of medical devices must comply with various regulatory requirements under the Federal Food, Drug, and Cosmetic Act, or FDC Act, and implementing regulations promulgated thereunder. Entities that fail to comply with FDA requirements may be subject to, among other things, issuance of inspectional observations on Form FDA-483, untitled or warning letters, recalls, import detentions, seizures, or injunctions, including orders to cease manufacturing, and can be liable for civil money penalties or criminal prosecution.</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FDC Act sets forth the classifications of medical devices into one of three categories based on the risks associated with the device and prescribes the levels of controls appropriate for each of the three classes to help ensure reasonable assurance of safety and effectiveness. Class I devices are considered to be low risk and are generally exempt from FDA premarket notification requirements. Class I devices are subject to general regulatory controls. When general controls are considered insufficient to provide reasonable assurance of safety and effectiveness, but there is sufficient information to establish special controls to provide such assurance, FDA will classify the device as a Class II device. Unless exempt, for Class II devices, the FDC Act requires the submission to FDA of a premarket notification, referred to as a “510(k),” which must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 data and information showing that the device is substantially equivalent to an already legally marketed device, referred to as a predicate device, with respect to the indications for use and the product’s technological characteristics. If the data and information are sufficient to show that the device is substantially equivalent to the predicate device, FDA issues a Substantially Equivalent letter clearing the device for marketing.</w:t>
      </w:r>
    </w:p>
    <w:p>
      <w:pPr>
        <w:spacing w:after="0" w:line="20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If there is insufficient information to support classifying a device into Class I or Class II and the device is life-sustaining or life-supporting or is substantially important in preventing impairment of human health or presents a potential unreasonable risk of illness or injury, FDA places the device into Class III. Class III devices are considered the highest risk devices and generally require significant data and information, including testing data and data from nonclinical and clinical studies, to provide reasonable assurance of the device's safety and effectiveness. For Class III devices, FDA requires the submission and FDA approval of a premarket application, or PMA, before they can be marketed.</w:t>
      </w:r>
    </w:p>
    <w:p>
      <w:pPr>
        <w:spacing w:after="0" w:line="215"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 xml:space="preserve">Certain devices are classified as Class III devices automatically, by operation of law, when the device does not have a predicate device or is found to not be substantially equivalent to a predicate device. If there is sufficient evidence to show that the device is a lower risk device, a manufacturer may ask FDA to reclassify the device into Class II or Class I by submitting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request. When FDA reclassifies a device through the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process, other manufacturers of the same device type do not necessarily have to submit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request or a PMA in order to legally market the device. Instead, manufacturers can submit a 510(k), unless the device has been classified as 510(k)-exempt, to legally market their device, because the device that was the subject of the original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request can serve as a predicate device for a substantial equivalence determination. If FDA does not issue an order granting the </w:t>
      </w:r>
      <w:r>
        <w:rPr>
          <w:rFonts w:ascii="Times New Roman" w:cs="Times New Roman" w:eastAsia="Times New Roman" w:hAnsi="Times New Roman"/>
          <w:sz w:val="17"/>
          <w:szCs w:val="17"/>
          <w:i w:val="1"/>
          <w:iCs w:val="1"/>
          <w:color w:val="auto"/>
        </w:rPr>
        <w:t xml:space="preserve">De Novo </w:t>
      </w:r>
      <w:r>
        <w:rPr>
          <w:rFonts w:ascii="Times New Roman" w:cs="Times New Roman" w:eastAsia="Times New Roman" w:hAnsi="Times New Roman"/>
          <w:sz w:val="17"/>
          <w:szCs w:val="17"/>
          <w:color w:val="auto"/>
        </w:rPr>
        <w:t>request for reclassification, the device will remain a Class III device and be subject to PMA requirements to obtain marketing authorization.</w:t>
      </w:r>
    </w:p>
    <w:p>
      <w:pPr>
        <w:spacing w:after="0" w:line="204"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Establishments that manufacture or, in certain situations, distribute FDA-related medical devices, including manufacturers, repackagers and relabelers, specification developers, and initial importers, are required to register and list their devices with the FDA, including payment of annual user fees.</w:t>
      </w:r>
    </w:p>
    <w:p>
      <w:pPr>
        <w:spacing w:after="0" w:line="17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Devices that may be legally marketed are subject to numerous regulatory requirements. These include: good manufacturing practice for medical devices as set out in the Quality System Regulation, or QSR, labeling regulations, restrictions on promotion and advertising, the Medical Device Reporting regulation, or MDR (which requires manufacturers to report certain adverse events and product malfunctions to the FDA), and the Reports of Corrections and Removals regulation (which requires manufacturers to report certain field actions to the FDA). Certain corrections and market removals may also be subject to FDA’s recall regulation and procedures.</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destroyed or used effectively for diagnostic examination. A specimen transport and storage container is classified as a Class I exempt device, which means that the device is exempt from the 510(k) premarket notification requirement and, if not labeled or otherwise represented as sterile, the QSR, except for recordkeeping and complaint handling requirements. These 510(k) exempt devices are still subject to general controls, including MDR requirements, the reporting of corrections and removals, and establishment registration and product listing.</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our FDA registration, we have listed the containers we provide for collection and transport of Afirma GSC and Envisia samples from a physician to our clinical reference laboratory as Class I devices in accordance with the classification of regulation for the specimen transport and storage container. If the FDA were to determine that our sample collection containers are not Class I devices, we may be required to file 510(k) premarket notifications and obtain FDA clearance to manufacture and market the containers, which could be time consuming and expensive.</w:t>
      </w:r>
    </w:p>
    <w:p>
      <w:pPr>
        <w:spacing w:after="0" w:line="2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94" w:lineRule="exact"/>
        <w:rPr>
          <w:sz w:val="20"/>
          <w:szCs w:val="20"/>
          <w:color w:val="auto"/>
        </w:rPr>
      </w:pPr>
    </w:p>
    <w:p>
      <w:pPr>
        <w:ind w:left="1280" w:hanging="242"/>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and civil money penalties;</w:t>
      </w:r>
    </w:p>
    <w:p>
      <w:pPr>
        <w:spacing w:after="0" w:line="22"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products;</w:t>
      </w:r>
    </w:p>
    <w:p>
      <w:pPr>
        <w:spacing w:after="0" w:line="4"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 and</w:t>
      </w:r>
    </w:p>
    <w:p>
      <w:pPr>
        <w:spacing w:after="0" w:line="4" w:lineRule="exact"/>
        <w:rPr>
          <w:rFonts w:ascii="Times New Roman" w:cs="Times New Roman" w:eastAsia="Times New Roman" w:hAnsi="Times New Roman"/>
          <w:sz w:val="18"/>
          <w:szCs w:val="18"/>
          <w:color w:val="auto"/>
        </w:rPr>
      </w:pPr>
    </w:p>
    <w:p>
      <w:pPr>
        <w:ind w:left="1280" w:hanging="242"/>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Federal Oversight of Laboratory Developed Tests and Research Use Only Products</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Clinical laboratory tests like our proprietary genomic tests are regulated under CLIA, as administered by CMS, as well as by applicable state laws. Clinical laboratory tests that are developed and run within a single CLIA-certified laboratory are referred to as laboratory developed tests, or LDTs, by the FDA. Currently, the FDA believes these tests meet the definition of a device under the FDC Act and that it has the authority to regulate them. However, the FDA is exercising enforcement discretion for LDTs, meaning the FDA is not currently enforcing the device regulations that the FDA would apply to such tests, although the FDA may continue to enforce device regulations with respect to certain reagents, instruments, software or components provided by third parties and used to perform LDTs. We believe that the Afirma and Envisia classifiers, as well as our Decipher Prostate and Bladder tests, have been developed and are performed in a manner consistent with the FDA’s enforcement discretion policy.</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In October 2014, the FDA published a draft guidance document proposing a framework for the regulation of LDTs. In November 2016, the FDA announced that it would not finalize guidance and would instead work with the new Administration, Congress and stakeholders on an updated framework. In January 2017, the FDA issued a discussion paper on LDTs in which it synthesized stakeholder feedback and outlined a substantially revised "possible approach" to the oversight of LDTs, which did not represent a formal position of the FDA and is not enforceable. In a December 2018 statement, the FDA said that there is a need for “a unified approach to the regulation of in vitro clinical tests to protect patient safety, support innovation, and keep pace with the rapidly evolving technology that’s helping us find new treatments for disease,” and listed key principles of an approach it would support. The FDA has not exercised enforcement discretion over all LDTs. For example, in response to the COVID-19 pandemic, the FDA required LDTs for SARS-CoV-2 to undergo premarket review and obtain Emergency Use Authorization (EUA) in order to remain on the market. The extent to which the FDA will continue to exercise enforcement discretion over other LDTs is unclear. Various legislative proposals have been introduced in recent years to clarify the FDA’s regulatory authority over clinical diagnostic tests. Even in the absence of a legislative change, it is possible that the FDA will promulgate regulations, issue guidance, or take other action to exert additional oversight over LDTs.</w:t>
      </w:r>
    </w:p>
    <w:p>
      <w:pPr>
        <w:spacing w:after="0" w:line="21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IVD products intended and labeled for research use only, or RUO, or investigational use only, or IUO. An RUO product cannot be used for any human clinical purpose and must be labeled "For Research Use Only. Not for use in diagnostic procedures." RUOs are a separate regulatory category and include IVD devices that are in the laboratory research phase of development. They are therefore not subject to most FDA regulatory requirements, so long as they are properly labeled and used in accordance with such labeling. RUOs cannot be marketed with any claims, or in a manner indicating, that the device is safe, effective, or has diagnostic utility, or is intended for human clinical diagnostic or prognostic use. In November 2013, the FDA issued final guidance titled “Distribution of In Vitro Diagnostic Products Labeled for Research Use Only or Investigational Use Only” regarding the distribution, use, and labeling of IVD products labeled RUO or IUO. The FDA has advised that if evidence demonstrates that a product is inappropriately labeled for research or investigational use only, the device would be considered misbranded and adulterated within the meaning of the FDC Act. In the guidance, the FDA stated that the manufacturer’s objective intent for an RUO or IUO product’s intended use will be determined by examining the totality of circumstances, including advertising, instructions for clinical interpretation, presentations that describe clinical use, and specialized technical support, surrounding the distribution of the product in question.</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cannot predict the ultimate form or impact of any such RUO/IUO, LDT or other guidance and the potential effect on our solutions or materials used to perform or develop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cannot provide any assurance that FDA premarket review or other requirements will not be imposed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including the Verifying Accurate Leading-edge IVCT Development (VALID) Act of 2018 in December 2018, the most recent version of which was released in July 2022,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tests or to develop and introduce new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 xml:space="preserve">If premarket review, clearance, or approval is required for the tests that we market as LDTs, our business could be negatively affected until such review is completed and clearance or approval to market is obtained, and the FDA could require that we stop selling our tests pending premarket clearance or approval. If our tests are allowed to remain on the market but there is uncertainty about the legal status of our services, if we are required by the FDA to label them investigational, or if the FDA limits the use and corresponding labeling claims, order levels may decline, and reimbursement may be adversely affected. The regulatory process may involve, among other things, successfully completing additional clinical studies and submitting to the FDA a premarket notification to obtain clearance or submitting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 or PMA to obtain approval to market the device. If clearance or approval is required by the FDA, there can be no assurance that our tests will be cleared or approved on a timely basis, if at all, nor can there be any assurance that approved labeling claims or labeling claims subject to cleared indications for use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to obtain marketing clearance or approval if we determine that doing so would be appropriate.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 Regulation of Laboratory Testing</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Directive 98/79/EC</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European Union, or EU, IVDs previously were regulated under EU-Directive 98/79/EC, or the IVDD, and corresponding national provisions.</w:t>
      </w:r>
    </w:p>
    <w:p>
      <w:pPr>
        <w:spacing w:after="0" w:line="24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IVDD requires that IVDs meet certain essential requirements, which are set out in an annex of the IVDD. To demonstrate compliance with the essential requirements, IVDs must undergo a conformity assessment procedure. As a general rule, demonstration of conformity of IVDs and their manufacturers with the essential requirements must be based, among other things, on the evaluation of clinical data supporting the safety and performance of the products during normal conditions of use.</w:t>
      </w:r>
    </w:p>
    <w:p>
      <w:pPr>
        <w:spacing w:after="0" w:line="20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IVDs must bear the CE marking of conformity when they are placed on the market, unless a specific exemption applies. Compliance with the IVDD essential requirements is a prerequisite for a manufacturer to be able to affix a CE mark, which is a declaration by the manufacturer that the IVD meets all the appropriate requirements under the IVDD and corresponding national provisions, as applicable.</w:t>
      </w:r>
    </w:p>
    <w:p>
      <w:pPr>
        <w:spacing w:after="0" w:line="206"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Under the IVDD, for most IVDs manufacturers used to “self-declare” the conformity of their IVDs with the essential requirements of the IVDD. For some types of IVDs listed in Annex II of the IVDD, a conformity assessment procedure required the intervention of a notified body. Notified regulatory bodies are independent organizations designated by Member States to assess the conformity with the essential requirements of medical devices, including IVDs when required, before a CE mark is affixed to the device and the device is placed on the market. The notified body would typically audit and examine the device’s technical file and the manufacturer’s quality system, though conformity with the relevant harmonized standards – which is ISO 13485:2016 for Quality Management Systems – can be used to demonstrate compliance with these requirements. If satisfied that the IVD conforms to the relevant essential requirements, the notified body issues a certificate of conformity, which the manufacturer uses as a basis for its own declaration of conformity.</w:t>
      </w:r>
    </w:p>
    <w:p>
      <w:pPr>
        <w:spacing w:after="0" w:line="21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Prosigna continues to be marketed in the EU/EEA as a self-declared CE marked device under the IVD Directive (98/79/EC) as regulated under the IVDR transition arrangement defined in EU 2017/746 and amended under EU 2022/112.</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 Vitro Diagnostic Medical Device Regulations (2017/746)</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EU regulatory landscape concerning medical devices and IVDs is significantly changing. The IVDD was replaced with the full implementation of the In Vitro Diagnostic Medical Device Regulations (2017/746), or IVDR, in the EU on 26 May 2022. This is, however, subject to relevant transitional periods.</w:t>
      </w:r>
    </w:p>
    <w:p>
      <w:pPr>
        <w:spacing w:after="0" w:line="20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main aims of the IVDR are to standardize diagnostic procedures throughout the EU, increase reliability of diagnostic analysis and enhance patient safety. As such, IVDs will be subject to additional regulatory scrutiny once the IVDR has come into force fully.</w:t>
      </w:r>
    </w:p>
    <w:p>
      <w:pPr>
        <w:spacing w:after="0" w:line="19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IVDR introduces a rule-based classification system, whereby IVDs must be classified into one of four classes: A, B, C or D. Class A is the lowest risk, and Class D is the highest. These take into account the intended purpose of the IVD and its inherent risks. The IVDR also introduces new requirements for conformity assessments. In particular, substantially more IVDs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will require the involvement of a notified body to be able to affix a CE mark to the IVD. In addition, under the IVDR there is a greater emphasis on post-market surveillance and submission of post-market performance follow-up reports.</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Many LDTs, or in-house tests, were not regulated by the IVDD. However, the IVDR sets out a number of provisions that apply to such tests, and requirements that must be met in order to be able to place the test on the market in the EU. The IVDR also introduces a new classification system for companion diagnostics which are now specifically defined. Companion diagnostics have to undergo a conformity assessment by a notified body. Before it can issue a certificate of conformity, the notified body has to seek a scientific opinion from the European Medicines Agency or the relevant national competent authority on the suitability of the companion diagnostic to the medicinal product concerned.</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IVDs with existing valid notified body-issued CE certificates may currently continue to place those devices on the market (if unchanged) until 27 May 2024 or until their certificate expires, whichever occurs first. However, due to the lack of capacity on the part of EU notified regulatory bodies to deal with the volume of IVDs requiring their input, the EU Commission adopted a proposal to amend the transitional provisions of the IVDR. This proposal would extend certain transitional provisions where IVDs can continue to be placed on the market under the IVDD for a certain period of time. The applicable amended transitional periods are based on the risk class of the IVD, with higher risk IVDs needing to be fully compliant with the IVDR in a shorter time period than lower risk IVDs.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or UK, Regulation of Laboratory Testing</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Following the UK’s departure from the EU, the IVDR will not be implemented in Great Britain (England, Scotland and Wales). The previous UK legislation that implemented the IVDD, the Medical Devices Regulations 2002 (SI 2002 No 618, as amended), or the 2002 Regulations, remains applicable. As such, the regulatory regime for IVDs in Great Britain will continue to be based on the requirements derived from the IVDD, though the UK is currently conducting a consultation on the medical device and IVD regime, including whether to align with the IVDR going forward.</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Since January 1, 2021, new regulations require medical devices and IVDs to be registered with the Medicines and Healthcare products Regulatory Agency, or MHRA, before being placed on Great Britain market (but manufacturers were given a grace period of four to 12 months to comply with the new registration process). The MHRA will only register devices where the manufacturer or their UK Responsible Person has a registered place of business in the UK. As such, manufacturers based outside the UK need to appoint a UK Responsible Person that has a registered place of business in the UK to register devices with the MHRA in line with the grace periods.</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a new route to market and accompanying mark, the UKCA, has been introduced to enable manufacturers to place medical devices and IVDs on the market in Great Britain. The requirements for this route to market are based on the requirements derived from EU law as currently implemented in the UK. CE marks and certificates issued by EU-designated notified regulatory bodies will continue to be valid for the Great Britain market until June 30, 2023. For medical devices, including IVDs, placed on the market in Great Britain after this period, the UKCA marking will be mandatory. In contrast, UKCA marking and certificates issued by UK notified regulatory bodies are not recognized on the EU market.</w:t>
      </w:r>
    </w:p>
    <w:p>
      <w:pPr>
        <w:spacing w:after="0" w:line="215"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The position in Northern Ireland is different to Great Britain. The rules for placing medical devices and IVDs on the Northern Ireland market align with the rules in the EU and, as such, the IVDR will apply in Northern Ireland and will take effect in accordance with EU timeframes and transitional periods. Therefore, devices marketed in Northern Ireland will require assessment according to the EU regulatory regime. Such assessment may be conducted by an EU notified body, in which case a CE mark will be required before placing the device on the market in the EU or Northern Ireland. Alternatively, if a UK notified body conducts such assessment, a “UKNI” mark will be applied, and the device may only be placed on the market in Northern Ireland and not the EU.</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Fraud and Abuse Compliance</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Health Insurance Portability and Accountability Act and State Data Privacy Laws</w:t>
      </w:r>
    </w:p>
    <w:p>
      <w:pPr>
        <w:spacing w:after="0" w:line="23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Under the federal Health Insurance Portability and Accountability Act of 1996, or HIPAA, the United States Department of Health and Human Services, or HHS, has issued regulations to protect the privacy and security of protected health information used or disclosed by covered entities, which include health care providers, such as us. HIPAA also regulates standardization of data content, codes and formats used in health care transactions and standardization of identifiers for health plans and providers. In 2009, Congress amended HIPAA through the Health Information Technology for Economic and Clinical Health Act, or HITECH. The implementing regulations of HIPAA, as amended by HITECH, were last modified in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2013 and resulted in significant changes to the privacy, security, breach notification, and enforcement requirements with which we must comply. Among these changes, covered entities are now vicariously liable for violations of HIPAA resulting from acts or omissions of their business associates where the business associate is an agent of the covered entity and was acting within the scope of its agency, regardless of whether the covered entity and business associate entered into a business associate agreement in compliance with HIPAA. Penalties for violations of HIPAA regulations include civil and criminal penalties. Additionally, HHS on January 21, 2021 and November 28, 2022 issued notices of proposed rulemaking that contain proposed modifications to the HIPAA regulations in relation to substance use disorder records as well as efforts to encourage coordination of care for patients. In the event that HHS issues final changes to the HIPAA regulations based on its proposals in the notices of proposed rulemaking, we would be required in the future to comply with the HIPAA regulations as amended.</w:t>
      </w:r>
    </w:p>
    <w:p>
      <w:pPr>
        <w:spacing w:after="0" w:line="214"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We have developed and implemented policies and procedures designed to comply with HIPAA’s privacy, security, and breach notification requirements. We may not use or disclose protected health information in any form, including electronic, written, or oral, in a manner that is not permitted under HIPAA, and we are required to implement security measures to ensure the confidentiality, integrity, and availability of the electronic protected health information that we create, receive, maintain, or transmit. While we have some flexibility in determining which security safeguards are reasonable and appropriate to implement for our operations, it nonetheless requires significant effort and expense to ensure continuing compliance with the HIPAA security rule. We are also required to comply with the administrative simplification standards under HIPAA when we conduct the electronic transactions regulated by HIPAA, including by using standard code sets and formats and standardized identifiers for health plans and providers. The requirements under HIPAA and its implementing regulations may change periodically and could have an effect on our business operations if compliance becomes substantially costlier than under current requirements.</w:t>
      </w:r>
    </w:p>
    <w:p>
      <w:pPr>
        <w:spacing w:after="0" w:line="205"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In addition to federal privacy regulations, there are a number of state laws governing confidentiality of health information that are applicable to our business. In particular, we are subject to the California Confidentiality of Medical Information Act, which is similar to but in some ways more restrictive than the HIPAA regulations, and the California Consumer Privacy Act, or CCPA, which was enacted in California in 2018 and substantially amended and expanded thereafter, most significantly by a ballot initiative adopted in November 2020 that enacted the California Privacy Rights Act. The California Privacy Rights Act amends and substantially expands the CCPA. The CCPA, among other things, requires covered companies to provide disclosures to California consumers concerning the collection and sale of personal information, and gives such consumers the right to opt-out of certain sales of personal information. The amendments to the CCPA that were adopted by ballot initiative include provisions creating a new category of “sensitive personal information” that is subject to more stringent protections than other personal information, and new requirements regarding sharing personal information for advertising purposes. In addition, the amendments established a new California Privacy Protection Agency, which has authority both to implement and enforce the CCPA. The new agency is currently drafting implementing regulations that are expected to become effective July 1, 2023, and is anticipated to be vigorous in its enforcement actions. At the same time, other states, including Colorado and Virginia, have enacted CCPA-like laws, and other states are expected to follow suit. Monitoring the development, enactment and implementation of these laws and regulations issued pursuant to them adds to our compliance costs and we face penalties if we fail to adopt comprehensive compliance measures, including documenting the steps we have taken to comply.</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EU and UK Data Protection Regime</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processing of personal data, including patients’ personal health data, in the European Economic Area, or EEA, and the UK is governed by the General Data Protection Regulation, or the GDPR. The GDPR applies to any company established in the EEA and to companies established outside the EEA that process personal data in connection with the offering of goods or services to data subjects in the EEA or the monitoring of the behavior of data subjects in the EEA. The GDPR enhances data protection obligations for data controllers of personal data, including inter alia stringent requirements relating to lawful and legitimate basis and purposes for the processing of personal data, the consent of data subjects, expanded disclosures about how personal data is used, requirements to conduct privacy impact assessments for “high risk” processing, limitations on retention of personal data, appointment of data protection officers, conclusion of data processing agreements, mandatory data breach notification and “privacy by design” requirements, and creates direct obligations on service providers acting as data processors.</w:t>
      </w:r>
    </w:p>
    <w:p>
      <w:pPr>
        <w:spacing w:after="0" w:line="21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outside of the EEA to countries that do not ensure an adequate level of protection. Until recently, one such data transfer mechanism was the EU-US Privacy Shield, but the Privacy Shield was invalidated for international transfers of personal data in July 2020 by the Court of Justice of the European Union, or CJEU. Following the CJEU’s decision and an executive order issued by President Biden on October 7, 2022, the European Commission on December 13, 2022 announced that it had begun the process of adopting a new adequacy decision that would permit data transfers to the United States under an updated EU-US Data Privacy Framework and attempt to address the shortcomings of the Privacy Shield identified in the CJEU’s decision. If the new adequacy decision is ultimately adopted by the European Commission, some uncertainty would remain as it is widely expected that the new adequacy decision will also be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challenged before the CJEU. Separately, the CJEU upheld the validity of standard contractual clauses, or SCCs, as a legal mechanism to transfer personal data but companies relying on SCCs will, subject to additional guidance from regulators in the EEA, need to evaluate and implement supplementary measures that provide privacy protections additional to those provided under SCCs. It remains to be seen whether SCCs will remain available.</w:t>
      </w:r>
    </w:p>
    <w:p>
      <w:pPr>
        <w:spacing w:after="0" w:line="206"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if such company does not have an establishment in the EU member state in question and the competent authority bringing the claim is not the lead supervisory authority.</w:t>
      </w:r>
    </w:p>
    <w:p>
      <w:pPr>
        <w:spacing w:after="0" w:line="19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Privacy Laws</w:t>
      </w:r>
    </w:p>
    <w:p>
      <w:pPr>
        <w:spacing w:after="0" w:line="247"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New laws governing privacy may be adopted in the future from time to time. We have taken steps to comply with health information privacy requirements to which we are aware that we are subject. For example, the Personal Information Protection Law, or PIPL, was recently implemented in China, and broadly regulates the processing of personal information and imposes compliance obligations and penalties comparable to those of the GDPR.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TCP, a Texas professional association, pursuant to services agreement between us and TCP. Pursuant to the agreement, we pay TCP a monthly fee on a per FNA basis, and TCP manages and supervises the pathologists who perform the cytopathology services as a component of the Afirma solution.</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Physician Self-Referral Prohibitions</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are subject to the federal physician self-referral prohibitions, commonly known as the Stark Law, and to similar restrictions under the self-referral prohibitions of certain states in which we operate, including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Both the Stark Law and PORA contain an exception for compensation paid to a physician for personal services rendered by the physician meeting certain contractual requirements. We have compensation arrangements with a number of physicians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for personal services, such as speaking engagements and consulting activities. We have structured these arrangements with terms intended to comply with the requirements of the personal services exception to Stark and PORA.</w:t>
      </w:r>
    </w:p>
    <w:p>
      <w:pPr>
        <w:spacing w:after="0" w:line="194" w:lineRule="exact"/>
        <w:rPr>
          <w:sz w:val="20"/>
          <w:szCs w:val="20"/>
          <w:color w:val="auto"/>
        </w:rPr>
      </w:pPr>
    </w:p>
    <w:p>
      <w:pPr>
        <w:ind w:firstLine="397"/>
        <w:spacing w:after="0" w:line="301" w:lineRule="auto"/>
        <w:rPr>
          <w:sz w:val="20"/>
          <w:szCs w:val="20"/>
          <w:color w:val="auto"/>
        </w:rPr>
      </w:pPr>
      <w:r>
        <w:rPr>
          <w:rFonts w:ascii="Times New Roman" w:cs="Times New Roman" w:eastAsia="Times New Roman" w:hAnsi="Times New Roman"/>
          <w:sz w:val="17"/>
          <w:szCs w:val="17"/>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Sanctions for a violation of the Stark Law include the following:</w:t>
      </w:r>
    </w:p>
    <w:p>
      <w:pPr>
        <w:spacing w:after="0" w:line="243" w:lineRule="exact"/>
        <w:rPr>
          <w:sz w:val="20"/>
          <w:szCs w:val="20"/>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payment for the services provided in violation of the prohibition;</w:t>
      </w:r>
    </w:p>
    <w:p>
      <w:pPr>
        <w:spacing w:after="0" w:line="22"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amounts collected by an entity in violation of the Stark Law;</w:t>
      </w:r>
    </w:p>
    <w:p>
      <w:pPr>
        <w:spacing w:after="0" w:line="4"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$15,000 for each service arising out of the prohibited referral;</w:t>
      </w:r>
    </w:p>
    <w:p>
      <w:pPr>
        <w:spacing w:after="0" w:line="4"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federal healthcare programs, including Medicare and Medicaid; and</w:t>
      </w:r>
    </w:p>
    <w:p>
      <w:pPr>
        <w:spacing w:after="0" w:line="4"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$100,000 against parties that enter into a scheme to circumvent the Stark Law's prohibition.</w:t>
      </w:r>
    </w:p>
    <w:p>
      <w:pPr>
        <w:spacing w:after="0" w:line="22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 which prohibits knowingly presenting, or causing to be presented, a false, fictitious, or fraudulent claim for payment to the United States Government.</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Anti-Kickback Laws</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federal Anti-kickback Statute makes it a felony for any person or entity, including a laboratory, to knowingly and willfully offer, pay, solicit or receive remuneration, directly or indirectly, in exchange for or to induce either the referral of an individual, or the furnishing, arranging for, or recommending of an item or service that is reimbursable, in whole or in part, by a federal health care program. A violation of the Anti-kickback Statute may result in imprisonment for up to ten years and criminal fines of up to $100,000. Convictions under the Anti-kickback Statute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Statute can also lead to liability under the Federal False Claims Act, which prohibits, among other things, knowingly presenting, or causing to be presented, a false or fraudulent claim for payment to the United States Government.</w:t>
      </w:r>
    </w:p>
    <w:p>
      <w:pPr>
        <w:spacing w:after="0" w:line="21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Although the federal Anti-kickback Statute applies only to federal health care programs, a number of states, including California, have passed statutes substantially similar to the Anti-kickback Statute pursuant to which similar types of prohibitions are made applicable to all other health plans and third-party payers. California's fee-splitting and Anti-kickback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federal Anti-kickback Statute. A violation of Section 650 is punishable by imprisonment and fines of up to $50,000. A violation of Section 14107.2 is punishable by imprisonment and fines of up to $10,000.</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Statute, holding that the statute may be violated if merely one purpose of a payment arrangement is to induce or reward referrals or purchases.</w:t>
      </w:r>
    </w:p>
    <w:p>
      <w:pPr>
        <w:spacing w:after="0" w:line="215" w:lineRule="exact"/>
        <w:rPr>
          <w:sz w:val="20"/>
          <w:szCs w:val="20"/>
          <w:color w:val="auto"/>
        </w:rPr>
      </w:pPr>
    </w:p>
    <w:p>
      <w:pPr>
        <w:jc w:val="both"/>
        <w:ind w:right="20" w:firstLine="397"/>
        <w:spacing w:after="0" w:line="271" w:lineRule="auto"/>
        <w:rPr>
          <w:sz w:val="20"/>
          <w:szCs w:val="20"/>
          <w:color w:val="auto"/>
        </w:rPr>
      </w:pPr>
      <w:r>
        <w:rPr>
          <w:rFonts w:ascii="Times New Roman" w:cs="Times New Roman" w:eastAsia="Times New Roman" w:hAnsi="Times New Roman"/>
          <w:sz w:val="18"/>
          <w:szCs w:val="18"/>
          <w:color w:val="auto"/>
        </w:rPr>
        <w:t>The federal Anti-kickback Statute includes statutory exceptions and provides for a number of regulatory safe harbors. If an arrangement meets the provisions of a safe harbor, it is deemed not to violate the Anti-kickback Statute. An arrangement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must fully comply with each element of an applicable safe harbor in order to qualify for protection. Many state anti-kickback statutes have analogous exceptions or safe harbors to those of the federal Anti-kickback Statute. These state anti-kickback statutes have generally been interpreted consistently with the Anti-kickback Statute.</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Statute. California does not have a discount safe harbor. However, as noted above, Section 650 has generally been interpreted consistent with the Anti-kickback Statute.</w:t>
      </w:r>
    </w:p>
    <w:p>
      <w:pPr>
        <w:spacing w:after="0" w:line="20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personal services safe harbor to the Anti-kickback Statute provides that remuneration paid for personal services will not violate the Anti-kickback Statute provided all of the elements of that safe harbor are met. Our personal services arrangements with some physicians and other parties may not meet each requirement of this safe harbor. Failure to meet the terms of this, or any other, safe harbor does not necessarily render an arrangement illegal. Rather, the government may evaluate such arrangements on a case-by-case basis under the language of the statute, taking into account all facts and circumstances.</w:t>
      </w:r>
    </w:p>
    <w:p>
      <w:pPr>
        <w:spacing w:after="0" w:line="20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While we believe that we are in compliance with the Anti-kickback Statute, Section 650, and Section 14107.2, there can be no assurance that our relationships with physicians, academic institutions and other customers or parties will not be subject to investigation or challenge under such laws. If imposed for any reason, sanctions under the Anti-kickback Statute, Section 650, or Section 14107.2 could have a negative effect on our business.</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Federal and State Fraud and Abuse Laws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 though the HHS’ Office of the Inspector General, or HHS-OIG, has provided some guidance on the topic.</w:t>
      </w:r>
    </w:p>
    <w:p>
      <w:pPr>
        <w:spacing w:after="0" w:line="20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Further, the federal False Claims Act prohibits a person from knowingly presenting or causing to be presented a false or fraudulent claim to, making a false record or statement in order to secure payment from or retaining an overpayment by the federal government. In addition to actions initiated by the government itself, the statute authorizes actions to be brought on behalf of the federal government by a private party, known as a relator or commonly referred to as a whistleblower, having knowledge of the alleged fraud. Because the complaint is initially filed under seal, the action may be pending for some time before the defendant is even made aware of the action. If the government is ultimately successful in obtaining redress in the matter or if the relator succeeds in obtaining redress without the government's involvement, then the relator will receive a percentage of the recovery. Finally, the Social Security Act includes its own provisions that prohibit the filing of false claims or submitting false statements in order to obtain payment. Violation of these provisions may result in up to treble damages, substantial civil penalties, fines, imprisonment or combination of the above,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21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general, in recent years United States Attorneys’ Offices have increased scrutiny of the healthcare industry, as have Congress, the Department of Justice, the HHS-OIG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in October 2018, the Eliminating Kickbacks in Recovery Act of 2018, or EKRA, was enacted as part of the SUPPORT for Patients and Communities Act (P.L 115-271). This law prohibits the solicitation, receipt, payment or offering of any remuneration in return for referring a patient or patronage to a recovery home, clinical treatment facility, or laboratory for services covered by both government and private payers. EKRA also applies to the payment or offering of remuneration in exchange for an individual using the services of a recovery home, clinical treatment facility, or laboratory. To date, neither the Department of Justice nor HHS has issued guidance further interpreting or implementing EKRA.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Finally, under the Protecting Access to Medicare Act of 2014 laboratories are required to report to CMS the private payer payment rates and test volumes paid by private payers based on final payments made during a specific “data collection period.” This data reporting requirement is triennial for most clinical diagnostic laboratory tests (annual for ADLTs), with the first data reporting period occurring in 2017 for final payments made in January through June 2016. The next data reporting period will be in 2024 for final payments made in January through June 2019. When reporting data under PAMA, the President, CEO, or CFO of a reporting entity, or an individual who has been delegated authority to sign for, and who reports directly to, such an officer, must sign the certification statement and be responsible for assuring that the data provided are accurate, complete, and truthful, and meets all the required reporting parameters. Failure to report or misrepresentation or omission in reporting can result in civil penalties of up to $10,000 per day for each violation and other penalties. We believe we are in compliance with the PAMA reporting requirements, but there can be no assurance that our reporting practices will not be scrutinized under the PAMA regulations.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24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The IVDD and IVDR prohibit the offer of inducements, particularly financial, that might influence the judgement of notified regulatory bodies and their personnel to carry out their conformity assessment activities. The IVDD and IVDR do not address the question of inducements offered to healthcare professionals or other third parties, though Member States may implement their own national laws in this regard. For example, Sapin II is the French anti-corruption law, which imposes regulations to prevent and detect bribery and corruption through increased corporate transparency, reinforced internal monitoring, and enhanced whistleblower protection. In the UK, the 2002 Regulations do not address the question of inducements offered to healthcare professionals to prescribe, sell, supply or recommend use of a particular medical device or IVD or to offer the relevant device company any other benefit. These activities are, however, prohibited by the Bribery Act 2010, which provides general offenses relating to bribery and receiving a bribe.</w:t>
      </w:r>
    </w:p>
    <w:p>
      <w:pPr>
        <w:spacing w:after="0" w:line="21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addition, the largest medical device manufacturer’s industry association, MedTech Europe, issues a Code of Business Practice, or the MedTech Code, which is obligatory for its member associations and member companies, and regulates their interactions with the medical community and other stakeholders. The MedTech Code prevents member companies from offering and providing educational grants to individual health care providers with certain exceptions and has phased out the provision of financial or in-kind support directly to individual health care providers to cover costs for their attendance at third-party organized educational events (with the exception of procedure training). It also sets out transparency obligations with regard to all interactions with health care providers, in terms of notification to the health care provider’s superiors or relevant health institutions before the interaction may take place, disclosure of payments (made as educational grants) and a centralized platform for the approval of conferences and other events.</w:t>
      </w:r>
    </w:p>
    <w:p>
      <w:pPr>
        <w:spacing w:after="0" w:line="21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situations involving physicians employed by state-funded institutions or national health care agencies, violation of the local anti-kickback law may also constitute a violation of the United States Foreign Corrupt Practices Act, or FCPA. 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21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standard of intent and knowledge in FCPA anti-bribery cases is minimal --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$250,000 and imprisonment for up to five years. Other countries, including other Organisation for Economic Co-operation and Development Anti-Bribery Convention members, have similar anti-corruption regulations.</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pre-clinical or clinical testing. In many countries outside of the United States, coverage, pricing and reimbursement approvals are also required.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Our People. At December 31, 2023, we had 815 employees. While our French employees are represented by both a union and Social and Economic Committee, or CSE, none of our United States employees are the subject of collective bargaining arrangements, and our management considers its relationships with employees to be good.</w:t>
      </w:r>
    </w:p>
    <w:p>
      <w:pPr>
        <w:spacing w:after="0" w:line="204"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Diversity, Inclusion, and Belonging. </w:t>
      </w:r>
      <w:r>
        <w:rPr>
          <w:rFonts w:ascii="Times New Roman" w:cs="Times New Roman" w:eastAsia="Times New Roman" w:hAnsi="Times New Roman"/>
          <w:sz w:val="18"/>
          <w:szCs w:val="18"/>
          <w:color w:val="auto"/>
        </w:rPr>
        <w:t>We believe in an inclusive workforce, where people with diverse backgrounds are represented, engaged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empowered to inspire innovative ideas and decisions. Women comprise 56% of our employees and 40% at the Vice President level and above in the United States, as of December 31, 2023. In addition, two of eight members of our board of directors are female as of December 31, 2023. Additionally, as of December 31, 2023, 48% of our United States employees are non-White. We strive to further advance diversity among our employees and believe that the resulting range of employee ideas, experiences and perspectives strengthens our company.</w:t>
      </w:r>
    </w:p>
    <w:p>
      <w:pPr>
        <w:spacing w:after="0" w:line="212"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pride ourselves on our strong culture, which encourages innovation, collaboration, and mutual respect. We were named a Bay Area “Top Workplace” by the Bay Area News Group in 2023, marking the tenth consecutive year we received this distinction. This award is based solely on employee feedback gathered through an anonymous, third-party survey. Additionally in 2023, our San Diego site received its inaugural Best Places to Work in San Diego award by the San Diego Business Journal, in partnership with Workforce Research Group. Our core values across the company are: Patients; Innovation; Results; Collaboration; and Compassion. Individual members of our leadership team have volunteered to sponsor each aspirational value to ensure the values are embedded into our culture.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45" w:lineRule="exact"/>
        <w:rPr>
          <w:sz w:val="20"/>
          <w:szCs w:val="20"/>
          <w:color w:val="auto"/>
        </w:rPr>
      </w:pPr>
    </w:p>
    <w:p>
      <w:pPr>
        <w:jc w:val="both"/>
        <w:ind w:firstLine="388"/>
        <w:spacing w:after="0" w:line="254" w:lineRule="auto"/>
        <w:rPr>
          <w:sz w:val="20"/>
          <w:szCs w:val="20"/>
          <w:color w:val="auto"/>
        </w:rPr>
      </w:pPr>
      <w:r>
        <w:rPr>
          <w:rFonts w:ascii="Times New Roman" w:cs="Times New Roman" w:eastAsia="Times New Roman" w:hAnsi="Times New Roman"/>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We completed our initial public offering in October 2013, and our common stock is listed on The Nasdaq Global Market under the symbol “VCYT.”</w:t>
      </w:r>
    </w:p>
    <w:p>
      <w:pPr>
        <w:spacing w:after="0" w:line="209" w:lineRule="exact"/>
        <w:rPr>
          <w:sz w:val="20"/>
          <w:szCs w:val="20"/>
          <w:color w:val="auto"/>
        </w:rPr>
      </w:pPr>
    </w:p>
    <w:p>
      <w:pPr>
        <w:jc w:val="both"/>
        <w:ind w:firstLine="388"/>
        <w:spacing w:after="0" w:line="251" w:lineRule="auto"/>
        <w:rPr>
          <w:sz w:val="20"/>
          <w:szCs w:val="20"/>
          <w:color w:val="auto"/>
        </w:rPr>
      </w:pPr>
      <w:r>
        <w:rPr>
          <w:rFonts w:ascii="Times New Roman" w:cs="Times New Roman" w:eastAsia="Times New Roman" w:hAnsi="Times New Roman"/>
          <w:sz w:val="18"/>
          <w:szCs w:val="18"/>
          <w:color w:val="auto"/>
        </w:rPr>
        <w:t>Our website address is www.veracyte.com. Through a link on the Investor Relations section of our website, we make available the following filings as soon as reasonably practicable after they are electronically filed with or furnished to the Securities and Exchange Commission (SEC): our Annual Report on Form 10-K, Quarterly Reports on Form 10-Q, Current Reports on Form 8-K and any amendments to those reports filed or furnished pursuant to Section 13(a) or 15(d) of the Exchange Act. All such filings are available free of charge. The information posted on our website is not incorporated into this report. The SEC maintains a website that contains reports, proxy and information statements and other information regarding our filings at www.sec.gov.</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2"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245"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have a history of losses, and we expect to incur net losses for the foreseeable future and may never achieve or sustain profitability.</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financial results currently depend mainly on sales of our Afirma and Decipher Prostate tests, and we will need to generate sufficient revenue from these and our other diagnostic tests to grow our business.</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grow sales of our portfolio of tests or products, or we are unable to launch or commercialize our new tests, our business may suffer.</w:t>
      </w:r>
    </w:p>
    <w:p>
      <w:pPr>
        <w:spacing w:after="0" w:line="9" w:lineRule="exact"/>
        <w:rPr>
          <w:rFonts w:ascii="Times New Roman" w:cs="Times New Roman" w:eastAsia="Times New Roman" w:hAnsi="Times New Roman"/>
          <w:sz w:val="18"/>
          <w:szCs w:val="18"/>
          <w:color w:val="231F20"/>
        </w:rPr>
      </w:pPr>
    </w:p>
    <w:p>
      <w:pPr>
        <w:ind w:left="640" w:right="2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depend on a few payers for a significant portion of our revenue; if one or more significant payers stops providing reimbursement or decreases the amount of reimbursement for our tests our revenue could decline.</w:t>
      </w:r>
    </w:p>
    <w:p>
      <w:pPr>
        <w:spacing w:after="0" w:line="9"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9"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limits on our revenue if physicians decide not to order our tests or if patients decide not to use our tests as a result of increased costs, fees or changing insurer policies.</w:t>
      </w:r>
    </w:p>
    <w:p>
      <w:pPr>
        <w:spacing w:after="0" w:line="9"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comply with federal, state and foreign licensing requirements, we could lose the ability to perform our tests or experience disruptions to our business.</w:t>
      </w:r>
    </w:p>
    <w:p>
      <w:pPr>
        <w:spacing w:after="0" w:line="9" w:lineRule="exact"/>
        <w:rPr>
          <w:rFonts w:ascii="Times New Roman" w:cs="Times New Roman" w:eastAsia="Times New Roman" w:hAnsi="Times New Roman"/>
          <w:sz w:val="18"/>
          <w:szCs w:val="18"/>
          <w:color w:val="231F20"/>
        </w:rPr>
      </w:pPr>
    </w:p>
    <w:p>
      <w:pPr>
        <w:jc w:val="both"/>
        <w:ind w:left="640" w:hanging="316"/>
        <w:spacing w:after="0" w:line="258"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20" w:lineRule="exact"/>
        <w:rPr>
          <w:rFonts w:ascii="Times New Roman" w:cs="Times New Roman" w:eastAsia="Times New Roman" w:hAnsi="Times New Roman"/>
          <w:sz w:val="18"/>
          <w:szCs w:val="18"/>
          <w:color w:val="231F20"/>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If our general strategy of seeking growth through acquisitions and collaborations is not successful, or if we do not successfully integrate </w:t>
      </w:r>
      <w:r>
        <w:rPr>
          <w:rFonts w:ascii="Times New Roman" w:cs="Times New Roman" w:eastAsia="Times New Roman" w:hAnsi="Times New Roman"/>
          <w:sz w:val="18"/>
          <w:szCs w:val="18"/>
          <w:color w:val="000000"/>
        </w:rPr>
        <w:t>companies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assets that we acquire into our business, our prospects and financial condition will suffer.</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and international growth depend, in part, on our ability to adapt and manufacture select tests to be performed on multiple IVD platforms.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that we are expecting in our biopharma and other services business may not transpire</w:t>
      </w:r>
      <w:r>
        <w:rPr>
          <w:rFonts w:ascii="Times New Roman" w:cs="Times New Roman" w:eastAsia="Times New Roman" w:hAnsi="Times New Roman"/>
          <w:sz w:val="18"/>
          <w:szCs w:val="18"/>
          <w:b w:val="1"/>
          <w:bCs w:val="1"/>
          <w:i w:val="1"/>
          <w:iCs w:val="1"/>
          <w:color w:val="auto"/>
        </w:rPr>
        <w:t>.</w:t>
      </w:r>
    </w:p>
    <w:p>
      <w:pPr>
        <w:spacing w:after="0" w:line="61"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rely on sole suppliers for some of the reagents, equipment, and other materials used to perform our tests, as well as certain sole service providers, and we may not be able to find replacements or transition to alternative suppliers or service providers, which may materially impact our ability to generate revenue.</w:t>
      </w:r>
    </w:p>
    <w:p>
      <w:pPr>
        <w:spacing w:after="0" w:line="2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be unable to manage our future growth effectively, which could make it difficult to execute our business strategy.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we are unable to support demand for our tests, services or products, our business could suffer.</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healthcare policy, including legislation reforming the U.S. healthcare system, may have a material adverse effect on our financial condition and operations.</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Because of Medicare billing rules, we may not receive reimbursement for all tests provided to Medicare patients.</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foreign authorities were to begin regulating those of our tests that they do not currently regulate, we could incur substantial costs and delays associated with trying to obtain premarket clearance, approval or certification.</w:t>
      </w:r>
    </w:p>
    <w:p>
      <w:pPr>
        <w:spacing w:after="0" w:line="9" w:lineRule="exact"/>
        <w:rPr>
          <w:rFonts w:ascii="Times New Roman" w:cs="Times New Roman" w:eastAsia="Times New Roman" w:hAnsi="Times New Roman"/>
          <w:sz w:val="18"/>
          <w:szCs w:val="18"/>
          <w:color w:val="auto"/>
        </w:rPr>
      </w:pPr>
    </w:p>
    <w:p>
      <w:pPr>
        <w:ind w:left="640" w:right="20" w:hanging="316"/>
        <w:spacing w:after="0" w:line="27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we may be unable to increase or sustain our revenue and/or achieve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of our executive officers, or the inability to attract and retain highly-skilled employees or other key personnel, could adversely affect our business.</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for our diagnostic tests is complex, and we must dedicate substantial time and resources to the billing process in order to collect cash and be paid.</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sales force is less successful than anticipated, our business expansion plans could suffer and our ability to generate revenue could be diminished.</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must successfully integrate acquired businesses to realize the financial goals that we currently ant</w:t>
      </w:r>
      <w:r>
        <w:rPr>
          <w:rFonts w:ascii="Times New Roman" w:cs="Times New Roman" w:eastAsia="Times New Roman" w:hAnsi="Times New Roman"/>
          <w:sz w:val="18"/>
          <w:szCs w:val="18"/>
          <w:color w:val="000000"/>
        </w:rPr>
        <w:t>icipate.</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Aspects of our international business expose us to business, personnel, regulatory, political, operational, financial, and economic risks associated with doing business outside of the United States.</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be adversely affected by unfavorable macroeconomic and market conditions.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or successfully defend our intellectual property effectively, our business may be harmed.</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litigation related to intellectual property, which may be time-intensive and costly and may adversely affect our business, operating results or financial condition.</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Being a Public Compa</w:t>
      </w:r>
      <w:r>
        <w:rPr>
          <w:rFonts w:ascii="Times New Roman" w:cs="Times New Roman" w:eastAsia="Times New Roman" w:hAnsi="Times New Roman"/>
          <w:sz w:val="18"/>
          <w:szCs w:val="18"/>
          <w:color w:val="auto"/>
        </w:rPr>
        <w:t>ny</w:t>
      </w:r>
    </w:p>
    <w:p>
      <w:pPr>
        <w:spacing w:after="0" w:line="285" w:lineRule="exact"/>
        <w:rPr>
          <w:sz w:val="20"/>
          <w:szCs w:val="20"/>
          <w:color w:val="auto"/>
        </w:rPr>
      </w:pPr>
    </w:p>
    <w:p>
      <w:pPr>
        <w:ind w:left="640" w:hanging="316"/>
        <w:spacing w:after="0" w:line="271" w:lineRule="auto"/>
        <w:tabs>
          <w:tab w:leader="none" w:pos="63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298"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stock price may be volatile, and you may not be able to sell shares of our common stock at or above the price you paid.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expect to incur net losses for the foreseeable future and may never achieve or sustain profitability.</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have incurred net losses since our inception. For the year ended December 31, 2023, we had a net loss of $74.4 million and as of December 31, 2023, we had an accumulated deficit of $468.1 million. We expect to incur additional losses in the future as we continue to invest in our business, including increasing adoption of and reimbursement for our molecular diagnostic portfolio of tests, expanding our platform and operations internationally, attracting and retaining team members, developing and enhancing our platform, marketing and sales, and enhancing our infrastructure, and we may never achieve revenue sufficient to offset our expenses. Additionally, ongoing widespread inflationary pressures in the United States and across global economies have resulted in higher costs for our raw materials, non-material costs, labor and other business costs, and significant increases in the future could adversely affect our results of operations. We may never achieve or sustain profitability, and our failure to achieve and sustain profitability in the future could cause the market price of our common stock to decline.</w:t>
      </w:r>
    </w:p>
    <w:p>
      <w:pPr>
        <w:spacing w:after="0" w:line="210"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Afirma and Decipher Prostate tests, and we will need to generate sufficient revenue from these and our other diagnostic tests to grow our business.</w:t>
      </w:r>
    </w:p>
    <w:p>
      <w:pPr>
        <w:spacing w:after="0" w:line="19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Most of our revenue to date has been derived from the sale of our Afirma tests, which are used in the diagnosis of thyroid cancer. We also derive significant revenue from our Decipher urological tests. Over the next few years, we expect to continue to derive a substantial portion of our revenue from sales of our Afirma and Decipher tests. Once tests are clinically validated 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Decipher Prostate tests, or develop and commercialize other tests, our revenue and our ability to achieve and sustain profitability would be impaired, and the market price of our common stock could decline.</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grow sales of our portfolio of tests or products, or we are unable to launch or commercialize our new tests, our business may suffer.</w:t>
      </w:r>
    </w:p>
    <w:p>
      <w:pPr>
        <w:spacing w:after="0" w:line="258"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Although a number of our tests, such as Prosigna, Envisia, and Decipher Bladder, have not contributed significant revenue to date, we expect them to grow and become an increasingly important component of our portfolio, as well as our results of operations. We plan to introduce new tests going forward as well, including in MRD as a result of our acquisition of C2i. There can be no assurance that we will be successful in our launch or commercialization of new tests, nor that physicians will request our new tests be performed in sufficient volumes for our revenue to meet our projections. Additionally, we anticipate expanding the reach of our tests to international markets; if our products are not widely adopted internationally, our business and results of operations may be adversely affected.</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if one or more significant payers stops providing reimbursement or decreases the amount of reimbursement for our tests, our revenue could decline.</w:t>
      </w:r>
    </w:p>
    <w:p>
      <w:pPr>
        <w:spacing w:after="0" w:line="19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Federal Medicare funding and state budgets are limited and have been placed under tremendous strain in recent years, which is likely to be further exacerbated as a result of macroeconomic uncertainty.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Group was 31% and 10%, respectively, of our total company revenue for the years ended December 31, 2023 and 2022.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w:t>
      </w:r>
    </w:p>
    <w:p>
      <w:pPr>
        <w:spacing w:after="0" w:line="20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MolDX program, administered by Palmetto GBA, under a Local Coverage Determination, or LCD. In August 2023, a new Proposed LCD was issued for “Molecular Testing for Risk Stratification of Thyroid Nodules” through the MolDX program. We believe that this Proposed LCD would, if finalized, cover the Afirma classifier. There is no guarantee that this Proposed LCD will be finalized, or that the coverage criteria for the Afirma classifier under this Proposed LCD, if finalized, would be as advantageous as under the current LCD. Modifications to the current Medicare coverage of the Afirma classifier could have an adverse effect on our business, financial condition and results of operations.</w:t>
      </w:r>
    </w:p>
    <w:p>
      <w:pPr>
        <w:spacing w:after="0" w:line="21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 Act, Congress further delayed the next reporting period to 2022 for final payments made between January 1 and June 30, 2019,</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extending the applicability for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In November 2023, through the Further Continuing Appropriations and Other Extensions Act of 2024, Congress further delayed the next reporting period to 2025. The applicability of the payment rates based on 2017 reporting thus now extend through December 31, 2025. As a result of the transition from Afirma GEC to Afirma GSC, a new CPT Category I code (81546) was established for the Afirma classifier, effective January 1, 2021. This code went through the national payment determination process for Medicare in 2020, through which the Centers for Medicare &amp; Medicaid Services, or CMS, priced 81546 at the same rate of $3,600 as 81545. Since the Afirma GSC CPT code 81546 was newly issued in 2021, the first PAMA data reporting period for 81546 under the current triennial data reporting process is expected to be January 2028 through March 2028, resulting in a new potential reimbursement rate effective January 1, 2029. There is no guarantee that the Afirma GSC Medicare rate will not be negatively impacted in future PAMA reporting cycles based on the reported weighted median of private commercial payers.</w:t>
      </w:r>
    </w:p>
    <w:p>
      <w:pPr>
        <w:spacing w:after="0" w:line="20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In August 2023, a new Proposed LCD was issued for “Gene Expression Profile Tests for Decision-Making in Castration Resistant and Metastatic Prostate Cancers” through the MolDX program. We believe that this Proposed LCD, if finalized, would broaden our Decipher Prostate coverage for Castration Resistant and Metastatic prostate cancer patients. There is no guarantee that this Proposed LCD will be finalized, or that the coverage criteria for the Decipher Prostate tests classifier under this Proposed LCD, if finalized, would be as advantageous as under the current LCD. Modifications to the current Medicare coverage of the Decipher Prostate tests could have an adverse effect on our business, financial condition and results of operations.</w:t>
      </w:r>
    </w:p>
    <w:p>
      <w:pPr>
        <w:spacing w:after="0" w:line="21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Our Decipher Prostate tests were assigned a new American Medical Association Current Procedural Terminology code, or CPT code, 81542, in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submit claims to Medicare for Decipher Prostate Biopsy and Decipher Prostate RP using CPT code 81542. CMS assigned 81542 to the gapfilling process in 2020, under which the individual MACs set the payment rate for the test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81542 has been priced at $3,873 since January 1, 2021, based on CMS’ revision of the median of payment rates set by the MACs through the gapfilling process. Since the CPT code was issued in 2020, we expect the next PAMA reporting period to take place between January 2028 and March 2028, resulting in a potential new reimbursement rate effective January 1, 2029. There can be no assurance that the Medicare payment rates for Decipher Prostate Biopsy and Decipher Prostate RP will not decrease during a future reporting cycle under PAMA.</w:t>
      </w:r>
    </w:p>
    <w:p>
      <w:pPr>
        <w:spacing w:after="0" w:line="21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An LCD was issued for Prosigna by Palmetto GBA in August 2015, which has been in effect since October 1, 2015. There can be no assurance that the Prosigna payment rate will not decrease during subsequent reporting cycles under PAMA.</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 LCD was issued by Noridian Healthcare Solutions to provide Medicare coverage for the Envisia Genomic Classifier on April 11, 2019.</w:t>
      </w:r>
    </w:p>
    <w:p>
      <w:pPr>
        <w:spacing w:after="0" w:line="243"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as defined under the ADLT regulations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 reported annually. Effective January 1, 2024, the Medicare payment rate for 81554 is $5,500. There can be no assurance that the Medicare payment rate for Envisia will not be reduced when it is set based on the volume-weighted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 of private payer rates. Current ADLT PAMA regulations require us to report these private payer rates for Envisia, 81554, annually.</w:t>
      </w:r>
    </w:p>
    <w:p>
      <w:pPr>
        <w:spacing w:after="0" w:line="24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20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submit claims to Medicare for Decipher Bladder using CPT code 0016M. CMS assigned 0016M to the gapfilling process in 2021. Since January 1, 2022, the payment rate for 0016M has been $3,489.63, based on the median of payment rates set by the MACs through the gapfilling process. There is no assurance that the Medicare payment rate for Decipher Bladder will not decrease during a future reporting cycle under PAMA.</w:t>
      </w:r>
    </w:p>
    <w:p>
      <w:pPr>
        <w:spacing w:after="0" w:line="20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 many private payers now require prior authorization for molecular diagnostic tests. Potential reductions in reimbursement rates or increases in the difficulty of achieving payment could have a negative effect on our revenue.</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9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6"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4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are an out-of-network provider with some commercial payers in the United States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15"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We expect to continue to focus substantial resources on increasing adoption, coverage and reimbursement for the Afirma, Decipher Prostate, Prosigna, Envisia and Decipher Bladder, as well as any other future tests we may develop. We believe it will take several years to achieve coverage and contracted reimbursement with a majority of third-party payers across our entire portfolio of tests.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Afirma genomic classifier is included in most physician practice guidelines in the United States for the assessment of patients with thyroid nodules.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historical practice recommended a full or partial thyroidectomy in cases where cytopathology results were indeterminate to confirm a diagnosis.</w:t>
      </w:r>
    </w:p>
    <w:p>
      <w:pPr>
        <w:spacing w:after="0" w:line="212" w:lineRule="exact"/>
        <w:rPr>
          <w:sz w:val="20"/>
          <w:szCs w:val="20"/>
          <w:color w:val="auto"/>
        </w:rPr>
      </w:pPr>
    </w:p>
    <w:p>
      <w:pPr>
        <w:ind w:right="380" w:firstLine="397"/>
        <w:spacing w:after="0" w:line="255" w:lineRule="auto"/>
        <w:rPr>
          <w:sz w:val="20"/>
          <w:szCs w:val="20"/>
          <w:color w:val="auto"/>
        </w:rPr>
      </w:pPr>
      <w:r>
        <w:rPr>
          <w:rFonts w:ascii="Times New Roman" w:cs="Times New Roman" w:eastAsia="Times New Roman" w:hAnsi="Times New Roman"/>
          <w:sz w:val="18"/>
          <w:szCs w:val="18"/>
          <w:color w:val="auto"/>
        </w:rPr>
        <w:t>The strength of the clinical data supporting the use of the Decipher Prostate Biopsy and Decipher Prostate RP tests have led to the tests’ inclusion in national guidelines. For example, Decipher received a “Level 1” evidence designation in the 2023 NCCN Guidelines for prostate cancer.</w:t>
      </w:r>
    </w:p>
    <w:p>
      <w:pPr>
        <w:spacing w:after="0" w:line="209"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are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spacing w:after="0" w:line="19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globally.</w:t>
      </w:r>
    </w:p>
    <w:p>
      <w:pPr>
        <w:spacing w:after="0" w:line="19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Because our Afirma, Decipher Prostate Biopsy, Decipher Prostate RP, Envisia, and Decipher Bladder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 as a result of increased costs, fees or changing insurer policies.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In addition, rising interest rates and ongoing inflation in the United States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licensing requirements, we could lose the ability to perform our tests or experience disruptions to our business.</w:t>
      </w:r>
    </w:p>
    <w:p>
      <w:pPr>
        <w:spacing w:after="0" w:line="258"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1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Envisia and Decipher Bladder tests. We will be required to obtain approval for other tests we may offer in the future. If we were to lose our CLIA certificate or California license for our South San Francisco or San Diego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it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the New York State Department of Health, and we may not be able to offer our new tests until such approvals are received.</w:t>
      </w:r>
    </w:p>
    <w:p>
      <w:pPr>
        <w:spacing w:after="0" w:line="211"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20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quarterly financial and operating results depend on sales of our products in the markets we operate and are sensitive to a number of factors, including patient and clinician demand, market conditions in the U.S.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215" w:lineRule="exact"/>
        <w:rPr>
          <w:sz w:val="20"/>
          <w:szCs w:val="20"/>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testing samples and related data;</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analytical and clinical validation studies, as well as clinical utility studies;</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scale-up our laboratory processes;</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train our sales force;</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a large number of ordering clinicians;</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ordering laboratories; and</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clearances, approvals or certifications of our new solutions, as required by applicable regulatory bodies.</w:t>
      </w:r>
    </w:p>
    <w:p>
      <w:pPr>
        <w:spacing w:after="0" w:line="296"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This process involves a high degree of risk and may take up to several years or more. Our test development and commercialization efforts may be delayed or fail for many reasons, including:</w:t>
      </w:r>
    </w:p>
    <w:p>
      <w:pPr>
        <w:spacing w:after="0" w:line="194" w:lineRule="exact"/>
        <w:rPr>
          <w:sz w:val="20"/>
          <w:szCs w:val="20"/>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test at the research or development stage;</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accessing suitable testing samples, especially testing samples with known clinical results;</w:t>
      </w:r>
    </w:p>
    <w:p>
      <w:pPr>
        <w:spacing w:after="0" w:line="57" w:lineRule="exact"/>
        <w:rPr>
          <w:rFonts w:ascii="Times New Roman" w:cs="Times New Roman" w:eastAsia="Times New Roman" w:hAnsi="Times New Roman"/>
          <w:sz w:val="18"/>
          <w:szCs w:val="18"/>
          <w:color w:val="auto"/>
        </w:rPr>
      </w:pPr>
    </w:p>
    <w:p>
      <w:pPr>
        <w:ind w:left="1280" w:hanging="559"/>
        <w:spacing w:after="0" w:line="271" w:lineRule="auto"/>
        <w:tabs>
          <w:tab w:leader="none" w:pos="1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analytical and clinical validation data to support the effectiveness of the test, or lack of clinical utility data to support the value of the test;</w:t>
      </w:r>
    </w:p>
    <w:p>
      <w:pPr>
        <w:spacing w:after="0" w:line="9"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the failure of third-party suppliers or contractors to meet their obligations in a timely and cost-effective manner;</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necessary clearances, approvals or certifications to market the test;</w:t>
      </w:r>
    </w:p>
    <w:p>
      <w:pPr>
        <w:spacing w:after="0" w:line="57" w:lineRule="exact"/>
        <w:rPr>
          <w:rFonts w:ascii="Times New Roman" w:cs="Times New Roman" w:eastAsia="Times New Roman" w:hAnsi="Times New Roman"/>
          <w:sz w:val="18"/>
          <w:szCs w:val="18"/>
          <w:color w:val="auto"/>
        </w:rPr>
      </w:pPr>
    </w:p>
    <w:p>
      <w:pPr>
        <w:ind w:left="1280" w:hanging="559"/>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constraints due to limited energy supply in Europe or other supply constraints;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80" w:hanging="559"/>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commercial acceptance by patients, clinicians or third-party payers.</w:t>
      </w:r>
    </w:p>
    <w:p>
      <w:pPr>
        <w:spacing w:after="0" w:line="243"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diagnostic tests, we will have to make additional investments in our laboratory operations as well as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choose not to commercialize, or we may not be able to obtain reimbursement for, the test.</w:t>
      </w:r>
    </w:p>
    <w:p>
      <w:pPr>
        <w:spacing w:after="0" w:line="204"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Furthermore, most of our European sales are denominated in Euros, and if the U.S. dollar strengthens relative to the Euro, our results of operations may be adversely affected even where our underlying business is performing as anticipated.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213"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9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As an element of our growth strategy, we have, from time to time, pursued opportunities to license assets or purchase companies or assets that we believe would complement our current business or help us expand into new markets. For example, we recently acquired C2i. We may pursue additional acquisitions of complementary businesses or assets as part of our business strategy. There can be no assurance that we will successfully integrate the assets acquired from such acquisitions into our existing business.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1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and international growth depend, in part, on our ability to adapt and manufacture select tests to be performed on multiple IVD platforms.</w:t>
      </w:r>
    </w:p>
    <w:p>
      <w:pPr>
        <w:spacing w:after="0" w:line="19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strategy to expand into international markets depends on our ability to successfully adapt our menu of diagnostic tests on multiple in vitro diagnostic, or IVD, platforms, and secure necessary regulatory approvals. Currently, the Prosigna breast cancer assay is the only commercially-available test on the nCounter Analysis System platform. If we are not able to adapt our current or future tests to be performed on other IVD platforms or if our tests fail to be competitive against competing products in international markets, our prospects for growth could suffer. In addition, to the extent international markets have existing practices and standards of care that are different than those in the United States, we may face challenges with the adoption of</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tests in international markets. For commercialization of our tests on other IVD platforms, we will be dependent on third parties for the supply, support and clinical registration of their platforms.</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revenue that we are expecting in our biopharma and other services business may not transpire.</w:t>
      </w:r>
    </w:p>
    <w:p>
      <w:pPr>
        <w:spacing w:after="0" w:line="23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2023, we experienced significant declines in biopharma and other services revenue as a result of reductions in customer projects, extended sales cycles and overall spending constraints across the industry. Despite this, we continue to offer our biopharma services offerings to pharmaceutical partners with services such as clinically relevant biomarker identification, patient stratification for clinical trials, and development of companion diagnostics. The success of our biopharma services business depends in part on our ability to identify and successfully negotiate with appropriate pharma partners. We cannot guarantee that we will be successful in the identification of appropriate pharma partners or the successful and timely negotiation with such partners, or that existing partners will not terminate their agreements with us.</w:t>
      </w:r>
    </w:p>
    <w:p>
      <w:pPr>
        <w:spacing w:after="0" w:line="211"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and other materials used to perform our tests, as well as certain sole service providers, and we may not be able to find replacements or transition to alternative suppliers or service providers, which may materially impact our ability to generate revenue.</w:t>
      </w:r>
    </w:p>
    <w:p>
      <w:pPr>
        <w:spacing w:after="0" w:line="20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and other materials and services that we use to perform our tests, to access the nCounter Analysis System for diagnostic use and for components related to the Prosigna test kits sold to customers. We also purchase components used in our sample collection kits from sole-source suppliers. Some of these items are unique to these suppliers and vendors and their inability to provide us with reagents that perform to specifications, could negatively impact our ability to provide timely response and reports to our customers and, as a result, may materially impact our ability to generate revenue.</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tests to physicians or deliver patient reports and we may incur higher one-time switching costs.</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rely on NanoString for the supply of the nCounter Analysis System for diagnostic use, components and raw materials for the Prosigna Test Kits and, service of the nCounter Analysis System. We have largely completed the transition of the manufacture of the test kits for the nCounter from NanoString to our facility in Marseille, France. In February 2024, NanoString filed for bankruptcy under Chapter 11 of the United States Bankruptcy Code in the U.S. Bankruptcy Court in Delaware, which may negatively affect NanoString’s ability to satisfy its supply, service, and license obligations and potentially harm our business or ability to generate revenue.</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rely on sole service providers for certain services such as cytopathology professional diagnoses on thyroid fine needle aspiration. If any of these service providers were unable to provide the quality or quantity of services that we require, or if we were unable to agree on commercial terms and our relationships with such service providers were to terminate, our business could be harmed until we were able to secure the services of another provider.</w:t>
      </w:r>
    </w:p>
    <w:p>
      <w:pPr>
        <w:spacing w:after="0" w:line="206"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While we have developed alternate sourcing strategies for many materials, vendors and service providers, we cannot be certain whether these strategies will be effective or the alternative sources will be available when we need them. Moreover, the supply of key reagents and testing materials has been severely challenged by macroeconomic trends. Periodically we experience supply chain disruptions, although, to date, this has not resulted in delays in our ability to timely return test results.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tests, services or products, our business could suffer.</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As demand for our tests, services and products grow, we will need to continue to scale our capacity and processing technology, expand customer service, billing and systems processes, enhance our internal quality assurance program and expand our manufacturing capacity. We will also need additional certified laboratory scientists as well as other scientific and technical personnel to process higher volumes. We cannot assure that any increases in scale, related improvements, supply of reagents to perform testing, and quality assurance measures will be successfully implemented or that appropriate personnel will be available and able to be hired. Failure to implement necessary procedures, transition to new processes or hire the necessary 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215"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9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214"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became subject to a reduction of 2% due to the automatic expense reductions (sequester).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222"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involved the use of a range of rates that fell between zero and 80% of the calculated California-specific Medicare rate and the calculation of a weighted average (based on units billed) of such rates. Effective for dates of service on or after July 1, 2022, the cap at 80% of the Medicare rate has been replaced with a cap at 100% of the lowest maximum allowance established by the federal Medicare program for the same or similar services.</w:t>
      </w:r>
    </w:p>
    <w:p>
      <w:pPr>
        <w:spacing w:after="0" w:line="20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CMS bundles payments for many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spacing w:after="0" w:line="209"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In November 2023, through the Further Continuing Appropriations and Other Extensions Act of 2024, Congress further delayed the next reporting period to 2025. There can be no assurance that the payment rate for Afirma or Prosigna will not decrease in the future or that the payment rates for Decipher Prostate Biopsy, Decipher Prostate RP or Decipher Bladder will not be adversely affected by the PAMA law and regulations.</w:t>
      </w:r>
    </w:p>
    <w:p>
      <w:pPr>
        <w:spacing w:after="0" w:line="20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incentivizes physicians to enroll in alternative payment methods. At this time, we do not know whether these changes to the physician payment systems will have any impact on orders or payments for our tests.</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15"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In December 2020, in its enactment of the CAA, Congress enacted the No Surprises Act. This law, which took effect on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have implemented the No Surprises Act through rulemakings issued on July 1, 2021, September 30, 2021, and August 19, 2022. The No Surprises Act, and regulations and subregulatory guidance promulgated thereunder, could limit our ability to achieve payment in full for our testing services.</w:t>
      </w: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47"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spacing w:after="0" w:line="17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Afirma, Decipher Prostate Biopsy, Decipher Prostate RP,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the CY 2020 Hospital Outpatient Prospective Payment System Proposed Rule, CMS solicited comments on potential revisions to these billing rules that could have impacted our ability to bill Medicare directly for our Afirma, Decipher Prostate Biopsy, Decipher Prostate RP, Envisia,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w:t>
      </w:r>
    </w:p>
    <w:p>
      <w:pPr>
        <w:spacing w:after="0" w:line="190"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the FDA or foreign authorities were to begin regulating those of our tests that they do not currently regulate, we could incur substantial costs and delays associated with trying to obtain premarket clearance, approval or certification.</w:t>
      </w:r>
    </w:p>
    <w:p>
      <w:pPr>
        <w:spacing w:after="0" w:line="19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concerning LDTs. While the FDA has maintained its authority to regulate LDTs, it has generally exercised enforcement discretion not to enforce the premarket review, quality system/current Good Manufacturing Practices regulations, and other applicable medical device requirements against most LDT developers and users. Certain reagents, instruments, software or components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manufactured and sold by third parties and used by their customers to manufacture or perform diagnostic tests may be subject to regulation under certain circumstances. We believe that the Afirma, Decipher Prostate Biopsy, Decipher Prostate RP, Envisia, and Decipher Bladder classifiers, have been developed and are performed in a manner consistent with the FDA’s enforcement discretion policy concerning LDTs.</w:t>
      </w:r>
    </w:p>
    <w:p>
      <w:pPr>
        <w:spacing w:after="0" w:line="206"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On October 3, 2023, the FDA issued a notice proposing to amend its regulations to make explicit that IVDs are medical devices under the Federal Food, Drug, and Cosmetic Act, or the FDC Act, including when the manufacturer of the IVD is a laboratory. In conjunction with this proposed amendment, the FDA proposed to phase out its general enforcement discretion approach for LDTs so that IVDs manufactured by a laboratory would generally fall under the same enforcement approach as other IVDs. If the proposed rule is finalized as it is currently drafted, the FDA will gradually end its general enforcement discretion approach in five stages over a four-year period. Each stage of the proposed phaseout period would subject LDTs to a set of regulatory requirements. For example, the first stage of the phaseout would require LDT developers to comply with medical device reporting requirements and correction and removal reporting requirements within one year after the FDA publishes the final rule. LDTs that are considered higher risk IVDs would be subject to premarket review requirements within three and a half years, and LDTs that are considered moderate or low risk IVDs would be subject to premarket submission requirements within four years after the FDA publishes the final rule. While the enforcement policy is phased out, the FDA could still decide to pursue enforcement action at any time against LDTs that it deems to be violative of its regulations when appropriate. We cannot predict when, or if, the proposed rule will be finalized and, if it is, whether any substantial changes will be made to the rule.</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If the FDA were to determine that Afirma, Decipher Prostate Biopsy, Decipher Prostate RP, Envisia and Decipher Bladder classifiers are not within the scope of the FDA's enforcement discretion policy for LDTs for any reason, including new rules, regulations, policies or guidance, or due to changes in statute, our tests may become subject to extensive FDA requirements, or our business may otherwise be adversely affected. If the FDA were to disagree with our LDT status or modify its approach to regulating LDTs as currently proposed or otherwise, we could experience reduced revenue or increased costs, which could adversely affect our business, prospects, results of operations and financial condition.</w:t>
      </w:r>
    </w:p>
    <w:p>
      <w:pPr>
        <w:spacing w:after="0" w:line="21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introduced in the House of Representatives in March 2023. As proposed, the bill would create a precertification program for lower risk tests not otherwise required to go through premarket review. It would grandfather certain existing tests from some requirements but would allow the FDA to subject otherwise grandfathered tests to premarket review under certain conditions. Similarly, the Verified Innovative Testing in American Laboratories, or VITAL Act, was introduced in December 2020 and re-introduced in May 2021. In contrast with the VALID Act, the VITAL Act would prevent the FDA from regulating LDTs and would instead assign regulatory authority over LDTs entirely to CMS. We cannot predict whether either of these or other draft bills governing LDTs will become legislation and cannot quantify the effect of such draft bills on our business.</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became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 it will apply in Northern Ireland), but the UK government is currently undertaking a consultation on the regime applicable to in vitro diagnostics in the UK, and it is anticipated that similar provisions will be introduced as under the IVDR.</w:t>
      </w:r>
    </w:p>
    <w:p>
      <w:pPr>
        <w:spacing w:after="0" w:line="21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While it is possible that our Afirma, Decipher Prostate Biopsy, Decipher Prostate RP, Envisia, and Decipher Bladder classifiers, would be “grandfathered” and therefore exempted from some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new regulatory requirements, the FDA’s proposed rule does not include a grandfathering approach. There can be no assurance of what the FDA might ultimately require if it finalizes the proposed rule, issues a revised rule, or if legislative reforms are enacted. If premarket reviews or certifications are required, our business could be negatively impacted if we are required to stop selling our products pending their clearance, approval or certification. In addition, the launch of any new products that we develop or modifications we make to existing products could be delayed by the implementation of future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For example,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219"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medical device, or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the FDA to investigate our purchase and use of supplier products and for the Agency to question whether or not Veracyte has violated the FDC Act.</w:t>
      </w:r>
    </w:p>
    <w:p>
      <w:pPr>
        <w:spacing w:after="0" w:line="21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spacing w:after="0" w:line="202"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91"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rather than through a PMA for class I or class II devices if the 510(k) pathway is not available. If the FDA finalizes the proposed rule to regulate LDTs as medical devices as it is currently drafted, we will need to obtain the appropriate marketing clearance, approval, or authorization for each or our tests that are currently offered as LDTs in accordance with the timelines provided in the final rule.</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In September 2013, Prosigna was granted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1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209"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Any medical device product for which we obtain marketing authorization, including any tests that are currently offered as LDTs, would be subject to regulatory requirements that would affect how we are able to market and sell the device. The FDC Act and FDA regulations place considerable requirements on medical devices,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If the FDA finalizes its proposed rule to regulate LDTs as medical devices as it is currently drafted, these regulatory requirements will become applicable to our tests that are currently offered as LDTs in stages, including any applicable premarket approval, clearance, or authorization requirements.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510(k) clearance, or De Novo authorization from the FDA and are therefore supplementing our operational capabilities to manage the more complex processes needed to obtain and maintain marketing authorization.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23"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06"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spacing w:after="0" w:line="215"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 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222"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The IVDR will not be implemented in Great Britain, and 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Additionally, in Great Britain, all medical devices will require a UK Conformity Assessed, or UKCA, mark but CE marks (IVDD self-certified or IVDR issued by EU notified regulatory bodies, subject to validity of the certificate in the EU) will remain valid until June 30, 2030. Manufacturers may choose to use the UKCA mark on a voluntary basis until June 30, 2030.</w:t>
      </w:r>
    </w:p>
    <w:p>
      <w:pPr>
        <w:spacing w:after="0" w:line="20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For the time being, the regulatory regime for medical devices and IVD MDs in Great Britain (England, Scotland and Wales) continues to be based on the requirements derived from current EU legislation. 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For IVD medical devices, the regime is expected to come into force in July 2030,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21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2030, subject to validity on the certificate. For medical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devices, including IVD MDs, placed on the market in Great Britain after this period, the UKCA marking will be mandatory and subject to positive review and issuance of a certificate by an accredited Authorized Body. In contrast, UKCA marking and certificates issued by UK notified regulatory bodies are not yet recognized on the EU market.</w:t>
      </w:r>
    </w:p>
    <w:p>
      <w:pPr>
        <w:spacing w:after="0" w:line="20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A mutual recognition agreement, or MRA, aligning IVD regulations between the European Union and Switzerland has officially expired following the In Vitro Diagnostic Medical Devices Regulation’s, or IVDR, May 26, 2022 date of application, impacting certification and authorized representation requirements for manufacturers. The Swiss government has issued its own Ordinance on In Vitro Diagnostic Medical Devices, or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These modifications may have an effect on the way we intend to conduct our business in these countries.</w:t>
      </w:r>
    </w:p>
    <w:p>
      <w:pPr>
        <w:spacing w:after="0" w:line="239"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marketing authorizations or certifications, approvals, clearances or certifications to market Prosigna or our other assays on the nCounter Analysis System or other IVD platforms in additional countries or if regulatory limitations are placed on our diagnostic kit products, our business and growth will be harmed.</w:t>
      </w:r>
    </w:p>
    <w:p>
      <w:pPr>
        <w:spacing w:after="0" w:line="20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 We cannot guarantee that the regulatory authorization or certification for Prosigna will be granted or, if granted, will not be revoked, which could adversely impact our business, financial condition, and operations.</w:t>
      </w:r>
    </w:p>
    <w:p>
      <w:pPr>
        <w:spacing w:after="0" w:line="20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spacing w:after="0" w:line="215"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We are dependent on third party platform and technology providers to maintain their platforms and technology in accordance with the requirements of applicable regulatory bodies. We cannot assure investors that we will be successful in obtaining or maintaining regulatory clearances, certifications, approvals, or marketing authorizations of our existing or future tests or technology, including nCounter. If we do not obtain or maintain regulatory clearances, certifications, approvals, or marketing authorizations for existing or future diagnostic kit products or technology,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related to our IVD strategy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191"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the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spacing w:after="0" w:line="21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IVDR increases the regulatory requirements applicable to in vitro diagnostics in the EU and would require that we re-classify and obtain new certificates of conformity for our existing CE-marked IVD products by May 25, 2022, unless a transitional provision applies to the product. Failure to secure these re-certifications in time will halt our ability to commercialize our products in relevant countries. Currently Prosigna for use on nCounter is our only product that will require recertification. Moreover, complying with the stricter regulatory requirements of the IVDR, including with respect to clinical evaluation requirements, quality systems, and post-market surveillance, may require us to incur significant expenditures. Failure to meet these requirements, or a failure or delay in our ability to recertify Prosigna for use on nCounter could adversely impact our business in the EU and EEA and other regions that tie their product registrations or regulations to the EU requirements.</w:t>
      </w:r>
    </w:p>
    <w:p>
      <w:pPr>
        <w:spacing w:after="0" w:line="21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IVDR became applicable five years after publication on May 26, 2022 and once applicable to a particular product, the IVDR will among other things:</w:t>
      </w:r>
    </w:p>
    <w:p>
      <w:pPr>
        <w:spacing w:after="0" w:line="194"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importers’ and distributors’ obligations and responsibilities;</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 obligation to identify a responsible person who is ultimately responsible for all aspects of compliance with the requirements of the new regulation;</w:t>
      </w:r>
    </w:p>
    <w:p>
      <w:pPr>
        <w:spacing w:after="0" w:line="9"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20"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(Eudamed) to provide patients, healthcare professionals and the public with comprehensive information on products available in the EU;</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recourse for damage caused by a defective device; and</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rules for the assessment of certain high-risk devices that may have to undergo an additional check by experts before they are placed on the market.</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the FDA has recently finalized a rule to revise the QSR to more closely align with ISO 13485:2016 but that also includes proposed clarifications and additional definitions and requirements.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the FDA or global regulatory authority action in any of these areas could significantly increase our expenses and limit our revenue and profitability.</w:t>
      </w: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and/or achieve profitability.</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operate in a highly competitive market. For our Afirma genomic classifier we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1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Decipher Prostate test faces competition from Myriad Genetics and MDx Health, which offer genomic testing for prognostic purposes within localized prostate cancer. Additionally, traditional methods used by pathologists and clinicians to estimate risk of disease progression pose competitive threats to our business in addition to new technologies such as AI and digital pathology.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spacing w:after="0" w:line="21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Envisia classifiers will similarly come from traditional methods used by physicians to diagnose the related diseases. For the Percepta Nasal Swab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w:t>
      </w:r>
    </w:p>
    <w:p>
      <w:pPr>
        <w:spacing w:after="0" w:line="209"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As we expand our portfolio of tests, including into the MRD space, we may also face competition from companies informing treatment decisions such as Personalis, Natera, Guardant Health or Foundation Medicine, Inc. Competition could also emerge using alternative samples, such as blood, urine or sputum.</w:t>
      </w:r>
    </w:p>
    <w:p>
      <w:pPr>
        <w:spacing w:after="0" w:line="17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Quest Diagnostics, and Sonic Healthcare USA, with strong infrastructure to support the commercialization of diagnostic services. We face potential competition from companies such as Thermo Fisher Scientific Inc., which has entered the clinical diagnostics market. Other potential competitors include companies that develop diagnostic products, such as Roche Diagnostics, a division of Roche Holding Ltd, Siemens AG and Qiagen N.V., and we also may face competition from competitors of our biopharma services such as Neogenomics, Adaptive Biotechnologies, Tempus and Akoya.</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9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products and services, we will face many of these same competitive risks.</w:t>
      </w:r>
    </w:p>
    <w:p>
      <w:pPr>
        <w:spacing w:after="0" w:line="192"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any inability to attract and retain highly-skilled employees and other key personnel, could adversely affect our business.</w:t>
      </w:r>
    </w:p>
    <w:p>
      <w:pPr>
        <w:spacing w:after="0" w:line="20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20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w:t>
      </w:r>
    </w:p>
    <w:p>
      <w:pPr>
        <w:spacing w:after="0" w:line="206"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w:t>
      </w:r>
    </w:p>
    <w:p>
      <w:pPr>
        <w:spacing w:after="0" w:line="19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Billing for our diagnostic tests is complex, and we must dedicate substantial time and resources to the billing process in order to collect cash and be paid.</w:t>
      </w:r>
    </w:p>
    <w:p>
      <w:pPr>
        <w:spacing w:after="0" w:line="258"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43"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 and other government payers;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payers may argue technical contract noncompliance and withhold payment;</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4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our tests, including cytopathology. Through December 31, 2020, we used the CPT code 81545 to bill for our Afirma classifier. Effective January 1, 2021, we began using the new CPT code 81546 to bill for our Afirma classifier, and code 81545 was retired. Effective January 1, 2020, we began using CPT code 81542 to bill for Decipher Prostate Biopsy and Decipher Prostate RP tests. Effective January 1, 2021, we began using the new CPT code 81554 to bill for our Envisia classifier. Effective October 1, 2020, we began using CPT code 0016M to bill for our Decipher Bladder test.</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9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subsequent updates, such coding policy changes may negatively affect our total revenue and cash flow.</w:t>
      </w:r>
    </w:p>
    <w:p>
      <w:pPr>
        <w:spacing w:after="0" w:line="215"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47"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5" w:lineRule="exact"/>
        <w:rPr>
          <w:sz w:val="20"/>
          <w:szCs w:val="20"/>
          <w:color w:val="auto"/>
        </w:rPr>
      </w:pPr>
    </w:p>
    <w:p>
      <w:pPr>
        <w:jc w:val="both"/>
        <w:ind w:firstLine="127"/>
        <w:spacing w:after="0" w:line="306" w:lineRule="auto"/>
        <w:rPr>
          <w:sz w:val="20"/>
          <w:szCs w:val="20"/>
          <w:color w:val="auto"/>
        </w:rPr>
      </w:pPr>
      <w:r>
        <w:rPr>
          <w:rFonts w:ascii="Times New Roman" w:cs="Times New Roman" w:eastAsia="Times New Roman" w:hAnsi="Times New Roman"/>
          <w:sz w:val="17"/>
          <w:szCs w:val="17"/>
          <w:b w:val="1"/>
          <w:bCs w:val="1"/>
          <w:i w:val="1"/>
          <w:iCs w:val="1"/>
          <w:color w:val="auto"/>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spacing w:after="0" w:line="167"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If our internal sales force is not successful or new additions to our sales team fail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subsequent molecular diagnostic tests and products, thereby hindering the desired expansion of our business. We have growing, however limited, historical experience forecasting the direct sales of our molecular diagnostics tests and products. Our ability to produce total test volumes that meet customer demand is dependent upon our ability to forecast accurately and plan production capacities accordingly.</w:t>
      </w:r>
    </w:p>
    <w:p>
      <w:pPr>
        <w:spacing w:after="0" w:line="211" w:lineRule="exact"/>
        <w:rPr>
          <w:sz w:val="20"/>
          <w:szCs w:val="20"/>
          <w:color w:val="auto"/>
        </w:rPr>
      </w:pPr>
    </w:p>
    <w:p>
      <w:pPr>
        <w:ind w:right="240"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20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We cannot be certain that we will meet our projected targets and if we do not meet these as publicly announced, the commercialization of our tests may be delayed or may not occur at all and, as a result, our business will suffer and our stock price may decline.</w:t>
      </w:r>
    </w:p>
    <w:p>
      <w:pPr>
        <w:spacing w:after="0" w:line="209"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 utility studies that meet individual payer evidence requirements to obtain reimbursement. Even after launching new products, we must complete additional studies that meet the clinical evidence required by individual payers to obtain reimbursement.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to be run in our CLIA lab, we need to:</w:t>
      </w:r>
    </w:p>
    <w:p>
      <w:pPr>
        <w:spacing w:after="0" w:line="243"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regulatory, and compliance infrastructure to market and sell new products.</w:t>
      </w:r>
    </w:p>
    <w:p>
      <w:pPr>
        <w:spacing w:after="0" w:line="243"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test and product development efforts may fail for many reasons, including:</w:t>
      </w:r>
    </w:p>
    <w:p>
      <w:pPr>
        <w:spacing w:after="0" w:line="194"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If a clinical utility study fails to demonstrate the value of a particular test, we may not be able to obtain reimbursement for the test. In addition, competitors may develop and commercialize competing products or technologies faster than us or at a lower cost.</w:t>
      </w:r>
    </w:p>
    <w:p>
      <w:pPr>
        <w:spacing w:after="0" w:line="213"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9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91"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4" w:lineRule="exact"/>
        <w:rPr>
          <w:sz w:val="20"/>
          <w:szCs w:val="20"/>
          <w:color w:val="auto"/>
        </w:rPr>
      </w:pPr>
    </w:p>
    <w:p>
      <w:pPr>
        <w:jc w:val="both"/>
        <w:ind w:left="640" w:hanging="316"/>
        <w:spacing w:after="0" w:line="25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1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 certificate;</w:t>
      </w:r>
    </w:p>
    <w:p>
      <w:pPr>
        <w:spacing w:after="0" w:line="242"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5"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205"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09"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5" w:lineRule="exact"/>
        <w:rPr>
          <w:rFonts w:ascii="Times New Roman" w:cs="Times New Roman" w:eastAsia="Times New Roman" w:hAnsi="Times New Roman"/>
          <w:sz w:val="18"/>
          <w:szCs w:val="18"/>
          <w:color w:val="auto"/>
        </w:rPr>
      </w:pPr>
    </w:p>
    <w:p>
      <w:pPr>
        <w:ind w:left="640" w:right="20" w:hanging="316"/>
        <w:spacing w:after="0" w:line="27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40" w:hanging="316"/>
        <w:spacing w:after="0" w:line="25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spacing w:after="0" w:line="209"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5"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94"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4"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205"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5"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20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 and</w:t>
      </w:r>
    </w:p>
    <w:p>
      <w:pPr>
        <w:spacing w:after="0" w:line="24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and regulations equivalent to the above.</w:t>
      </w:r>
    </w:p>
    <w:p>
      <w:pPr>
        <w:spacing w:after="0" w:line="243"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(including physicians and labs),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209"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and we cannot ensure that all our employees, agents, contractors, vendors, licensees, partners or collaborators will comply, or have historically complied, with all applicable laws and regulations.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integrate acquired businesses to realize the financial goals that we currently anticipate.</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Risks we face in connection with the integration of C2i and the ongoing integration of HalioDx and Decipher Biosciences include:</w:t>
      </w:r>
    </w:p>
    <w:p>
      <w:pPr>
        <w:spacing w:after="0" w:line="164"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acquired products and tests or retaining key personnel from the acquired businesses;</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29"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innovative technologies we acquire, including AI, presents risk and challenges, including flawed algorithms or insufficient or biased datasets, which could adversely impact the reliability of our data and subject us to delays and competitive harm, regulatory action, or legal liability, as well as brand or reputational harm;</w:t>
      </w:r>
    </w:p>
    <w:p>
      <w:pPr>
        <w:spacing w:after="0" w:line="126"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35" w:lineRule="exact"/>
        <w:rPr>
          <w:rFonts w:ascii="Times New Roman" w:cs="Times New Roman" w:eastAsia="Times New Roman" w:hAnsi="Times New Roman"/>
          <w:sz w:val="18"/>
          <w:szCs w:val="18"/>
          <w:color w:val="auto"/>
        </w:rPr>
      </w:pPr>
    </w:p>
    <w:p>
      <w:pPr>
        <w:jc w:val="both"/>
        <w:ind w:left="640" w:hanging="316"/>
        <w:spacing w:after="0" w:line="273"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acquisitions, none of HalioDx, Decipher Biosciences, or C2i were required to maintain an internal control infrastructure that would meet the standards of a public company, including the requirements of the Sarbanes-Oxley Act of 2002. Over the course of 2021 and 2022, we integrated the operations of HalioDx and Decipher Biosciences into our internal control structure and implemented additional internal controls where needed and, beginning in 2024, we began to integrate similar internal control structures for C2i. As we continue to integrate and improve the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operations of HalioDx, Decipher Biosciences, and C2i, we may need to implement additional controls. The costs that we may incur to implement such controls and procedures may be substantial and we could encounter unexpected delays and challenges in this implementation. In addition, we may discover significant deficiencies or material weaknesses in the quality of HalioDx's, Decipher Biosciences', and C2i's respective financial and disclosure controls and procedures;</w:t>
      </w:r>
    </w:p>
    <w:p>
      <w:pPr>
        <w:spacing w:after="0" w:line="130" w:lineRule="exact"/>
        <w:rPr>
          <w:sz w:val="20"/>
          <w:szCs w:val="20"/>
          <w:color w:val="auto"/>
        </w:rPr>
      </w:pPr>
    </w:p>
    <w:p>
      <w:pPr>
        <w:ind w:left="640" w:hanging="316"/>
        <w:spacing w:after="0" w:line="27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failure of development activities on behalf of a HalioDx customer where HalioDx bears development risk resulting in a refund of development fees;</w:t>
      </w:r>
    </w:p>
    <w:p>
      <w:pPr>
        <w:spacing w:after="0" w:line="114"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successfully manufacture the test kits for the nCounter from our manufacturing facility in Marseille, France, for a variety of reasons, including that we may experience manufacturing irregularities or challenges in connection with the manufacturing transition from NanoString to our Marseille, France facility, such as sole supplier challenges and rolling blackouts due to energy shortages in Europe;</w:t>
      </w:r>
    </w:p>
    <w:p>
      <w:pPr>
        <w:spacing w:after="0" w:line="12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disagreements, challenges, strikes, and litigation associated with the French employee work council or French union;</w:t>
      </w:r>
    </w:p>
    <w:p>
      <w:pPr>
        <w:spacing w:after="0" w:line="163"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 in integrating key talent from our C2i acquisition due to the ongoing conflict in the Middle East and the ability to travel in and out of the conflicted area; and</w:t>
      </w:r>
    </w:p>
    <w:p>
      <w:pPr>
        <w:spacing w:after="0" w:line="114"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circumstances prior to acquiring our acquired businesses, which could result in unexpected litigation or regulatory exposure, unfavorable accounting or tax treatment, a diversion of management’s attention and resources, and other adverse effects on our business, financial condition, and operating results.</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transactions denominated in foreign currency.</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210"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Aspects of our international business expose us to business, regulatory, political, operational, financial and economic risks associated with doing business outside of the United States.</w:t>
      </w:r>
    </w:p>
    <w:p>
      <w:pPr>
        <w:spacing w:after="0" w:line="19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In 2024, we acquired C2i, an oncology diagnostics company based in Tel Aviv, Israel, with global operations. Doing business internationally involves a number of risks, including:</w:t>
      </w:r>
    </w:p>
    <w:p>
      <w:pPr>
        <w:spacing w:after="0" w:line="215" w:lineRule="exact"/>
        <w:rPr>
          <w:sz w:val="20"/>
          <w:szCs w:val="20"/>
          <w:color w:val="auto"/>
        </w:rPr>
      </w:pPr>
    </w:p>
    <w:p>
      <w:pPr>
        <w:ind w:left="640" w:hanging="316"/>
        <w:spacing w:after="0" w:line="271"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94"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the manufacturing output we anticipate at the Marseille, France facility as a result of rolling blackouts due to energy shortages in Europe resulting from the Russian invasion of Ukraine, as well as general impacts of geopolitical conflicts;</w:t>
      </w:r>
    </w:p>
    <w:p>
      <w:pPr>
        <w:spacing w:after="0" w:line="194" w:lineRule="exact"/>
        <w:rPr>
          <w:rFonts w:ascii="Times New Roman" w:cs="Times New Roman" w:eastAsia="Times New Roman" w:hAnsi="Times New Roman"/>
          <w:sz w:val="18"/>
          <w:szCs w:val="18"/>
          <w:color w:val="auto"/>
        </w:rPr>
      </w:pPr>
    </w:p>
    <w:p>
      <w:pPr>
        <w:ind w:left="640" w:right="20" w:hanging="316"/>
        <w:spacing w:after="0" w:line="271"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to the development and launch of additional products or services as a result of having technology and research and development operations in Israel, including disruptions related to maintaining key research and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18"/>
          <w:szCs w:val="18"/>
          <w:color w:val="auto"/>
        </w:rPr>
        <w:t>development employees in Israel and the potential impact of the conflict in the Middle East on Company personnel who are performing, or on reserve to perform, military services as a result of such conflict;</w:t>
      </w:r>
    </w:p>
    <w:p>
      <w:pPr>
        <w:spacing w:after="0" w:line="194" w:lineRule="exact"/>
        <w:rPr>
          <w:sz w:val="20"/>
          <w:szCs w:val="20"/>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authorizations, or certifications where required for the use of our solutions in various countries;</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 including payers mandating additional evidence requirements for reimbursement consideration;</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19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42"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94" w:lineRule="exact"/>
        <w:rPr>
          <w:rFonts w:ascii="Times New Roman" w:cs="Times New Roman" w:eastAsia="Times New Roman" w:hAnsi="Times New Roman"/>
          <w:sz w:val="18"/>
          <w:szCs w:val="18"/>
          <w:color w:val="auto"/>
        </w:rPr>
      </w:pPr>
    </w:p>
    <w:p>
      <w:pPr>
        <w:jc w:val="both"/>
        <w:ind w:left="640" w:hanging="316"/>
        <w:spacing w:after="0" w:line="25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and other regional conflicts, outbreak of disease, including pandemics, boycotts, curtailment of trade and other business restrictions (including as a direct or indirect result of the conflict in Ukraine); and</w:t>
      </w:r>
    </w:p>
    <w:p>
      <w:pPr>
        <w:spacing w:after="0" w:line="205" w:lineRule="exact"/>
        <w:rPr>
          <w:rFonts w:ascii="Times New Roman" w:cs="Times New Roman" w:eastAsia="Times New Roman" w:hAnsi="Times New Roman"/>
          <w:sz w:val="18"/>
          <w:szCs w:val="18"/>
          <w:color w:val="auto"/>
        </w:rPr>
      </w:pPr>
    </w:p>
    <w:p>
      <w:pPr>
        <w:ind w:left="640" w:right="20" w:hanging="316"/>
        <w:spacing w:after="0" w:line="27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2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unfavorable macroeconomic and market conditions.</w:t>
      </w:r>
    </w:p>
    <w:p>
      <w:pPr>
        <w:spacing w:after="0" w:line="247" w:lineRule="exact"/>
        <w:rPr>
          <w:sz w:val="20"/>
          <w:szCs w:val="20"/>
          <w:color w:val="auto"/>
        </w:rPr>
      </w:pPr>
    </w:p>
    <w:p>
      <w:pPr>
        <w:jc w:val="both"/>
        <w:ind w:firstLine="397"/>
        <w:spacing w:after="0" w:line="262" w:lineRule="auto"/>
        <w:rPr>
          <w:sz w:val="20"/>
          <w:szCs w:val="20"/>
          <w:color w:val="auto"/>
        </w:rPr>
      </w:pPr>
      <w:r>
        <w:rPr>
          <w:rFonts w:ascii="Times New Roman" w:cs="Times New Roman" w:eastAsia="Times New Roman" w:hAnsi="Times New Roman"/>
          <w:sz w:val="17"/>
          <w:szCs w:val="17"/>
          <w:color w:val="auto"/>
        </w:rPr>
        <w:t>Our business or financial results may be adversely impacted by uncertain economic conditions, including: regional conflicts globally, turmoil in the global banking and finance system, adverse changes in interest rates, foreign currency exchange rates, tax laws or tax rates; inflation; a recession; the impact of disease outbreak, including the COVID-19 pandemic and emergence of new variants;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United States and those in Europe, have experienced and continue to experience uncertain economic conditions, including increased inflation and interest rates, resulting from global as well as local factors. For example, the short and long-term implications of the military conflict between Russia and Ukraine are difficult to predict at this time, including as it relates to our site in Marseille, France. The impact to Ukraine as well as actions taken by other countries, including new and stricter sanctions imposed by the United States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 Additionally, financial pressures may cause government or other third-party payers to more aggressively seek cost containment measures in healthcare and other settings. Furthermore, our acquisition of C2i included acquiring assets, including employees, based in Israel, and the impact of the military conflict in the Middle East is difficult to predict at this time. The conflict has the potential to disrupt operations and business continuity, including physical damage or impaired access to Company facilities, offices, or technology and disruptions in access to electricity, gasoline, or water, as well as potential impact on our key employees located in Israel, such as the mobilization of employees who are members of the Israeli military reserves to active duty, disrupted communication with employees and restrictions on movement in areas subject to armed conflict.</w:t>
      </w:r>
    </w:p>
    <w:p>
      <w:pPr>
        <w:spacing w:after="0" w:line="21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Moreover, we cannot predict how future economic conditions will affect our customers, suppliers and distributors and any negative impact on our critical customers, suppliers or distributors may also have an adverse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 financial condition.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205"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9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21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213" w:lineRule="exact"/>
        <w:rPr>
          <w:sz w:val="20"/>
          <w:szCs w:val="20"/>
          <w:color w:val="auto"/>
        </w:rPr>
      </w:pPr>
    </w:p>
    <w:p>
      <w:pPr>
        <w:ind w:right="10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191" w:lineRule="exact"/>
        <w:rPr>
          <w:sz w:val="20"/>
          <w:szCs w:val="20"/>
          <w:color w:val="auto"/>
        </w:rPr>
      </w:pPr>
    </w:p>
    <w:p>
      <w:pPr>
        <w:jc w:val="both"/>
        <w:ind w:firstLine="397"/>
        <w:spacing w:after="0" w:line="246" w:lineRule="auto"/>
        <w:rPr>
          <w:sz w:val="20"/>
          <w:szCs w:val="20"/>
          <w:color w:val="auto"/>
        </w:rPr>
      </w:pPr>
      <w:r>
        <w:rPr>
          <w:rFonts w:ascii="Times New Roman" w:cs="Times New Roman" w:eastAsia="Times New Roman" w:hAnsi="Times New Roman"/>
          <w:sz w:val="18"/>
          <w:szCs w:val="18"/>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Envisia, and Decipher Bladder tests, as well as tests we may develop or acquire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time-consuming for us to defend. Although we maintain product liability and errors and omissions insurance, we cannot assure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AI and machine learning in our offerings could adversely affect our business and operating results.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continue to integrate AI and machine learning into certain of our product offerings. Issues relating to the use of new and evolving technologies such as AI and machine learning may cause us to experience brand or reputational harm, competitive harm, legal liability, and new or enhanced governmental or regulatory scrutiny, and we may incur additional costs to resolve such issues. As with many innovations, AI presents risks and challenges that could undermine or slow its adoption, and therefore harm our business. For example, perceived or actual technical, legal, compliance, privacy, security, ethical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 of doing so. Developing, testing and deploying AI components in our product offerings may also increase the cost profile of our product offerings due to the nature of the computing costs involved in such AI systems, which could impact our product margin and adversely affect our business and operating results. Further, market demand and acceptance of AI technologies are uncertain, and we may be unsuccessful in our product development efforts.</w:t>
      </w:r>
    </w:p>
    <w:p>
      <w:pPr>
        <w:spacing w:after="0" w:line="213"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operations of our laboratories are subject to the risk of disruptions caused by pandemics, political events, war, terrorism, earthquakes, fire, power outages, severe weather, floods, and other catastrophic events.</w:t>
      </w:r>
    </w:p>
    <w:p>
      <w:pPr>
        <w:spacing w:after="0" w:line="19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War, terrorism, geopolitical uncertainties, including any developments or consequences of regional conflicts globally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and emergence of variants had a negative effect on consumer confidence and spending, and other impacts, which adversely affected our business.</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we perform all of the Afirma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manufacturing facility in Marseille, France, produces many of our Prosigna tests, as well as products for our IVD manufacturing services, and is subject to the risk of power outages resulting from constrained European energy supply.</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11"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 organically or inorganically.</w:t>
      </w:r>
    </w:p>
    <w:p>
      <w:pPr>
        <w:spacing w:after="0" w:line="191"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expect continued capital expenditures and operating losses over the next few years as we expand our infrastructure, commercial operations and research and development activities. We may seek to raise additional capital through equity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companies have been highly volatile, which may reduce our ability to access capital on favorable terms or at all. In addition, a recession, depression or other sustained adverse market event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19"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2023, the global banking system experienced turmoil.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and cash equivalents and short-term investments may be threatened, which could have a material adverse effect on our business and financial condition. Moreover, events such as the closure of large financial institutions, in addition to other global macroeconomic conditions, may cause further turbulence and uncertainty in the capital markets.</w:t>
      </w:r>
    </w:p>
    <w:p>
      <w:pPr>
        <w:spacing w:after="0" w:line="211"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0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an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aspects of our business, any of which could adversely affect our business, including by materially damaging our reputation.</w:t>
      </w:r>
    </w:p>
    <w:p>
      <w:pPr>
        <w:spacing w:after="0" w:line="243"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January 11, 2023. The Biden Administration lifted the PHE declaration on May 11, 2023.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most significantly in the form of amendments and expansions pursuant to the California Privacy Rights Act adopted by ballot measure in November 2020,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223"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Further, on July 26, 2023, the SEC adopted new cybersecurity disclosure rules for public companies that require disclosure regarding cybersecurity risk management (including the board’s role in overseeing cybersecurity risks, management’s role and expertise in assessing and managing cybersecurity risks and processes for assessing, identifying and managing cybersecurity risks) in annual reports on Form 10-K. These new cybersecurity disclosure rules also require the disclosure of material cybersecurity incidents by Form 8-K, within four business days of determining an incident is material. Our failure to comply with these requirements, and disclosures of any cybersecurity incidents pursuant to these requirements, could adversely impact our business, operating results and financial condition.</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91"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89"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 which, at that time, included the United States. The EU Commission announced July 2023 that it had adopted a new adequacy decision with respect to the United States under a new regulatory structure known as the EU-US Data Privacy Framework. Although the EU-US Data Privacy Framework potentially provides additional regulatory certainty regarding data transfers from the EU to the US, it is widely expected that the new data transfer framework may be challenged before the CJEU, and in addition, the EU-US Data Privacy Framework is not automatically available to all companies but requires a company to meet certain jurisdictional and procedural requirements in order to get the benefit of utilizing such framework as a data-protective transfer mechanism.</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Additionally, 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were required to be migrated to the revised SCCs by December 27, 2022. We were required to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21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Following the United Kingdom’s withdrawal from the EEA and the EU, and the expiry of the transition period, companies processing the information of EU data subjects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spacing w:after="0" w:line="21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are expected to increase data breach litigation. The CCPA and CPRA may increase our compliance costs and potential liability. Following the lead of California, several other states, including Colorado, Utah, Virginia and Connecticut have each enacted laws similar to the CCPA/CPRA and Oregon, Texas, Florida, Montana and Washington each have laws that will come into effect in 2024 that include obligations on privacy, data protection and use of personal data. The multiple layers of privacy law within the United States could increase our potential liability, increase our compliance costs, and adversely affect our business.</w:t>
      </w:r>
    </w:p>
    <w:p>
      <w:pPr>
        <w:spacing w:after="0" w:line="219"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Other countries outside of the United States and Europe have enacted or are considering enacting international data transfer restrictions and laws requiring local data residency and restricting international data transfer, which could increase the cost and complexity of delivering our services and operating our business. For example, Brazil's General Data Protection Law (as amended by Law No. 13,853/2019) contains restrictions on international transfer and heightened requirements on data concerning health, genetic and biometric data. China’s Personal Information Protection Law (effective November 2021), together with the Cyberspace Administration of China’s Measures on Security Assessment on Cross-border Data Transfer, broadly regulate the processing and international transfer of personal information and impose compliance obligations and penalties comparable to those of the GDPR.</w:t>
      </w:r>
    </w:p>
    <w:p>
      <w:pPr>
        <w:spacing w:after="0" w:line="19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Furthermore, our acquisition of C2i included acquiring personal data that may originate from, be processed in, or be transferred to and from, Israel, the EU and other jurisdictions. Our ability to process, use and transfer such personal data may be subject to Israel’s privacy and data protection laws including but not limited to Basic Law: Human Dignity and Liberty,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5752 -1992; the Protection of Privacy Law, 5741-1981 and the regulations promulgated thereunder, or the PPL, and the guidelines of the Israel Privacy Authority. Personal data acquired through the C2i acquisition may be subject to third-party contractual restrictions, as well as privacy and data protection laws in additional jurisdictions. The additional layers of privacy laws in Israel, additional jurisdictions, and contractual requirements increases the complexity of our global data privacy and data protection compliance obligations and risks. This could increase our potential liability, compliance costs, and may adversely affect our business operations.</w:t>
      </w:r>
    </w:p>
    <w:p>
      <w:pPr>
        <w:spacing w:after="0" w:line="21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47"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or successfully defend our intellectual property effectively, our business may be harmed.</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w:t>
      </w:r>
    </w:p>
    <w:p>
      <w:pPr>
        <w:spacing w:after="0" w:line="194"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may result in the unenforceability or invalidity of such patents and increased competition to our business. The outcome of patent litigation can be uncertain and any attempts by us to enforce our patent rights against others may not be successful, or, if successful, may take substantial time and result in substantial cost, and may divert our efforts and attention from other aspects of our business.</w:t>
      </w:r>
    </w:p>
    <w:p>
      <w:pPr>
        <w:spacing w:after="0" w:line="21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may be particularly uncertain. Various courts, including the U.S. Supreme Court, have rendered decisions that affect the scope of patentability of certain inventions or discoveries relating to certain diagnostic tests and related methods. These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may make it difficult for us to stop the infringement of our patents in such countries. Proceedings to enforce our patent rights in foreign jurisdictions may result in substantial cost and divert our efforts and attention from other aspects of our business.</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may result in significant cost and distraction.</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Monitoring unauthorized disclosure may be difficult, and we may not know whether the steps we have taken to prevent such disclosure are, or will be, adequate. If we were to enforce a claim that a third-party had illegally obtained and was using our trade secrets, it may be expensive and time-consuming, and the outcome may be unpredictable. In addition, courts outside the United States may be less willing to protect trade secrets.</w:t>
      </w:r>
    </w:p>
    <w:p>
      <w:pPr>
        <w:spacing w:after="0" w:line="206"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may hamper or prevent our ability to commercialize potential products, which could harm our business. Even if we are successful in defending against these claims, litigation may result in substantial costs and be a distraction to management.</w:t>
      </w:r>
    </w:p>
    <w:p>
      <w:pPr>
        <w:spacing w:after="0" w:line="19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Further, competitors may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2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may be adversely affected, as may our business. Both the patent application process and the process of managing patent disputes can be time consuming and expensive.</w:t>
      </w:r>
    </w:p>
    <w:p>
      <w:pPr>
        <w:spacing w:after="0" w:line="185"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may be time-intensive and costly and may adversely affect our business, operating results or financial condition.</w:t>
      </w:r>
    </w:p>
    <w:p>
      <w:pPr>
        <w:spacing w:after="0" w:line="19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involving liquid biopsy technologies, including assays for detection or quantification of MRD in patients who have had cancer. We may receive notices of claims of direct or indirect infringement or misappropriation or misuse of other parties’ proprietary rights from time to time. Some of these claims may lead to litigation. We cannot assure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 We are aware of third-party patents and patent applications with claims related to our products, and there may be other relevant third-party patents or patent applications of which we are not aware. We cannot assure that our products do not, or will not, infringe third-party issued patents.</w:t>
      </w:r>
    </w:p>
    <w:p>
      <w:pPr>
        <w:spacing w:after="0" w:line="21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may experience significant costs and management distraction.</w:t>
      </w:r>
    </w:p>
    <w:p>
      <w:pPr>
        <w:spacing w:after="0" w:line="21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may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may be burdensome and expensive, even if we were to prevail. Any litigation that may be necessary in the future may result in substantial costs and diversion of resources and may have a material adverse effect on our business, operating results or financial condition.</w:t>
      </w:r>
    </w:p>
    <w:p>
      <w:pPr>
        <w:spacing w:after="0" w:line="217"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may incur substantial costs and divert the attention of our management and technical personnel in defending against any of these claims. Parties making claims against us may be able to obtain injunctive or other relief, which may block our ability to develop, commercialize and sell products, and may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may incur substantial costs related to royalty payments for licenses obtained from third parties, which may negatively affect our financial results. In addition, we may encounter delays in product introductions while we attempt to develop alternative methods or products to avoid infringing third-party patents or proprietary rights. Defense of any lawsuit or failure to obtain any of these licenses may prevent us from commercializing products, and the prohibition of sale of any of our products may materially affect our business and our ability to gain market acceptance for our products. With respect to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 infringement litigation or threats of infringement litigation may require us to re-brand our product in order to enter into the new mark.</w:t>
      </w:r>
    </w:p>
    <w:p>
      <w:pPr>
        <w:spacing w:after="0" w:line="243"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may be compromised by disclosure during this type of litigation. In addition, during the course of this kind of litigation, there may be public announcements of the results of hearings, motions, or other interim proceedings or developments. If securities analysts or investors perceive these results to be negative, it may have a substantial adverse effect on the price of our common stock.</w:t>
      </w:r>
    </w:p>
    <w:p>
      <w:pPr>
        <w:spacing w:after="0" w:line="20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may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may incur significant costs and expenses that may adversely affect our business, operating results, or financial condition.</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have incurred net losses since our inception and may never achieve profitability. As of December 31, 2023, we had net operating loss, or NOL, carryforwards of approximately $320.7 million, $77.4 million and $113.6 million available to reduce future taxable income, if any, for federal, California and other state income tax purposes, respectively. The U.S. federal NOL carryforwards will begin to expire in 2035 while for state purposes, the NOL carryforwards begin to expire in 2024. In addition, as of December 31, 2023, we had foreign net operating loss carryforwards of approximately $71.0 million and $53.1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w:t>
      </w:r>
    </w:p>
    <w:p>
      <w:pPr>
        <w:spacing w:after="0" w:line="21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1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Changes to Internal Revenue Code Section 174 under the 2017 Tax Cuts and Jobs Act went into effect in 2022. The revised code no longer permits a deduction for research and development expenditures in the tax year that such costs are incurred. Instead, such costs must be capitalized and amortized over five or 15 years for U.S. and foreign costs, respectively. The new rules will change the utilization of our NOLs and it is uncertain whether the new rules will be repealed or modified in the future.</w:t>
      </w: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Impairment in the value of our goodwill or other intangible assets could have a material adverse effect on our operating results and financial condition.</w:t>
      </w:r>
    </w:p>
    <w:p>
      <w:pPr>
        <w:spacing w:after="0" w:line="258"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and, in turn, a charge to net income. Any such charges could have a material adverse effect on our results of operations or financial condition.</w:t>
      </w:r>
    </w:p>
    <w:p>
      <w:pPr>
        <w:spacing w:after="0" w:line="2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amounts that have been accrued.</w:t>
      </w:r>
    </w:p>
    <w:p>
      <w:pPr>
        <w:spacing w:after="0" w:line="234"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spacing w:after="0" w:line="213"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78"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11" w:lineRule="exact"/>
        <w:rPr>
          <w:sz w:val="20"/>
          <w:szCs w:val="20"/>
          <w:color w:val="auto"/>
        </w:rPr>
      </w:pPr>
    </w:p>
    <w:p>
      <w:pPr>
        <w:jc w:val="both"/>
        <w:ind w:firstLine="12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consolidated financial statements are subject to change and if our estimates or judgments relating to our critical accounting policies prove to be incorrect, our operating results could be adversely affected.</w:t>
      </w:r>
    </w:p>
    <w:p>
      <w:pPr>
        <w:spacing w:after="0" w:line="204" w:lineRule="exact"/>
        <w:rPr>
          <w:sz w:val="20"/>
          <w:szCs w:val="20"/>
          <w:color w:val="auto"/>
        </w:rPr>
      </w:pPr>
    </w:p>
    <w:p>
      <w:pPr>
        <w:jc w:val="both"/>
        <w:ind w:firstLine="397"/>
        <w:spacing w:after="0" w:line="276"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amounts reported in our consolidated financial statements and related notes. We base our estimates on historical experience and on various other assumptions that we believe to be reasonable under the circumstances, as provided in the section titled “Management’s Discussion and Analysis of Financial</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Condition and Results of Operations” in this Annual Report on Form 10-K.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plant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4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9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13"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91"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 of C2i which was a private company and was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222"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11"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1"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There is an increasing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In addition, the corporate responsibility criteria could change, which could result in greater expectations of us and cause us to undertake more costly initiatives to satisfy such new criteria. For example, in 2023, California passed three separate climate bills governing disclosure of climate house gas emissions data, climate-related financial risks, and details around emissions-related claims and carbon offsets. If we elect not to or are unable to satisfy such new criteria, investors may conclude that our policies with respect to corporate responsibility are inadequate and we may be subject to fines from regulatory authorities and may harm our reputation. We may face reputational damage in the event that we do not meet the ESG standards set by various constituencies.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94"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global macroeconomic impacts of rising interest rates or inflationary pressures;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 including the effect of additional equity we or our competitors issue as consideration for such acquisitions;</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banking system;</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changes in interest rates, and slow or negative growth of our markets.</w:t>
      </w:r>
    </w:p>
    <w:p>
      <w:pPr>
        <w:spacing w:after="0" w:line="296"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11"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91"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4"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7"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316"/>
        <w:spacing w:after="0" w:line="27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9"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staggered three-year terms. However, beginning with our annual meeting of stockholders to be held in 2024, our board of directors will be declassified over a three-year period, with each class, beginning with the directors standing for election at the annual meeting of stockholders to be held in 2024, subject to an election for a term of one year expiring at the next succeeding annual meeting of stockholders;</w:t>
      </w:r>
    </w:p>
    <w:p>
      <w:pPr>
        <w:spacing w:after="0" w:line="23"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serving in a class of directors for a term expiring at the third annual meeting of stockholders following the election of such class may be removed only for cause;</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9" w:lineRule="exact"/>
        <w:rPr>
          <w:rFonts w:ascii="Times New Roman" w:cs="Times New Roman" w:eastAsia="Times New Roman" w:hAnsi="Times New Roman"/>
          <w:sz w:val="18"/>
          <w:szCs w:val="18"/>
          <w:color w:val="auto"/>
        </w:rPr>
      </w:pPr>
    </w:p>
    <w:p>
      <w:pPr>
        <w:ind w:left="640" w:hanging="316"/>
        <w:spacing w:after="0" w:line="27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43"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1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4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Our board of directors recognizes the critical importance of maintaining the trust and confidence of our customers, patients, business partners and employees. Our board of directors is actively involved in oversight of our risk management program, and cybersecurity represents an important component of our overall approach to enterprise risk management, or ERM. Our cybersecurity policies, standards, processes and practices continue to be incorporated into our ERM program and are based on recognized frameworks established by the National Institute of Standards and Technology, the International Organization for Standardization and other applicable industry standards. In general, 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one of the critical elements of our overall ERM approach, our cybersecurity program is focused on the following key areas:</w:t>
      </w:r>
    </w:p>
    <w:p>
      <w:pPr>
        <w:spacing w:after="0" w:line="241"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As discussed in more detail under the heading “Governance,” the board of directors' oversight of cybersecurity risk management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supported by the Audit Committee of the board of directors, or the Audit Committee, our Chief Information Officer, or CIO, other members of management and relevant management committees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Collaborative Approach: </w:t>
      </w:r>
      <w:r>
        <w:rPr>
          <w:rFonts w:ascii="Times New Roman" w:cs="Times New Roman" w:eastAsia="Times New Roman" w:hAnsi="Times New Roman"/>
          <w:sz w:val="18"/>
          <w:szCs w:val="18"/>
          <w:color w:val="auto"/>
        </w:rPr>
        <w:t>We have implemented a cross-functional approach to identifying, preventing and mitigating cybersecurity threats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incidents, while also implementing controls and procedures that provide for the escalation of certain cybersecurity incidents so that decisions regarding the public disclosure and reporting of such incidents can be made by management in a timely manner.</w:t>
      </w:r>
    </w:p>
    <w:p>
      <w:pPr>
        <w:spacing w:after="0" w:line="203"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We deploy technical safeguards that are designed to protect our information systems from cybersecurity threats,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firewalls, intrusion prevention and detection systems, anti-malware functionality and access controls, which are evaluated and improved through vulnerability assessments and cybersecurity threat intelligence.</w:t>
      </w:r>
    </w:p>
    <w:p>
      <w:pPr>
        <w:spacing w:after="0" w:line="203"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Physical Safeguards: </w:t>
      </w:r>
      <w:r>
        <w:rPr>
          <w:rFonts w:ascii="Times New Roman" w:cs="Times New Roman" w:eastAsia="Times New Roman" w:hAnsi="Times New Roman"/>
          <w:sz w:val="18"/>
          <w:szCs w:val="18"/>
          <w:color w:val="auto"/>
        </w:rPr>
        <w:t>We deploy physical safeguards such as facility access control via keycard access and security cameras. In addition, workstation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device security is controlled with proper logging and identity access controls to protect our physical assets.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Administrative Safeguards: </w:t>
      </w:r>
      <w:r>
        <w:rPr>
          <w:rFonts w:ascii="Times New Roman" w:cs="Times New Roman" w:eastAsia="Times New Roman" w:hAnsi="Times New Roman"/>
          <w:sz w:val="18"/>
          <w:szCs w:val="18"/>
          <w:color w:val="auto"/>
        </w:rPr>
        <w:t>We have implemented policies, security standards and procedures to ensure proper user and protection of our assets.</w:t>
      </w:r>
    </w:p>
    <w:p>
      <w:pPr>
        <w:spacing w:after="0" w:line="245" w:lineRule="exact"/>
        <w:rPr>
          <w:sz w:val="20"/>
          <w:szCs w:val="20"/>
          <w:color w:val="auto"/>
        </w:rPr>
      </w:pPr>
    </w:p>
    <w:p>
      <w:pPr>
        <w:jc w:val="both"/>
        <w:ind w:firstLine="635"/>
        <w:spacing w:after="0" w:line="271" w:lineRule="auto"/>
        <w:rPr>
          <w:sz w:val="20"/>
          <w:szCs w:val="20"/>
          <w:color w:val="auto"/>
        </w:rPr>
      </w:pPr>
      <w:r>
        <w:rPr>
          <w:rFonts w:ascii="Times New Roman" w:cs="Times New Roman" w:eastAsia="Times New Roman" w:hAnsi="Times New Roman"/>
          <w:sz w:val="18"/>
          <w:szCs w:val="18"/>
          <w:u w:val="single" w:color="auto"/>
          <w:color w:val="auto"/>
        </w:rPr>
        <w:t>Education and Awareness:</w:t>
      </w:r>
      <w:r>
        <w:rPr>
          <w:rFonts w:ascii="Times New Roman" w:cs="Times New Roman" w:eastAsia="Times New Roman" w:hAnsi="Times New Roman"/>
          <w:sz w:val="18"/>
          <w:szCs w:val="18"/>
          <w:color w:val="auto"/>
        </w:rPr>
        <w:t xml:space="preserve"> We provide regular, mandatory training for personnel regarding cybersecurity threats to help equip our personnel with tools to address such threats, and to communicate our evolving information security policies, standards, processes and practices.</w:t>
      </w:r>
    </w:p>
    <w:p>
      <w:pPr>
        <w:spacing w:after="0" w:line="194" w:lineRule="exact"/>
        <w:rPr>
          <w:sz w:val="20"/>
          <w:szCs w:val="20"/>
          <w:color w:val="auto"/>
        </w:rPr>
      </w:pPr>
    </w:p>
    <w:p>
      <w:pPr>
        <w:jc w:val="both"/>
        <w:ind w:firstLine="635"/>
        <w:spacing w:after="0" w:line="271" w:lineRule="auto"/>
        <w:rPr>
          <w:sz w:val="20"/>
          <w:szCs w:val="20"/>
          <w:color w:val="auto"/>
        </w:rPr>
      </w:pPr>
      <w:r>
        <w:rPr>
          <w:rFonts w:ascii="Times New Roman" w:cs="Times New Roman" w:eastAsia="Times New Roman" w:hAnsi="Times New Roman"/>
          <w:sz w:val="18"/>
          <w:szCs w:val="18"/>
          <w:u w:val="single" w:color="auto"/>
          <w:color w:val="auto"/>
        </w:rPr>
        <w:t>Incident Response and Recovery Planning:</w:t>
      </w:r>
      <w:r>
        <w:rPr>
          <w:rFonts w:ascii="Times New Roman" w:cs="Times New Roman" w:eastAsia="Times New Roman" w:hAnsi="Times New Roman"/>
          <w:sz w:val="18"/>
          <w:szCs w:val="18"/>
          <w:color w:val="auto"/>
        </w:rPr>
        <w:t xml:space="preserve"> We have established and maintain a cybersecurity incident response plan that addresses our response to a cybersecurity incident.</w:t>
      </w:r>
    </w:p>
    <w:p>
      <w:pPr>
        <w:spacing w:after="0" w:line="192" w:lineRule="exact"/>
        <w:rPr>
          <w:sz w:val="20"/>
          <w:szCs w:val="20"/>
          <w:color w:val="auto"/>
        </w:rPr>
      </w:pPr>
    </w:p>
    <w:p>
      <w:pPr>
        <w:jc w:val="both"/>
        <w:ind w:firstLine="397"/>
        <w:spacing w:after="0" w:line="303" w:lineRule="auto"/>
        <w:rPr>
          <w:sz w:val="20"/>
          <w:szCs w:val="20"/>
          <w:color w:val="auto"/>
        </w:rPr>
      </w:pPr>
      <w:r>
        <w:rPr>
          <w:rFonts w:ascii="Times New Roman" w:cs="Times New Roman" w:eastAsia="Times New Roman" w:hAnsi="Times New Roman"/>
          <w:sz w:val="17"/>
          <w:szCs w:val="17"/>
          <w:b w:val="1"/>
          <w:bCs w:val="1"/>
          <w:color w:val="auto"/>
        </w:rPr>
        <w:t xml:space="preserve">Third-Party Risk Management: </w:t>
      </w:r>
      <w:r>
        <w:rPr>
          <w:rFonts w:ascii="Times New Roman" w:cs="Times New Roman" w:eastAsia="Times New Roman" w:hAnsi="Times New Roman"/>
          <w:sz w:val="17"/>
          <w:szCs w:val="17"/>
          <w:color w:val="auto"/>
        </w:rPr>
        <w:t>We maintain a risk-based approach to identifying and overseeing cybersecurity risks presented by third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vendors, service providers and other external users of our systems that could adversely impact our business in the event of a cybersecurity incident.</w:t>
      </w:r>
    </w:p>
    <w:p>
      <w:pPr>
        <w:spacing w:after="0" w:line="170"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engage in the periodic assessment and testing of our policies, standards, processes and practices that are designed to address cybersecurity threats and incidents. These efforts include a range of activities, including audits, assessments, vulnerability testing and other exercises focused on evaluating the effectiveness of our cybersecurity measures and planning. We regularly engage third parties to perform assessments on our cybersecurity measures. The results of such assessments, audits and reviews are reported to the Audit Committee and the board of directors, and we adjust our cybersecurity policies, standards, processes and practices as necessary based on the information provided by these assessments, audits and reviews.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4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board of directors, in coordination with the Audit Committee, oversees our management of risks arising from cybersecurity threats. The board of directors and the Audit Committee each receive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The board of directors and the Audit Committee also receive prompt and timely information regarding any cybersecurity incident that meets established reporting thresholds, as well as ongoing updates regarding any such incident until it has been addressed. On an annual basis, the board of directors and the Audit Committee discuss our approach to cybersecurity risk management with the members of management, including the CIO.</w:t>
      </w:r>
    </w:p>
    <w:p>
      <w:pPr>
        <w:spacing w:after="0" w:line="21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Cybersecurity Executive Leadership Team is composed of the CIO, in coordination with our Chief Executive Officer, or CEO, Chief Financial Officer, or CFO, Chief Compliance Officer and General Counsel, or GC. The team works collaboratively across our company to design and implement programs to protect our information systems from cybersecurity threats and to appropriately respond to any cybersecurity incidents in accordance with our cybersecurity incident response plan. To facilitate the success of our cybersecurity risk management program, multidisciplinary teams throughout our company are engaged to address cybersecurity threats and to respond to cybersecurity incidents. Through ongoing communications with these teams, the CIO and the Cybersecurity Executive Leadership Team monitor the prevention, detection, mitigation and remediation of cybersecurity threats and incidents in real time, and report such threats and incidents to the Audit Committee when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Our CIO brings more than 20 years of information and operational leadership experience in the life sciences and technology industries to his role at Veracyte. He holds a B.B.A. and an M.B.A from the University of San Diego. Our VP, Global IT Operation oversees IT operations for all sites globally, and has more than 20 years’ of experience. He holds a M.S. in Business Technology Management, and a B.S. in Computer Applications and Networks from Coleman University. Our Director of Cybersecurity has over 25 years’ of experience in enhancing digital security and driving technological innovation. He holds a B.Sc. (Honors) in Computer Information Systems from the National University along with several industry related Cybersecurity certifications.</w:t>
      </w:r>
    </w:p>
    <w:p>
      <w:pPr>
        <w:spacing w:after="0" w:line="19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Cybersecurity threats, including as a result of any previous cybersecurity incidents, have not, to date, materially affected us, including our business strategy, results of operations or financial condition. If we were to experience a material cybersecurity incident in the future, such incident may have an adverse effect, including on our business operations, operating results, or financial condition. For more information regarding cybersecurity risks that we face and the related potential impacts on our business, see the risk factor titled “Security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1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lease office and laboratory facilities in South San Francisco (approximately 59,000 square feet) and San Diego (approximately 50,900 square feet), California; Austin, Texas (approximately 10,400 square feet); and Marseille, France (approximately 31,400 square feet). We believe our facilities are in good condition and adequate for their current use. We may expand or improve our current facilities or add additional facilities as appropriate to meet the needs of our operations.</w:t>
      </w:r>
    </w:p>
    <w:p>
      <w:pPr>
        <w:spacing w:after="0" w:line="2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5"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We may from time to time become involved in legal proceedings arising in the ordinary course of business.</w:t>
      </w:r>
    </w:p>
    <w:p>
      <w:pPr>
        <w:spacing w:after="0" w:line="19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"VCYT".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45"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As of February 23, 2024, there were 38 holders of record of our common stock. Because many of our shares of common stock are held in street name by brokers and other nominees on behalf of stockholders, we are unable to estimate the total number of beneficial owners of our commons stock represented by these holders of record.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45"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we may also enter into credit agreements or other borrowing arrangements in the future that may restrict our ability to declare or pay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 and Use of Proceeds</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5"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following information is not deemed to be "soliciting material" or to be "filed" with the Securities and Exchange Commission or subject to Regulation 14A or 14C under the Securities Exchange Act of 1934, as amended, or the Exchange Act, or to the liabilities of Section 18 of the Exchange Act, and will not be deemed to be incorporated by reference into any filing under the Securities Act or the Exchange Act, except to the extent we specifically incorporate it by reference into such a filing.</w:t>
      </w:r>
    </w:p>
    <w:p>
      <w:pPr>
        <w:spacing w:after="0" w:line="209"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of our common stock to the Nasdaq Global Market Index and the Nasdaq Biotechnology Index. The graph and table below assume that $100 was invested on the starting date and dividends, if any, were reinvested on the date of payment without payment of any commissions. The comparisons in the table are required by the SEC and are not intended to forecast or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144145</wp:posOffset>
            </wp:positionV>
            <wp:extent cx="5748655" cy="3268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8655" cy="326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2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Veracyte, Inc.</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222.00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389.00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328.00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189.00</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r>
      <w:tr>
        <w:trPr>
          <w:trHeight w:val="225"/>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Global Market Index</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135.00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194.00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236.00</w:t>
            </w:r>
          </w:p>
        </w:tc>
        <w:tc>
          <w:tcPr>
            <w:tcW w:w="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158.00</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125.00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158.00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158.00</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142.00</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w:t>
            </w:r>
          </w:p>
        </w:tc>
      </w:tr>
    </w:tbl>
    <w:p>
      <w:pPr>
        <w:spacing w:after="0" w:line="29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consolidated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accelerating time to appropriate treatment, thereby improving outcomes for patients all over the world.</w:t>
      </w:r>
    </w:p>
    <w:p>
      <w:pPr>
        <w:spacing w:after="0" w:line="7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We currently offer tests in thyroid cancer (Afirma); prostate cancer (Decipher Prostate); breast cancer (Prosigna); bladder cancer (Decipher Bladder); and interstitial lung diseases (Envisia). Our Percepta Nasal Swab test is being run in our CLIA lab in support of clinical studies and our test for lymphoma is in development as a companion diagnostic.</w:t>
      </w:r>
    </w:p>
    <w:p>
      <w:pPr>
        <w:spacing w:after="0" w:line="7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Decipher Prostate and Percepta Nasal Swab tests as IVD tests. We believe our broad menu of advanced diagnostic tests, combined with our ability to deliver them globally, differentiates us in the diagnostics industry.</w:t>
      </w:r>
    </w:p>
    <w:p>
      <w:pPr>
        <w:spacing w:after="0" w:line="82"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February 2024, we acquired C2i, a minimal residual disease, or MRD, detection company, which will expand our role across the patient cancer journey, moving from providing early decision support to following the patient through treatment, where we will be able to help monitor the success of a therapeutic or surgical intervention, and determine the best course of action for each patient.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3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Recent interest rate increases and inflation in the United States and other markets globally, as well as turmoil in the global banking and finance system, have heightened the risk of an economic downturn or recession and volatility and have resulted in recent volatility in the capital or credit markets in the United States and globally. Moreover, the continued fluctuation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the regional conflicts like those between Russia and Ukraine have increased the risk of disruptions to energy supplies in Europe, which may impact our ability to manufacture tests or perform services from our facility in Marseille, France, and other conflicts may adversely impact our business and operating results. Finally, the ongoing conflict in the Middle East may disrupt our Israel business operations and employees which we acquired through our acquisition of C2i.</w:t>
      </w:r>
    </w:p>
    <w:p>
      <w:pPr>
        <w:spacing w:after="0" w:line="21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extent of the macroeconomic factors on our future liquidity and operational performance will depend on certain developments, the impact on our customers' operations; the impact to our sales and renewal cycles; changes in central bank policies and interest rates; rates of inflation; and changes in foreign currency exchange rates. See "Risk Factors"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1" w:lineRule="exact"/>
        <w:rPr>
          <w:sz w:val="20"/>
          <w:szCs w:val="20"/>
          <w:color w:val="auto"/>
        </w:rPr>
      </w:pPr>
    </w:p>
    <w:p>
      <w:pPr>
        <w:ind w:firstLine="397"/>
        <w:spacing w:after="0" w:line="271" w:lineRule="auto"/>
        <w:rPr>
          <w:sz w:val="20"/>
          <w:szCs w:val="20"/>
          <w:color w:val="auto"/>
        </w:rPr>
      </w:pPr>
      <w:r>
        <w:rPr>
          <w:rFonts w:ascii="Times New Roman" w:cs="Times New Roman" w:eastAsia="Times New Roman" w:hAnsi="Times New Roman"/>
          <w:sz w:val="18"/>
          <w:szCs w:val="18"/>
          <w:color w:val="auto"/>
        </w:rPr>
        <w:t>Our performance depends on the number of tests that we perform and report as completed in our CLIA-certified laboratories and Prosigna tests purchased by our customers. Factors impacting the number of tests that we report as completed include, but are not limited to:</w:t>
      </w:r>
    </w:p>
    <w:p>
      <w:pPr>
        <w:spacing w:after="0" w:line="168" w:lineRule="exact"/>
        <w:rPr>
          <w:sz w:val="20"/>
          <w:szCs w:val="20"/>
          <w:color w:val="auto"/>
        </w:rPr>
      </w:pPr>
    </w:p>
    <w:p>
      <w:pPr>
        <w:ind w:left="960" w:hanging="319"/>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2" w:lineRule="exact"/>
        <w:rPr>
          <w:rFonts w:ascii="Times New Roman" w:cs="Times New Roman" w:eastAsia="Times New Roman" w:hAnsi="Times New Roman"/>
          <w:sz w:val="18"/>
          <w:szCs w:val="18"/>
          <w:color w:val="auto"/>
        </w:rPr>
      </w:pPr>
    </w:p>
    <w:p>
      <w:pPr>
        <w:ind w:left="960" w:hanging="319"/>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4" w:lineRule="exact"/>
        <w:rPr>
          <w:rFonts w:ascii="Times New Roman" w:cs="Times New Roman" w:eastAsia="Times New Roman" w:hAnsi="Times New Roman"/>
          <w:sz w:val="18"/>
          <w:szCs w:val="18"/>
          <w:color w:val="auto"/>
        </w:rPr>
      </w:pPr>
    </w:p>
    <w:p>
      <w:pPr>
        <w:ind w:left="960" w:hanging="319"/>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4" w:lineRule="exact"/>
        <w:rPr>
          <w:rFonts w:ascii="Times New Roman" w:cs="Times New Roman" w:eastAsia="Times New Roman" w:hAnsi="Times New Roman"/>
          <w:sz w:val="18"/>
          <w:szCs w:val="18"/>
          <w:color w:val="auto"/>
        </w:rPr>
      </w:pPr>
    </w:p>
    <w:p>
      <w:pPr>
        <w:ind w:left="960" w:hanging="319"/>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4" w:lineRule="exact"/>
        <w:rPr>
          <w:rFonts w:ascii="Times New Roman" w:cs="Times New Roman" w:eastAsia="Times New Roman" w:hAnsi="Times New Roman"/>
          <w:sz w:val="18"/>
          <w:szCs w:val="18"/>
          <w:color w:val="auto"/>
        </w:rPr>
      </w:pPr>
    </w:p>
    <w:p>
      <w:pPr>
        <w:ind w:left="960" w:hanging="319"/>
        <w:spacing w:after="0" w:line="245"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or our customers to perform our tests and report the results, including as a result of supply chain challenges (including quality of reagents);</w:t>
      </w:r>
    </w:p>
    <w:p>
      <w:pPr>
        <w:ind w:left="960" w:hanging="319"/>
        <w:spacing w:after="0" w:line="245"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timing of industry conferences and timing of when patient deductibles are exceeded, which also impacts the reimbursement we receive from insurers; and</w:t>
      </w:r>
    </w:p>
    <w:p>
      <w:pPr>
        <w:ind w:left="960" w:hanging="319"/>
        <w:spacing w:after="0" w:line="251"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1"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5" w:lineRule="exact"/>
        <w:rPr>
          <w:sz w:val="20"/>
          <w:szCs w:val="20"/>
          <w:color w:val="auto"/>
        </w:rPr>
      </w:pPr>
    </w:p>
    <w:p>
      <w:pPr>
        <w:jc w:val="both"/>
        <w:ind w:firstLine="397"/>
        <w:spacing w:after="0" w:line="259"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1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7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4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Our products consist of the Prosigna breast cancer assay, the nCounter Analysis System,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enter into arrangements to license or provide access to our assets or services, including clinical services, research and development, contract manufacturing and development, as well as other services. Such arrangements may require us to deliver various rights, data, services, manufactured diagnostic test kits, access and/or testing services to partner biopharmaceutical and other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are recorded as offsets against research and development expense or cost of biopharmaceutical and other revenue in our consolidated statements of operations.</w:t>
      </w:r>
    </w:p>
    <w:p>
      <w:pPr>
        <w:spacing w:after="0" w:line="21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on activities to secure clinical trial results in support of our testing and product development portfolio and on-market tests, as well as clinical validation and utilization studies.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Through December 31, 2023, we derived most of our revenue from the sale of Decipher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tcPr>
          <w:p>
            <w:pPr>
              <w:spacing w:after="0"/>
              <w:rPr>
                <w:sz w:val="16"/>
                <w:szCs w:val="16"/>
                <w:color w:val="auto"/>
              </w:rPr>
            </w:pPr>
          </w:p>
        </w:tc>
      </w:tr>
      <w:tr>
        <w:trPr>
          <w:trHeight w:val="24"/>
        </w:trPr>
        <w:tc>
          <w:tcPr>
            <w:tcW w:w="64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5"/>
        </w:trPr>
        <w:tc>
          <w:tcPr>
            <w:tcW w:w="644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5"/>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UnitedHealthcare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6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Our cost of biopharmaceutical and other revenue are the costs of performing activities under arrangements that require us to perform research and development, commercialization, contract manufacturing and development, and previously included contract testing services on behalf of a customer. This cost is mainly composed of compensation expense, manufacturing and laboratory supplies and pass-through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1"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collect clinical samples and conduct clinical studies to develop and support our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the years ended December 31, 2023 and December 31, 2022 in support of our early-stage products, including Percepta Nasal Swab, as well as the development of new IVD products. Going forward, we expect to incur significant expense as we invest in the development of our innovation engine, early-stage products including our MRD tests, required clinical studies and the development of current tests on multiple IVD platforms.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1"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120 representatives is organized by business unit in the United States, with separate teams calling on thyroid cancer, urologic cancers, and pulmonology physicians. The business units have dedicated marketing support, as well as a marketing operations team that serves the commercial organization broadly. Prosigna sales outside of the United States are led by country managers that call on laboratories and breast cancer oncologists and have dedicated marketing support.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General and administrative expenses include costs related to the acquisitions of Decipher Biosciences and HalioDx, which were included in general and administrative compensation expense and professional fees. We expect general and administrative expenses to continue to increase as we build our infrastructure to scale revenue growth, and to decline as a percentage of revenue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4 to 15 years, using the straight-line method.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is expected to be approximately $13.5 million per year through 2024 and decrease thereafter.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1"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Other income (loss), net consists primarily of interest income from our cash held in interest bearing accounts, realized and unrealized gains and losses on foreign currency transactions, and French research tax credits. The French research tax credits (crédit d’impôt recherche, or CIR) are generated by our wholly owned subsidiary, Veracyte SAS, in connection with its research efforts performed in Marseille, France.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5"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audited consolidated financial statements, which have been prepared in accordance with United States generally accepted accounting principles, or U.S. GAAP. The preparation of the consolidated financial statements requires us to make estimates and assumptions that affect the reported amounts of assets and liabilities and the disclosure of contingent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Testing Revenue</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recognize revenue from the sale of our tests performed for customers, including patients and institutions, at the time test results are reported to physicians. Most tests requested by customers are sold without a written agreement; however, we determine that an implied contract exists with our customers for whom a physician will order the test. We identify each sale of our test to a customer as a single performance obligation. A stated contract price does not exist and the transaction price for each implied contract with our customer represents variable consideration. We estimate the variable consideration under the portfolio approach and consider the historical reimbursement data from third-party commercial and governmental payers and patients, as well as known or anticipated reimbursement trends not reflected in the historical data. We monitor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We analyze actual cash collections over the expected reimbursement period and compare it with the estimated variable consideration for each portfolio and any difference is recognized as an adjustment to estimated revenue after the expected reimbursement period, subject to assessment of the risk of future revenue reversal.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21"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Our products consist of the Prosigna breast cancer assay, the nCounter Analysis System, related diagnostic kits, and services. We recognize product revenue when control of the promised goods is transferred to our customers, in an amount that reflects the consideration expected to be received in exchange for those products. Shipping and handling costs incurred for product shipments are charged to our customers and included in product revenue. Revenues are presented net of the taxes that are collected from customers and remitted to governmental authorities.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and Other Revenues</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For biopharmaceutical and other revenue, we develop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market price, forecasted revenues or costs, development timelines, discount rates, and probabilities of technical and regulatory success. We evaluate each performance obligation to determine if they can be satisfied at a point in time or over time, and we measure the services delivered to the collaborative partner which are periodically reviewed based on the progress of the related program. For licenses that are bundled with other promises, we utilize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19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(variable consideration), we evaluate whether the milestones are considered probable of being reached and estimate the amounts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we re-evaluate the probability of achievement of milestones that are within either party’s control, such as operational developmental milestones and any related constraint, and if necessary, adjust our estimate of the overall transaction price. Any such adjustments are recorded on a cumulative catch-up basis, which would affect revenues and earnings in the period of adjustment. Revisions to our estimate of the transaction price may also result in negative revenues and earnings in the period of adjustment.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Significant Accounting Policies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We first determine whether a set of assets acquired and liabilities assumed constitute a business and should be accounted for as a business combination. If the assets acquired are not a business, we account for the transaction as 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earnings. The estimation of the fair value of the contingent consideration is based on the present value of the expected payments calculated by assessing the likelihood of when the related milestones would be achieved, discounted using our estimated borrowing 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have acquired finite-lived and indefinite-lived intangible assets in business combinations. These intangible assets are measured at their respective fair values as of the acquisition date and are subject to potential adjustments within the measurement period, which may be up to one year from the acquisition dates. The fair values of the intangible assets are generally determined using income approaches such as the multi-period excess earnings method, the with-and-without method and the relief from royalty method. These income approaches are based on various estimates for each asset including the estimate of future cash flows including, revenue assumptions (such as projected testing volumes, growth rates), discount rates and the expected economic life/obsolescence factors of the respective assets. Our finite-lived intangible assets are being amortized using the straight-line method over their estimated useful lives of 4 to 15 years, based on management's estimate of the period over which their economic benefits will be realized, product life and patent life. Our in-process research and development, or IPR&amp;D, is not amortized until it becomes commercially viable and placed in service. At the time when the IPR&amp;D is placed in service, we will determine a useful life. We test these intangible assets for impairment on an annual basis or when events or circumstances indicate a reduction in the fair value below their carrying amounts.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7"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Goodwill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recognized during the years ended December 31, 2023, 2022, or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Performance-based stock units, which vest upon the achievement of certain performance conditions, are subject to the employees’ continued service with us. The probability of vesting is assessed at each reporting period and compensation cost is adjusted based on this probability assessment.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7"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Supplies consists of materials and reagents consumed in the performance of testing services. Inventory consists of raw materials consumed in the contract manufacturing process as well as finished and semi-finished components used in the assembly of diagnostic kits related to product sales. Inventory is stated at the lower of cost or net realizable value on a weighted average basis. We periodically analyze supply and inventory levels and expiration dates, and write down supply or inventory that has become obsolete, that has a cost basis in excess of its net realizable value, or in excess of expected sales requirements as cost of revenue. We record an allowance for excess or obsolete supplies and inventory using an estimate based on historical trends and evaluation of near-term expirations.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7"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Operating leases are included in right-of-use assets - operating leases and operating lease liabilities in our consolidated balance sheets, representing our right to use an underlying asset for the lease term and the obligation to make lease payments arising from the lease. Right-of-use, or ROU, assets and lease liabilities are recognized at commencement based on the present value of lease payments over the lease term. We use our incremental borrowing rate based on the estimated rate of interest for collateralized borrowing over a similar term of the lease payments. The ROU assets also includes any lease payments made and is adjusted for lease incentives. Lease terms may include options to extend or terminate the lease which are recognized when it is reasonably certain that we will exercise that option. Lease expense is recognized on a straight-line basis over the lease terms. Lease and non-lease components are accounted for as a single lease component. Financing leases are immaterial and are included in property and equipment, net and other liabilities in the consolidated balance sheets. Leases with terms of 12 months or less are not recorded on our balance sheet.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functional currency of our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income (loss), net, on the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Comprehensive loss is the change in stockholders’ equity from transactions and other events and circumstances other than those resulting from investments by stockholders and distributions to stockholders. Our comprehensive loss includes our net loss and gains and losses from the foreign currency translation of the assets and liabilities of our foreign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 (in thousands of dollars, except percentages and test volume)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5"/>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Testing revenue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326,542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75,998</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250,544</w:t>
            </w:r>
          </w:p>
        </w:tc>
      </w:tr>
      <w:tr>
        <w:trPr>
          <w:trHeight w:val="225"/>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r>
      <w:tr>
        <w:trPr>
          <w:trHeight w:val="225"/>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Biopharmaceutical and other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33,360</w:t>
            </w:r>
          </w:p>
        </w:tc>
      </w:tr>
      <w:tr>
        <w:trPr>
          <w:trHeight w:val="21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296,536</w:t>
            </w: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testing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75,317</w:t>
            </w:r>
          </w:p>
        </w:tc>
      </w:tr>
      <w:tr>
        <w:trPr>
          <w:trHeight w:val="225"/>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r>
      <w:tr>
        <w:trPr>
          <w:trHeight w:val="225"/>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biopharmaceutical and other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w:t>
            </w:r>
          </w:p>
        </w:tc>
      </w:tr>
      <w:tr>
        <w:trPr>
          <w:trHeight w:val="225"/>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40,603</w:t>
            </w:r>
          </w:p>
        </w:tc>
      </w:tr>
      <w:tr>
        <w:trPr>
          <w:trHeight w:val="225"/>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97,560</w:t>
            </w:r>
          </w:p>
        </w:tc>
      </w:tr>
      <w:tr>
        <w:trPr>
          <w:trHeight w:val="225"/>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73,200</w:t>
            </w:r>
          </w:p>
        </w:tc>
      </w:tr>
      <w:tr>
        <w:trPr>
          <w:trHeight w:val="225"/>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5"/>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21,354</w:t>
            </w:r>
          </w:p>
        </w:tc>
      </w:tr>
      <w:tr>
        <w:trPr>
          <w:trHeight w:val="21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109,229</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337,617</w:t>
            </w: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(41,081)</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1"/>
        </w:trPr>
        <w:tc>
          <w:tcPr>
            <w:tcW w:w="64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Other Operating Data:</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Diagnostic tests reported</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93,340</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tests sold</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test volume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126,977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1"/>
        </w:trPr>
        <w:tc>
          <w:tcPr>
            <w:tcW w:w="6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25,928</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Revenue increased $64.5 million, or 22%, for the year ended December 31, 2023 compared to 2022. This was primarily due to a $76.0 million increase in testing revenue driven by a 24% volume increase, partially offset by a $14.4 million decrease in our Biopharmaceutical and other revenue. Testing revenue and volume reported for the year ended December 31, 2023 increased primarily due to Afirma and Decipher Prostate tests as well as a $7.0 million impact from improved cash collections compared to the prior year. Product revenue increased $3.0 million for the year ended December 31, 2023 compared to 2022, driven primarily by product tests kits sold. Biopharmaceutical and other revenue decreased by $14.4 million for the year ended December 31, 2023 driven primarily by the reduction of customer projects given overall spending constraints across the industry.</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revenue for the years ended December 31, 2022 and 2021 is included in Item 8 of Part II of the Annual Report on Form 10-K filed with the Securities and Exchange Commission dated March 1, 2023.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2023 and 2022 was as follows (in thousands of dollars, except percentages):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
        </w:trPr>
        <w:tc>
          <w:tcPr>
            <w:tcW w:w="6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Laboratory expense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37,502</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Sample collection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17,018</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25"/>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w:t>
            </w:r>
          </w:p>
        </w:tc>
      </w:tr>
      <w:tr>
        <w:trPr>
          <w:trHeight w:val="24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r>
      <w:tr>
        <w:trPr>
          <w:trHeight w:val="225"/>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5"/>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biopharmaceutical and other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expense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w:t>
            </w:r>
          </w:p>
        </w:tc>
      </w:tr>
      <w:tr>
        <w:trPr>
          <w:trHeight w:val="225"/>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5"/>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5"/>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r>
      <w:tr>
        <w:trPr>
          <w:trHeight w:val="225"/>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Allocations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Cost of testing revenue increased $13.6 million, or 18.1%, for the year ended December 31, 2023 compared to 2022. The increase in cost of testing revenue is due to increased volume in testing, primarily related to Afirma and Decipher Prostate.</w:t>
      </w:r>
    </w:p>
    <w:p>
      <w:pPr>
        <w:spacing w:after="0" w:line="19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Cost of product revenue is related to sales of Prosigna and nCounter Analysis Systems. Cost of product revenue increased $0.8 million, or 11%, for the year ended December 31, 2023 compared to the same period in 2022, driven by increased product test volume.</w:t>
      </w:r>
    </w:p>
    <w:p>
      <w:pPr>
        <w:spacing w:after="0" w:line="19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incurred by our employees working on customer projects and laboratory supplies and pass-through expenses incurred on these projects. Cost of biopharmaceutical and other revenue decreased by $3.1 million driven by reductions of variable expenses related to projects.</w:t>
      </w:r>
    </w:p>
    <w:p>
      <w:pPr>
        <w:spacing w:after="0" w:line="20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cost of revenue for the years ended December 31, 2022 and 2021 are included in Item 8 of Part II of the Annual Report on Form 10-K filed with the Securities and Exchange Commission dated 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2023 and 2022 was as follows (in thousands of dollars, except percentages):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29,180</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27,383</w:t>
            </w:r>
          </w:p>
        </w:tc>
      </w:tr>
      <w:tr>
        <w:trPr>
          <w:trHeight w:val="225"/>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25"/>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5"/>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25"/>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3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243"/>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Research and development expense increased $16.7 million, or 41%, for the year ended December 31, 2023 compared to 2022. The increase in compensation expense was primarily due to annual merit compensation increases. The increase in direct research and development expense was primarily related to our on-going clinical studies including, but not limited to, furthering the support and clinical utility evidence of our Percepta Nasal Swab test and urology products. The increase in other expenses was primarily driven by increased support in developing our IVD strategy including a one-time technology access fee of $3.5 million dollars to develop our IVD kitted tests on the Illumina NextSeqDx sequencing platform.</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research and development expense for the years ended December 31, 2022 and 2021 are included in Item 8 of Part II of the Annual Report on Form 10-K filed with the Securities and Exchange Commission dated March 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2023 and 2022 was as follows (in thousands of dollars, except percentages):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74,886</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72,258</w:t>
            </w:r>
          </w:p>
        </w:tc>
      </w:tr>
      <w:tr>
        <w:trPr>
          <w:trHeight w:val="225"/>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marketing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13,485</w:t>
            </w:r>
          </w:p>
        </w:tc>
      </w:tr>
      <w:tr>
        <w:trPr>
          <w:trHeight w:val="225"/>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218"/>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97,560</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Selling and marketing expense increased $3.9 million, or 4%, for the year ended December 31, 2023 compared to 2022. The increase in compensation expense was primarily due to additional employees hired and related higher commissions to support the growth of Afirma and Decipher test volume. The increase in other expenses was primarily due to increased travel and entertainment to also support growth of Afirma and the Decipher test volume. The increases were partially offset by reduced expenses related to Immunoscore and Percepta support.</w:t>
      </w:r>
    </w:p>
    <w:p>
      <w:pPr>
        <w:spacing w:after="0" w:line="20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8"/>
          <w:szCs w:val="18"/>
          <w:color w:val="auto"/>
        </w:rPr>
        <w:t>Comparison of selling and marketing expense for the years ended December 31, 2022 and 2021 are included in Item 8 of Part II of the Annual Report on Form 10-K filed with the Securities and Exchange Commission dated 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2023 and 2022 was as follows (in thousands of dollars, except percentages):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24 %</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51,357</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25"/>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25"/>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28,387</w:t>
            </w:r>
          </w:p>
        </w:tc>
      </w:tr>
      <w:tr>
        <w:trPr>
          <w:trHeight w:val="225"/>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Allocations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42 %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(14,605)</w:t>
            </w:r>
          </w:p>
        </w:tc>
      </w:tr>
      <w:tr>
        <w:trPr>
          <w:trHeight w:val="243"/>
        </w:trPr>
        <w:tc>
          <w:tcPr>
            <w:tcW w:w="6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7"/>
          <w:szCs w:val="17"/>
          <w:color w:val="auto"/>
        </w:rPr>
        <w:t>General and administrative expense increased $13.0 million, or 18%, for the year ended December 31, 2023 compared to 2022. Compensation expense primarily increased due to $8.0 million in incremental functional headcount and variable compensation plan spend along with a $2.7 million increase in stock-based compensation, inclusive of $1.4 million of stock-based compensation expense related to the departure of our former executive chair in June 2023. Occupancy costs increased due to our San Diego facilities expansion while other expenses increased due to infrastructure buildout and expenses related to the C2i acquisition. These were partially offset by the $5.5 million impact from a revaluation of contingent consideration in relation to our IVD strategy expansion. General and administrative expenses related to occupancy costs and information technology costs are allocated monthly to general and administrative expense, selling and marketing expense, research and development expense, and cost of revenue based on the headcount and employee location.</w:t>
      </w:r>
    </w:p>
    <w:p>
      <w:pPr>
        <w:spacing w:after="0" w:line="20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general and administrative expense for the years ended December 31, 2022 and 2021 are included in Item 8 of Part II of the Annual Report on Form 10-K filed with the Securities and Exchange Commission dated March 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45"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During 2023, we moved to adopt a multi-platform IVD strategy that will enable us to more rapidly reach more patients globally with our tests. As a result, we reviewed our long-lived assets for impairment and recorded a $34.9 million impairment charge associated with the nCounter Dx license finite-lived intangible asset in the year ended December 31, 2023. In addition, during 2023, due to a significant change in the business environment, we recorded a $32.0 million impairment charge associated with HalioDx biopharmaceutical services developed technology, customer relationships and customer backlog finite-lived intangible assets. Impairment of long-lived assets for the year ended December 31, 2023 also includes $1.4 million of impairment of right-of-use and fixed assets in relation to exiting our Richmond facility.</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During 2022, we decided to cease commercialization efforts related to our stand-alone Immunoscore Colon Dx commercial offering. As a result, we reviewed our long-lived assets for impairment and recorded a $3.3 million impairment charge associated with our HalioDx Immunoscore Colon Dx developed technology finite-lived intangible asset for the year ended December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Other income, net, increased $4.5 million for the year ended December 31, 2023 compared to 2022, primarily due to an increase of $5.4 million of interest and dividend income partially offset by a decrease of $1.9 million related to reserves established for the French research tax credit receivable and revisions to the current year estimate.</w:t>
      </w:r>
    </w:p>
    <w:p>
      <w:pPr>
        <w:spacing w:after="0" w:line="206"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Comparison of Other income, net, for the years ended December 31, 2022 and 2021 are included in Item 8 of Part II of the Annual Report on Form 10-K filed with the Securities and Exchange Commission dated 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From inception through December 31, 2023, we have been financed primarily through net proceeds from the sale of our equity securities. We have incurred net losses since our inception. For the years ended December 31, 2023, 2022 and 2021, we had net losses of $74.4 million, $36.6 million and $75.6 million, respectively, and we expect to incur additional losses in 2024 and potentially in future years. As of December 31, 2023, we had an accumulated deficit of $468.1 million.</w:t>
      </w:r>
    </w:p>
    <w:p>
      <w:pPr>
        <w:spacing w:after="0" w:line="209" w:lineRule="exact"/>
        <w:rPr>
          <w:sz w:val="20"/>
          <w:szCs w:val="20"/>
          <w:color w:val="auto"/>
        </w:rPr>
      </w:pPr>
    </w:p>
    <w:p>
      <w:pPr>
        <w:jc w:val="both"/>
        <w:ind w:firstLine="397"/>
        <w:spacing w:after="0" w:line="246" w:lineRule="auto"/>
        <w:rPr>
          <w:sz w:val="20"/>
          <w:szCs w:val="20"/>
          <w:color w:val="auto"/>
        </w:rPr>
      </w:pPr>
      <w:r>
        <w:rPr>
          <w:rFonts w:ascii="Times New Roman" w:cs="Times New Roman" w:eastAsia="Times New Roman" w:hAnsi="Times New Roman"/>
          <w:sz w:val="18"/>
          <w:szCs w:val="18"/>
          <w:color w:val="auto"/>
        </w:rPr>
        <w:t>We believe our existing cash and cash equivalents of $216.5 million as of December 31, 2023, and cash flows generated by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capital expenditures, lease obligations, potential milestones associated with the C2i acquisition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banking system may impact liquidity both in the short term and long term and may result in adverse impacts to our or our customers’ business, including in our customers’ ability to pay for our products.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In February 2021, we issued and sold 8,547,297 shares of common stock in a registered public offering, including 1,114,864 shares issued and sold upon the underwriters’ exercise in full of their option to purchase additional shares, at a price to the public of $74.00 per share. Our net proceeds from the offering were approximately $593.8 million, after deducting underwriting discounts and commissions and offering expenses of $38.7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We lease office and laboratory facilities in South San Francisco and San Diego, California; Austin, Texas; Marseille, France; and Richmond, Virginia, and lease certain equipment under various non-cancelable lease agreements. The lease terms extend to January 2029 and contain extension of lease term and expansion options. As of December 31, 2023, the leases have a weighted average remaining lease term of 2.7 years and total future minimum lease payments of $14.0 million.</w:t>
      </w:r>
    </w:p>
    <w:p>
      <w:pPr>
        <w:spacing w:after="0" w:line="20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As of December 31, 2023, Veracyte SAS has signed a lease agreement for facilities which will be constructed in Marseille, France. The lease will commence upon completion of the construction of the office building at which time we will record a lease liability and a corresponding right-of-use asset. The initial term of the lease will be twelve years with annual rent of approximately $1.3 million, which is subject to change based on final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Purchase Commitments</w:t>
      </w:r>
    </w:p>
    <w:p>
      <w:pPr>
        <w:spacing w:after="0" w:line="247"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We had non-cancelable purchase commitments with suppliers to purchase a minimum quantity of supplies for approximately $19.4 million at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part of our agreement to acquire the exclusive global diagnostic license to the nCounter Analysis System, we may pay up to an additional $10.0 million in cash, contingent upon first achievement or occurrence, by or on behalf of Veracyte, of the commercial launch of the first, second and third diagnostic tests for use on the nCounter multiplex analysis system. As of December 31, 2023, the achievement of one of the milestones is forecasted to occur within the next 12 months, requiring payments totaling $3.5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HalioDx Acquisition-Related Payments</w:t>
      </w:r>
    </w:p>
    <w:p>
      <w:pPr>
        <w:spacing w:after="0" w:line="247" w:lineRule="exact"/>
        <w:rPr>
          <w:sz w:val="20"/>
          <w:szCs w:val="20"/>
          <w:color w:val="auto"/>
        </w:rPr>
      </w:pPr>
    </w:p>
    <w:p>
      <w:pPr>
        <w:jc w:val="both"/>
        <w:ind w:firstLine="397"/>
        <w:spacing w:after="0" w:line="270" w:lineRule="auto"/>
        <w:rPr>
          <w:sz w:val="20"/>
          <w:szCs w:val="20"/>
          <w:color w:val="auto"/>
        </w:rPr>
      </w:pPr>
      <w:r>
        <w:rPr>
          <w:rFonts w:ascii="Times New Roman" w:cs="Times New Roman" w:eastAsia="Times New Roman" w:hAnsi="Times New Roman"/>
          <w:sz w:val="17"/>
          <w:szCs w:val="17"/>
          <w:color w:val="auto"/>
        </w:rPr>
        <w:t>In connection with the HalioDx Acquisition, 11,031 unvested HalioDx free ordinary share awards, or free shares, were modified to provide us the right to purchase the vested free shares (call option) from the holders and the holders the right to sell the vested free shares to us (put option) from time to time through late 2023. As a result of the call and put options, the free shares are liability classified. Additionally, in connection with the HalioDx Acquisition, all of HalioDx's equity-classified options that were outstanding prior to the HalioDx Acquisition were terminated and cancelled at the acquisition date. We committed to pay cash consideration of $1.5 million to holders of unvested options on the date the employee satisfies the original service requirement.</w:t>
      </w:r>
    </w:p>
    <w:p>
      <w:pPr>
        <w:spacing w:after="0" w:line="19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As part of the agreement, we held back $16.8 million of the cash consideration, or the holdback. Fifty percent of the holdback was placed in escrow on the founders' behalf on the first anniversary of the closing date and the remainder was paid directly to the founders who remained employed with Veracyte on the second anniversary.</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there were no remaining amounts for these HalioDx related items to be paid.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2023, 2022 and 2021 (in thousands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r>
      <w:tr>
        <w:trPr>
          <w:trHeight w:val="219"/>
        </w:trPr>
        <w:tc>
          <w:tcPr>
            <w:tcW w:w="7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(739,206)</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596,320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5"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2023 was $44.2 million. The net loss of $74.4 million includes non-cash charges of $68.3 million tied to the impairment of long-lived assets, $33.1 million of stock-based compensation expense, $27.2 million of depreciation and amortization, including $20.6 million of intangible asset amortization, $5.4 million from the revaluation of contingent consideration, and noncash lease expense of $4.2 million. Cash used as a result of changes in operating assets and liabilities was $4.2 million, primarily comprising a decrease in operating lease liability of $4.3 million, an increase in supplies and inventory of $1.7 million, a decrease in accrued liabilities of $0.7 million, an increase in prepaid expense and other current assets of $0.5 million, and an increase in other assets of $0.8 million, partially offset by a decrease in accounts receivable of $3.9 million.</w:t>
      </w:r>
    </w:p>
    <w:p>
      <w:pPr>
        <w:spacing w:after="0" w:line="21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2022 was $7.5 million. The net loss of $36.6 million includes non-cash charges of $26.7 million of stock-based compensation expense, $25.9 million of depreciation and amortization, including $21.4 million of intangible asset amortization, $3.3 million of impairment of intangible asset,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noncash lease expense of $3.3 million, and $0.5 million of foreign currency loss. Cash used as a result of changes in operating assets and liabilities was $16.4 million, primarily comprising an increase in accounts receivable of $4.5 million, a decrease in accrued liabilities of $3.9 million, a decrease in operating lease liability of $3.4 million, an increase in supplies and inventory of $3.0 million, and an increase in other assets of $3.0 million, partially offset by a decrease in prepaid expense and other current assets of $1.4 million.</w:t>
      </w:r>
    </w:p>
    <w:p>
      <w:pPr>
        <w:spacing w:after="0" w:line="209"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2021 was $31.6 million. The net loss of $75.6 million includes non-cash charges of $22.5 million of stock-based compensation expense, $19.6 million of depreciation and amortization, including $16.0 million of intangible asset amortization, $6.3 million of deferred income taxes, noncash lease expense of $1.6 million, $1.2 million of foreign currency loss, and a $0.8 million expense for the revaluation of the contingent consideration related to the NanoString transaction. Cash provided by changes in operating assets and liabilities was $4.2 million, primarily comprised of an increase in accrued liabilities of $14.4 million and an increase in accounts payable of $5.2 million, partially offset by an increase in accounts receivable of $8.6 million, an increase in prepaid expense and other current assets of $3.3 million, an increase in supplies of $1.5 million and a decrease in operating lease liability of $1.8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4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2023 was $15.1 million consisting of $25.1 million from the purchase and maturity of short-term investments, offset by $10.0 million used in the acquisition of property and equipment.</w:t>
      </w:r>
    </w:p>
    <w:p>
      <w:pPr>
        <w:spacing w:after="0" w:line="19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2022 was $29.4 million for the purchase and maturity of short-term investments and acquisition of property and equipment.</w:t>
      </w:r>
    </w:p>
    <w:p>
      <w:pPr>
        <w:spacing w:after="0" w:line="194"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2021 was $739.2 million consisting of $574.4 million for the acquisition of Decipher Biosciences, $162.4 million for the acquisition of HalioDx and $5.4 million for the acquisition of property and equipment partially offset by $3.0 million of proceeds from the sale of an equity investment.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2023 was $2.8 million, consisting of $9.6 million in proceeds from the exercise of options to purchase our common stock and purchase of stock under our Employee Stock Purchase Plan, or ESPP, partially offset by $6.7 million in tax payments during the period related to the vesting of restricted stock units granted to employees.</w:t>
      </w:r>
    </w:p>
    <w:p>
      <w:pPr>
        <w:spacing w:after="0" w:line="206"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2022 was $3.5 million, consisting of $7.9 million in proceeds from the exercise of options to purchase our common stock and purchase of stock under our ESPP partially offset by $3.2 million in tax payments during the period related to the vesting of restricted stock units granted to employees and $1.3 million in payment of long-term debt.</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2021 was $596.3 million, consisting of $593.8 million in net proceeds from the issuance of common stock in a public offering in February 2021, $11.5 million in proceeds from the exercise of options to purchase our common stock and purchase of stock under our ESPP partially offset by $9.0 million in tax payments during the period related to the vesting of restricted stock units granted to employees.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43" w:lineRule="exact"/>
        <w:rPr>
          <w:sz w:val="20"/>
          <w:szCs w:val="20"/>
          <w:color w:val="auto"/>
        </w:rPr>
      </w:pPr>
    </w:p>
    <w:p>
      <w:pPr>
        <w:jc w:val="both"/>
        <w:ind w:firstLine="397"/>
        <w:spacing w:after="0" w:line="24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recognize and measure contract assets and contract liabilities acquired in a business combination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We adopted this guidance in 2023 and such adoption had no material impact on our consolidated financial statements and related disclosures.</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43" w:lineRule="exact"/>
        <w:rPr>
          <w:sz w:val="20"/>
          <w:szCs w:val="20"/>
          <w:color w:val="auto"/>
        </w:rPr>
      </w:pPr>
    </w:p>
    <w:p>
      <w:pPr>
        <w:jc w:val="both"/>
        <w:ind w:firstLine="397"/>
        <w:spacing w:after="0" w:line="24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We expect this ASU will result in the required additional disclosures being included in our consolidated financial statements, once adopted.</w:t>
      </w:r>
    </w:p>
    <w:p>
      <w:pPr>
        <w:spacing w:after="0" w:line="20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5"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$216.5 million as of December 31, 2023 which consisted of bank deposits and money market funds. Such interest-bearing instruments carry a degree of risk; however, As of December 31, 2023, a hypothetical 10% change in interest rates would not have had a material impact on our consolidated financial statements.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of December 31, 2023, we held $4.1 million of bank deposits denominated in Euros. Such Euro denominated deposits carry a degree of risk from changes in currency exchange rates as the gains or losses from changes in exchange rates are included in our net loss and comprehensive loss. As of December 31, 2023 a hypothetical 10% appreciation or depreciation of the U.S. dollar relative to the Euro would not have had a material impact on our consolidated financial statements.</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We are facing inflation headwinds in compensation, travel, supply and inventory costs, however we do not believe that inflation has had a material effect on our business, financial condition, or operating results to date.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1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0100" w:type="dxa"/>
            <w:vAlign w:val="bottom"/>
            <w:gridSpan w:val="8"/>
            <w:vMerge w:val="continue"/>
          </w:tcPr>
          <w:p>
            <w:pPr>
              <w:spacing w:after="0"/>
              <w:rPr>
                <w:sz w:val="15"/>
                <w:szCs w:val="15"/>
                <w:color w:val="auto"/>
              </w:rPr>
            </w:pPr>
          </w:p>
        </w:tc>
        <w:tc>
          <w:tcPr>
            <w:tcW w:w="10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56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 as of December 31, 2023 and 2022</w:t>
            </w:r>
          </w:p>
        </w:tc>
        <w:tc>
          <w:tcPr>
            <w:tcW w:w="1120" w:type="dxa"/>
            <w:vAlign w:val="bottom"/>
            <w:tcBorders>
              <w:top w:val="single" w:sz="8" w:color="0000FF"/>
            </w:tcBorders>
          </w:tcPr>
          <w:p>
            <w:pPr>
              <w:spacing w:after="0"/>
              <w:rPr>
                <w:sz w:val="17"/>
                <w:szCs w:val="17"/>
                <w:color w:val="auto"/>
              </w:rPr>
            </w:pPr>
          </w:p>
        </w:tc>
        <w:tc>
          <w:tcPr>
            <w:tcW w:w="44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2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Operations for the Years Ended December 31, 2023, 2022, and 2021</w:t>
            </w:r>
          </w:p>
        </w:tc>
        <w:tc>
          <w:tcPr>
            <w:tcW w:w="32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1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2023, 2022, and 2021</w:t>
            </w:r>
          </w:p>
        </w:tc>
        <w:tc>
          <w:tcPr>
            <w:tcW w:w="10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2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Stockholders' Equity for the Years Ended December 31, 2023, 2022, and 2021</w:t>
            </w:r>
          </w:p>
        </w:tc>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0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26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Veracyte,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Veracyte, Inc. (the Company) as of December 31, 2023 and 2022, the related consolidated statements of operations,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1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0"/>
        <w:spacing w:after="0" w:line="233"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testing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Company’s revenue from testing was approximately</w:t>
      </w:r>
    </w:p>
    <w:p>
      <w:pPr>
        <w:spacing w:after="0" w:line="2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$326.5 million. As discussed in Note 2, the Company’s testing revenue is recognized upon the delivery of test results to the physician. As most tests requested by customers are sold based on a physician requisition form without further written terms and conditions, the Company determined an implied contract exists with its customers and estimates variable consideration to be received for the services. Management estimates variable consideration based on historical reimbursement data from third-party commercial and governmental payers and patients, as well as known or anticipated reimbursement trends not reflected in historical data.</w:t>
      </w:r>
    </w:p>
    <w:p>
      <w:pPr>
        <w:spacing w:after="0" w:line="21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Auditing the Company’s estimate of total consideration expected to be received for the tests is complex and requires significant judgment to evaluate management’s estimate of payments to be received for the tests. The Company also considers whether historical collections per test are indicative of future collections or if there are any current or expected developments or changes that could affect reimbursement rates, which is an estimate that requires significant judgment by the Company.</w:t>
      </w:r>
    </w:p>
    <w:p>
      <w:pPr>
        <w:spacing w:after="0" w:line="2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relating to the measurement of revenue based on estimating variable consideration. This included testing controls relating to management’s review of significant assumptions described above and inputs used in the determination of the estimated amount that would be collected for tests performed during the period. We also tested controls over the current and historical data used by management in determining this estimate, including the completeness and accuracy of the data.</w:t>
      </w:r>
    </w:p>
    <w:p>
      <w:pPr>
        <w:spacing w:after="0" w:line="2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audit procedures included, among others, evaluating the methodology used, understanding and testing the significant assumptions discussed above, and testing the underlying data used by the Company (including the completeness and accuracy of historical data). We compared the significant assumptions and inputs used by management to the Company’s third party payer collection trends and other relevant factors. We tested historical cash receipts from payers by test type used in the estimate by agreeing selections to supporting documentation such as physician requisition, cash collected, and proof of delivery, as applicable. We also assessed and tested management’s review of differences between prior period reimbursement rates and actual cash collections and how those differences were factored into management’s estimate of current period reimbursement rates.</w:t>
      </w:r>
    </w:p>
    <w:p>
      <w:pPr>
        <w:spacing w:after="0" w:line="200" w:lineRule="exact"/>
        <w:rPr>
          <w:sz w:val="20"/>
          <w:szCs w:val="20"/>
          <w:color w:val="auto"/>
        </w:rPr>
      </w:pPr>
    </w:p>
    <w:p>
      <w:pPr>
        <w:sectPr>
          <w:pgSz w:w="11900" w:h="16838" w:orient="portrait"/>
          <w:cols w:equalWidth="0" w:num="2">
            <w:col w:w="2820" w:space="200"/>
            <w:col w:w="7720"/>
          </w:cols>
          <w:pgMar w:left="320" w:top="118" w:right="839" w:bottom="1440" w:gutter="0" w:footer="0" w:header="0"/>
        </w:sect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216,454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154,247</w:t>
            </w: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24,605</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44,021</w:t>
            </w: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Supplies and inventory</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11,469</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285,621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248,636</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13,160</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88,593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174,866</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702,984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695,891</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1,114,906</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1,156,422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12,943</w:t>
            </w:r>
          </w:p>
        </w:tc>
        <w:tc>
          <w:tcPr>
            <w:tcW w:w="120" w:type="dxa"/>
            <w:vAlign w:val="bottom"/>
          </w:tcPr>
          <w:p>
            <w:pPr>
              <w:spacing w:after="0"/>
              <w:rPr>
                <w:sz w:val="18"/>
                <w:szCs w:val="18"/>
                <w:color w:val="auto"/>
              </w:rPr>
            </w:pP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37,774</w:t>
            </w: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w:t>
            </w: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62,614</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70,804</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81,222</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 December 31, 2023</w:t>
            </w:r>
          </w:p>
        </w:tc>
        <w:tc>
          <w:tcPr>
            <w:tcW w:w="340" w:type="dxa"/>
            <w:vAlign w:val="bottom"/>
          </w:tcPr>
          <w:p>
            <w:pPr>
              <w:spacing w:after="0"/>
              <w:rPr>
                <w:sz w:val="13"/>
                <w:szCs w:val="13"/>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and 2022</w:t>
            </w: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0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w w:val="99"/>
              </w:rPr>
              <w:t>Common stock, $0.001 par value; 125,000,000 shares authorized, 73,264,738 and 71,959,454 shares issued and outstanding</w:t>
            </w:r>
          </w:p>
        </w:tc>
        <w:tc>
          <w:tcPr>
            <w:tcW w:w="3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as of December 31, 2023 and 2022, respectively</w:t>
            </w:r>
          </w:p>
        </w:tc>
        <w:tc>
          <w:tcPr>
            <w:tcW w:w="3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1,500,191</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(393,717)</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1,075,200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1,114,906</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1,156,422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192"/>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Testing revenue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326,542</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188,182</w:t>
            </w:r>
          </w:p>
        </w:tc>
      </w:tr>
      <w:tr>
        <w:trPr>
          <w:trHeight w:val="225"/>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w:t>
            </w:r>
          </w:p>
        </w:tc>
      </w:tr>
      <w:tr>
        <w:trPr>
          <w:trHeight w:val="225"/>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Biopharmaceutical and other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19,868</w:t>
            </w:r>
          </w:p>
        </w:tc>
      </w:tr>
      <w:tr>
        <w:trPr>
          <w:trHeight w:val="21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219,514</w:t>
            </w:r>
          </w:p>
        </w:tc>
      </w:tr>
      <w:tr>
        <w:trPr>
          <w:trHeight w:val="245"/>
        </w:trPr>
        <w:tc>
          <w:tcPr>
            <w:tcW w:w="6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testing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58,860</w:t>
            </w:r>
          </w:p>
        </w:tc>
      </w:tr>
      <w:tr>
        <w:trPr>
          <w:trHeight w:val="225"/>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r>
      <w:tr>
        <w:trPr>
          <w:trHeight w:val="225"/>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biopharmaceutical and other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225"/>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r>
      <w:tr>
        <w:trPr>
          <w:trHeight w:val="225"/>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79,840</w:t>
            </w:r>
          </w:p>
        </w:tc>
      </w:tr>
      <w:tr>
        <w:trPr>
          <w:trHeight w:val="225"/>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101,353</w:t>
            </w:r>
          </w:p>
        </w:tc>
      </w:tr>
      <w:tr>
        <w:trPr>
          <w:trHeight w:val="225"/>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r>
      <w:tr>
        <w:trPr>
          <w:trHeight w:val="21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301,417</w:t>
            </w: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(81,903)</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(81,649)</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98"/>
        </w:trPr>
        <w:tc>
          <w:tcPr>
            <w:tcW w:w="6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40" w:type="dxa"/>
            <w:vAlign w:val="bottom"/>
            <w:tcBorders>
              <w:top w:val="single" w:sz="8" w:color="auto"/>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(1.11)</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72,644,487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71,549,204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67,890,328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4"/>
        </w:trPr>
        <w:tc>
          <w:tcPr>
            <w:tcW w:w="6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5"/>
        </w:trPr>
        <w:tc>
          <w:tcPr>
            <w:tcW w:w="6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(74,404)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(75,563)</w:t>
            </w:r>
          </w:p>
        </w:tc>
      </w:tr>
      <w:tr>
        <w:trPr>
          <w:trHeight w:val="225"/>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currency translation adjustments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w:t>
            </w:r>
          </w:p>
        </w:tc>
      </w:tr>
      <w:tr>
        <w:trPr>
          <w:trHeight w:val="304"/>
        </w:trPr>
        <w:tc>
          <w:tcPr>
            <w:tcW w:w="6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comprehensive loss</w:t>
            </w: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(67,076)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60" w:type="dxa"/>
            <w:vAlign w:val="bottom"/>
            <w:gridSpan w:val="3"/>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100" w:type="dxa"/>
            <w:vAlign w:val="bottom"/>
            <w:gridSpan w:val="2"/>
            <w:vMerge w:val="restart"/>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40" w:type="dxa"/>
            <w:vAlign w:val="bottom"/>
            <w:gridSpan w:val="3"/>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9"/>
                <w:szCs w:val="9"/>
                <w:color w:val="auto"/>
              </w:rPr>
            </w:pPr>
          </w:p>
        </w:tc>
        <w:tc>
          <w:tcPr>
            <w:tcW w:w="1060" w:type="dxa"/>
            <w:vAlign w:val="bottom"/>
            <w:vMerge w:val="restart"/>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000" w:type="dxa"/>
            <w:vAlign w:val="bottom"/>
          </w:tcPr>
          <w:p>
            <w:pPr>
              <w:spacing w:after="0"/>
              <w:rPr>
                <w:sz w:val="3"/>
                <w:szCs w:val="3"/>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4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40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40" w:type="dxa"/>
            <w:vAlign w:val="bottom"/>
          </w:tcPr>
          <w:p>
            <w:pPr>
              <w:spacing w:after="0"/>
              <w:rPr>
                <w:sz w:val="16"/>
                <w:szCs w:val="16"/>
                <w:color w:val="auto"/>
              </w:rPr>
            </w:pPr>
          </w:p>
        </w:tc>
        <w:tc>
          <w:tcPr>
            <w:tcW w:w="10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58,201</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(281,594)</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421,232</w:t>
            </w:r>
          </w:p>
        </w:tc>
        <w:tc>
          <w:tcPr>
            <w:tcW w:w="0" w:type="dxa"/>
            <w:vAlign w:val="bottom"/>
          </w:tcPr>
          <w:p>
            <w:pPr>
              <w:spacing w:after="0"/>
              <w:rPr>
                <w:sz w:val="1"/>
                <w:szCs w:val="1"/>
                <w:color w:val="auto"/>
              </w:rPr>
            </w:pPr>
          </w:p>
        </w:tc>
      </w:tr>
      <w:tr>
        <w:trPr>
          <w:trHeight w:val="132"/>
        </w:trPr>
        <w:tc>
          <w:tcPr>
            <w:tcW w:w="40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Sale of common stock in a public offering, net of offering costs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8,547</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593,812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593,821</w:t>
            </w: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$38,677</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acquisition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147,089</w:t>
            </w:r>
          </w:p>
        </w:tc>
        <w:tc>
          <w:tcPr>
            <w:tcW w:w="0" w:type="dxa"/>
            <w:vAlign w:val="bottom"/>
          </w:tcPr>
          <w:p>
            <w:pPr>
              <w:spacing w:after="0"/>
              <w:rPr>
                <w:sz w:val="1"/>
                <w:szCs w:val="1"/>
                <w:color w:val="auto"/>
              </w:rPr>
            </w:pPr>
          </w:p>
        </w:tc>
      </w:tr>
      <w:tr>
        <w:trPr>
          <w:trHeight w:val="132"/>
        </w:trPr>
        <w:tc>
          <w:tcPr>
            <w:tcW w:w="40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Issuance of common stock on exercise of stock options and vesting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9,175</w:t>
            </w: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(ESPP)</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(9,029)</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20,795</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(75,563)</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71,123</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1,468,683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(357,157)</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1,096,514</w:t>
            </w:r>
          </w:p>
        </w:tc>
        <w:tc>
          <w:tcPr>
            <w:tcW w:w="0" w:type="dxa"/>
            <w:vAlign w:val="bottom"/>
          </w:tcPr>
          <w:p>
            <w:pPr>
              <w:spacing w:after="0"/>
              <w:rPr>
                <w:sz w:val="1"/>
                <w:szCs w:val="1"/>
                <w:color w:val="auto"/>
              </w:rPr>
            </w:pPr>
          </w:p>
        </w:tc>
      </w:tr>
      <w:tr>
        <w:trPr>
          <w:trHeight w:val="140"/>
        </w:trPr>
        <w:tc>
          <w:tcPr>
            <w:tcW w:w="4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common stock on exercise of stock options and vesting of</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24,781</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(36,560)</w:t>
            </w: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(16,263)</w:t>
            </w: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71,959</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1,500,191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(393,717)</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1,075,200</w:t>
            </w:r>
          </w:p>
        </w:tc>
        <w:tc>
          <w:tcPr>
            <w:tcW w:w="0" w:type="dxa"/>
            <w:vAlign w:val="bottom"/>
          </w:tcPr>
          <w:p>
            <w:pPr>
              <w:spacing w:after="0"/>
              <w:rPr>
                <w:sz w:val="1"/>
                <w:szCs w:val="1"/>
                <w:color w:val="auto"/>
              </w:rPr>
            </w:pPr>
          </w:p>
        </w:tc>
      </w:tr>
      <w:tr>
        <w:trPr>
          <w:trHeight w:val="132"/>
        </w:trPr>
        <w:tc>
          <w:tcPr>
            <w:tcW w:w="40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Issuance of common stock on exercise of stock options and vesting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0" w:type="dxa"/>
            <w:vAlign w:val="bottom"/>
          </w:tcPr>
          <w:p>
            <w:pPr>
              <w:spacing w:after="0"/>
              <w:rPr>
                <w:sz w:val="1"/>
                <w:szCs w:val="1"/>
                <w:color w:val="auto"/>
              </w:rPr>
            </w:pPr>
          </w:p>
        </w:tc>
      </w:tr>
      <w:tr>
        <w:trPr>
          <w:trHeight w:val="191"/>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stock 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31,494</w:t>
            </w: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(74,404)</w:t>
            </w: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7,328</w:t>
            </w: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1,044,102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7"/>
        </w:trPr>
        <w:tc>
          <w:tcPr>
            <w:tcW w:w="6700" w:type="dxa"/>
            <w:vAlign w:val="bottom"/>
            <w:tcBorders>
              <w:bottom w:val="single" w:sz="8" w:color="BFE4FF"/>
            </w:tcBorders>
          </w:tcPr>
          <w:p>
            <w:pPr>
              <w:spacing w:after="0"/>
              <w:rPr>
                <w:sz w:val="14"/>
                <w:szCs w:val="14"/>
                <w:color w:val="auto"/>
              </w:rPr>
            </w:pPr>
          </w:p>
        </w:tc>
        <w:tc>
          <w:tcPr>
            <w:tcW w:w="9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70"/>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9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20" w:type="dxa"/>
            <w:vAlign w:val="bottom"/>
          </w:tcPr>
          <w:p>
            <w:pPr>
              <w:jc w:val="right"/>
              <w:ind w:right="77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(74,404)</w:t>
            </w:r>
          </w:p>
        </w:tc>
        <w:tc>
          <w:tcPr>
            <w:tcW w:w="10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(36,560)</w:t>
            </w:r>
          </w:p>
        </w:tc>
        <w:tc>
          <w:tcPr>
            <w:tcW w:w="100" w:type="dxa"/>
            <w:vAlign w:val="bottom"/>
          </w:tcPr>
          <w:p>
            <w:pPr>
              <w:spacing w:after="0"/>
              <w:rPr>
                <w:sz w:val="14"/>
                <w:szCs w:val="14"/>
                <w:color w:val="auto"/>
              </w:rPr>
            </w:pP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(75,563)</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19,593</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Loss on disposal of property and equipment</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22,519</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(3,839)</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(6,258)</w:t>
            </w: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on end-of-term debt obligation</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r>
      <w:tr>
        <w:trPr>
          <w:trHeight w:val="178"/>
        </w:trPr>
        <w:tc>
          <w:tcPr>
            <w:tcW w:w="670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2"/>
                <w:szCs w:val="12"/>
                <w:color w:val="auto"/>
              </w:rPr>
              <w:t>Noncash lease expense</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4,158</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3,320</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1,632</w:t>
            </w:r>
          </w:p>
        </w:tc>
      </w:tr>
      <w:tr>
        <w:trPr>
          <w:trHeight w:val="166"/>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Revaluation of acquisition-related contingent consideration</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w:t>
            </w:r>
          </w:p>
        </w:tc>
      </w:tr>
      <w:tr>
        <w:trPr>
          <w:trHeight w:val="178"/>
        </w:trPr>
        <w:tc>
          <w:tcPr>
            <w:tcW w:w="670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2"/>
                <w:szCs w:val="12"/>
                <w:color w:val="auto"/>
              </w:rPr>
              <w:t>Impairment loss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68,349</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3,318</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Effect of foreign currency on operations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(8,571)</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Supplies and inventory</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(1,694)</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(3,011)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(1,464)</w:t>
            </w: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(3,316)</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(3,049)</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(216)</w:t>
            </w:r>
          </w:p>
        </w:tc>
      </w:tr>
      <w:tr>
        <w:trPr>
          <w:trHeight w:val="166"/>
        </w:trPr>
        <w:tc>
          <w:tcPr>
            <w:tcW w:w="6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lease liability</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(1,794)</w:t>
            </w:r>
          </w:p>
        </w:tc>
      </w:tr>
      <w:tr>
        <w:trPr>
          <w:trHeight w:val="178"/>
        </w:trPr>
        <w:tc>
          <w:tcPr>
            <w:tcW w:w="670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5,155</w:t>
            </w:r>
          </w:p>
        </w:tc>
      </w:tr>
      <w:tr>
        <w:trPr>
          <w:trHeight w:val="166"/>
        </w:trPr>
        <w:tc>
          <w:tcPr>
            <w:tcW w:w="670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Accrued liabilities and deferred revenue</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(3,920)</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14,425</w:t>
            </w:r>
          </w:p>
        </w:tc>
      </w:tr>
      <w:tr>
        <w:trPr>
          <w:trHeight w:val="171"/>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920" w:type="dxa"/>
            <w:vAlign w:val="bottom"/>
            <w:tcBorders>
              <w:bottom w:val="single" w:sz="8" w:color="auto"/>
            </w:tcBorders>
            <w:shd w:val="clear" w:color="auto" w:fill="BFE4FF"/>
          </w:tcPr>
          <w:p>
            <w:pPr>
              <w:spacing w:after="0"/>
              <w:rPr>
                <w:sz w:val="14"/>
                <w:szCs w:val="14"/>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44,222</w:t>
            </w:r>
          </w:p>
        </w:tc>
        <w:tc>
          <w:tcPr>
            <w:tcW w:w="100" w:type="dxa"/>
            <w:vAlign w:val="bottom"/>
            <w:shd w:val="clear" w:color="auto" w:fill="BFE4FF"/>
          </w:tcPr>
          <w:p>
            <w:pPr>
              <w:spacing w:after="0"/>
              <w:rPr>
                <w:sz w:val="14"/>
                <w:szCs w:val="14"/>
                <w:color w:val="auto"/>
              </w:rPr>
            </w:pPr>
          </w:p>
        </w:tc>
        <w:tc>
          <w:tcPr>
            <w:tcW w:w="340" w:type="dxa"/>
            <w:vAlign w:val="bottom"/>
            <w:tcBorders>
              <w:bottom w:val="single" w:sz="8" w:color="auto"/>
            </w:tcBorders>
            <w:shd w:val="clear" w:color="auto" w:fill="BFE4FF"/>
          </w:tcPr>
          <w:p>
            <w:pPr>
              <w:spacing w:after="0"/>
              <w:rPr>
                <w:sz w:val="14"/>
                <w:szCs w:val="14"/>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7,535</w:t>
            </w:r>
          </w:p>
        </w:tc>
        <w:tc>
          <w:tcPr>
            <w:tcW w:w="100" w:type="dxa"/>
            <w:vAlign w:val="bottom"/>
            <w:shd w:val="clear" w:color="auto" w:fill="BFE4FF"/>
          </w:tcPr>
          <w:p>
            <w:pPr>
              <w:spacing w:after="0"/>
              <w:rPr>
                <w:sz w:val="14"/>
                <w:szCs w:val="14"/>
                <w:color w:val="auto"/>
              </w:rPr>
            </w:pPr>
          </w:p>
        </w:tc>
        <w:tc>
          <w:tcPr>
            <w:tcW w:w="340" w:type="dxa"/>
            <w:vAlign w:val="bottom"/>
            <w:tcBorders>
              <w:bottom w:val="single" w:sz="8" w:color="auto"/>
            </w:tcBorders>
            <w:shd w:val="clear" w:color="auto" w:fill="BFE4FF"/>
          </w:tcPr>
          <w:p>
            <w:pPr>
              <w:spacing w:after="0"/>
              <w:rPr>
                <w:sz w:val="14"/>
                <w:szCs w:val="14"/>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(31,621)</w:t>
            </w:r>
          </w:p>
        </w:tc>
      </w:tr>
      <w:tr>
        <w:trPr>
          <w:trHeight w:val="157"/>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1"/>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Purchase of short-term investments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(19,700)</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(33,519)</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sale of short-term investments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Proceeds from maturity of short-term investments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12,681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Decipher Biosciences, net of cash acquired</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(574,411)</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Acquisition of HalioDx, net of cash acquired</w:t>
            </w:r>
          </w:p>
        </w:tc>
        <w:tc>
          <w:tcPr>
            <w:tcW w:w="920" w:type="dxa"/>
            <w:vAlign w:val="bottom"/>
            <w:shd w:val="clear" w:color="auto" w:fill="BFE4FF"/>
          </w:tcPr>
          <w:p>
            <w:pPr>
              <w:spacing w:after="0"/>
              <w:rPr>
                <w:sz w:val="15"/>
                <w:szCs w:val="15"/>
                <w:color w:val="auto"/>
              </w:rPr>
            </w:pPr>
          </w:p>
        </w:tc>
        <w:tc>
          <w:tcPr>
            <w:tcW w:w="6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(162,419)</w:t>
            </w: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sale of equity securities</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Purchases of property, plant and equipment</w:t>
            </w:r>
          </w:p>
        </w:tc>
        <w:tc>
          <w:tcPr>
            <w:tcW w:w="920" w:type="dxa"/>
            <w:vAlign w:val="bottom"/>
            <w:tcBorders>
              <w:bottom w:val="single" w:sz="8" w:color="auto"/>
            </w:tcBorders>
            <w:shd w:val="clear" w:color="auto" w:fill="BFE4FF"/>
          </w:tcPr>
          <w:p>
            <w:pPr>
              <w:spacing w:after="0"/>
              <w:rPr>
                <w:sz w:val="15"/>
                <w:szCs w:val="15"/>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(9,961)</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(8,549)</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(5,376)</w:t>
            </w:r>
          </w:p>
        </w:tc>
      </w:tr>
      <w:tr>
        <w:trPr>
          <w:trHeight w:val="159"/>
        </w:trPr>
        <w:tc>
          <w:tcPr>
            <w:tcW w:w="67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15,112</w:t>
            </w:r>
          </w:p>
        </w:tc>
        <w:tc>
          <w:tcPr>
            <w:tcW w:w="100" w:type="dxa"/>
            <w:vAlign w:val="bottom"/>
            <w:tcBorders>
              <w:bottom w:val="single" w:sz="8" w:color="BFE4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(29,387)</w:t>
            </w:r>
          </w:p>
        </w:tc>
        <w:tc>
          <w:tcPr>
            <w:tcW w:w="100" w:type="dxa"/>
            <w:vAlign w:val="bottom"/>
            <w:tcBorders>
              <w:bottom w:val="single" w:sz="8" w:color="BFE4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(739,206)</w:t>
            </w:r>
          </w:p>
        </w:tc>
      </w:tr>
      <w:tr>
        <w:trPr>
          <w:trHeight w:val="171"/>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9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issuance of common stock in a public offering, net of issuance costs</w:t>
            </w:r>
          </w:p>
        </w:tc>
        <w:tc>
          <w:tcPr>
            <w:tcW w:w="9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593,821</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Payment of long-term debt</w:t>
            </w:r>
          </w:p>
        </w:tc>
        <w:tc>
          <w:tcPr>
            <w:tcW w:w="920" w:type="dxa"/>
            <w:vAlign w:val="bottom"/>
            <w:shd w:val="clear" w:color="auto" w:fill="BFE4FF"/>
          </w:tcPr>
          <w:p>
            <w:pPr>
              <w:spacing w:after="0"/>
              <w:rPr>
                <w:sz w:val="15"/>
                <w:szCs w:val="15"/>
                <w:color w:val="auto"/>
              </w:rPr>
            </w:pPr>
          </w:p>
        </w:tc>
        <w:tc>
          <w:tcPr>
            <w:tcW w:w="6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(1,281)</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 of taxes on vested restricted stock units</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(9,029)</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Proceeds from the exercise of common stock options and employee stock purchases</w:t>
            </w:r>
          </w:p>
        </w:tc>
        <w:tc>
          <w:tcPr>
            <w:tcW w:w="920" w:type="dxa"/>
            <w:vAlign w:val="bottom"/>
            <w:tcBorders>
              <w:bottom w:val="single" w:sz="8" w:color="auto"/>
            </w:tcBorders>
            <w:shd w:val="clear" w:color="auto" w:fill="BFE4FF"/>
          </w:tcPr>
          <w:p>
            <w:pPr>
              <w:spacing w:after="0"/>
              <w:rPr>
                <w:sz w:val="15"/>
                <w:szCs w:val="15"/>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9,578</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7,942</w:t>
            </w:r>
          </w:p>
        </w:tc>
        <w:tc>
          <w:tcPr>
            <w:tcW w:w="100" w:type="dxa"/>
            <w:vAlign w:val="bottom"/>
            <w:shd w:val="clear" w:color="auto" w:fill="BFE4FF"/>
          </w:tcPr>
          <w:p>
            <w:pPr>
              <w:spacing w:after="0"/>
              <w:rPr>
                <w:sz w:val="15"/>
                <w:szCs w:val="15"/>
                <w:color w:val="auto"/>
              </w:rPr>
            </w:pPr>
          </w:p>
        </w:tc>
        <w:tc>
          <w:tcPr>
            <w:tcW w:w="340" w:type="dxa"/>
            <w:vAlign w:val="bottom"/>
            <w:tcBorders>
              <w:bottom w:val="single" w:sz="8" w:color="auto"/>
            </w:tcBorders>
            <w:shd w:val="clear" w:color="auto" w:fill="BFE4FF"/>
          </w:tcPr>
          <w:p>
            <w:pPr>
              <w:spacing w:after="0"/>
              <w:rPr>
                <w:sz w:val="15"/>
                <w:szCs w:val="15"/>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11,528</w:t>
            </w:r>
          </w:p>
        </w:tc>
      </w:tr>
      <w:tr>
        <w:trPr>
          <w:trHeight w:val="159"/>
        </w:trPr>
        <w:tc>
          <w:tcPr>
            <w:tcW w:w="67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2,837</w:t>
            </w:r>
          </w:p>
        </w:tc>
        <w:tc>
          <w:tcPr>
            <w:tcW w:w="100" w:type="dxa"/>
            <w:vAlign w:val="bottom"/>
            <w:tcBorders>
              <w:bottom w:val="single" w:sz="8" w:color="BFE4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3,494</w:t>
            </w:r>
          </w:p>
        </w:tc>
        <w:tc>
          <w:tcPr>
            <w:tcW w:w="100" w:type="dxa"/>
            <w:vAlign w:val="bottom"/>
            <w:tcBorders>
              <w:bottom w:val="single" w:sz="8" w:color="BFE4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596,320</w:t>
            </w:r>
          </w:p>
        </w:tc>
      </w:tr>
      <w:tr>
        <w:trPr>
          <w:trHeight w:val="171"/>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Increase (decrease) in cash, cash equivalents and restricted cash</w:t>
            </w:r>
          </w:p>
        </w:tc>
        <w:tc>
          <w:tcPr>
            <w:tcW w:w="920" w:type="dxa"/>
            <w:vAlign w:val="bottom"/>
            <w:shd w:val="clear" w:color="auto" w:fill="BFE4FF"/>
          </w:tcPr>
          <w:p>
            <w:pPr>
              <w:spacing w:after="0"/>
              <w:rPr>
                <w:sz w:val="14"/>
                <w:szCs w:val="14"/>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62,171</w:t>
            </w: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(18,358)</w:t>
            </w: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(174,507)</w:t>
            </w:r>
          </w:p>
        </w:tc>
      </w:tr>
      <w:tr>
        <w:trPr>
          <w:trHeight w:val="167"/>
        </w:trPr>
        <w:tc>
          <w:tcPr>
            <w:tcW w:w="67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Effect of foreign currency on cash, cash equivalents and restricted cash</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(1,514)</w:t>
            </w:r>
          </w:p>
        </w:tc>
      </w:tr>
      <w:tr>
        <w:trPr>
          <w:trHeight w:val="170"/>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increase (decrease) in cash, cash equivalents and restricted cash</w:t>
            </w:r>
          </w:p>
        </w:tc>
        <w:tc>
          <w:tcPr>
            <w:tcW w:w="920" w:type="dxa"/>
            <w:vAlign w:val="bottom"/>
            <w:shd w:val="clear" w:color="auto" w:fill="BFE4FF"/>
          </w:tcPr>
          <w:p>
            <w:pPr>
              <w:spacing w:after="0"/>
              <w:rPr>
                <w:sz w:val="14"/>
                <w:szCs w:val="14"/>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62,334</w:t>
            </w: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(18,950)</w:t>
            </w: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(176,021)</w:t>
            </w:r>
          </w:p>
        </w:tc>
      </w:tr>
      <w:tr>
        <w:trPr>
          <w:trHeight w:val="167"/>
        </w:trPr>
        <w:tc>
          <w:tcPr>
            <w:tcW w:w="67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beginning of year</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154,996</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173,946</w:t>
            </w:r>
          </w:p>
        </w:tc>
        <w:tc>
          <w:tcPr>
            <w:tcW w:w="100" w:type="dxa"/>
            <w:vAlign w:val="bottom"/>
            <w:tcBorders>
              <w:bottom w:val="single" w:sz="8" w:color="BFE4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349,967</w:t>
            </w:r>
          </w:p>
        </w:tc>
      </w:tr>
      <w:tr>
        <w:trPr>
          <w:trHeight w:val="195"/>
        </w:trPr>
        <w:tc>
          <w:tcPr>
            <w:tcW w:w="67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end of year</w:t>
            </w:r>
          </w:p>
        </w:tc>
        <w:tc>
          <w:tcPr>
            <w:tcW w:w="920" w:type="dxa"/>
            <w:vAlign w:val="bottom"/>
            <w:tcBorders>
              <w:bottom w:val="single" w:sz="8" w:color="auto"/>
            </w:tcBorders>
            <w:shd w:val="clear" w:color="auto" w:fill="BFE4FF"/>
          </w:tcPr>
          <w:p>
            <w:pPr>
              <w:jc w:val="right"/>
              <w:ind w:right="778"/>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217,330</w:t>
            </w:r>
          </w:p>
        </w:tc>
        <w:tc>
          <w:tcPr>
            <w:tcW w:w="100" w:type="dxa"/>
            <w:vAlign w:val="bottom"/>
            <w:tcBorders>
              <w:bottom w:val="single" w:sz="8" w:color="BFE4FF"/>
            </w:tcBorders>
            <w:shd w:val="clear" w:color="auto" w:fill="BFE4FF"/>
          </w:tcPr>
          <w:p>
            <w:pPr>
              <w:spacing w:after="0"/>
              <w:rPr>
                <w:sz w:val="16"/>
                <w:szCs w:val="16"/>
                <w:color w:val="auto"/>
              </w:rPr>
            </w:pPr>
          </w:p>
        </w:tc>
        <w:tc>
          <w:tcPr>
            <w:tcW w:w="340" w:type="dxa"/>
            <w:vAlign w:val="bottom"/>
            <w:tcBorders>
              <w:bottom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154,996</w:t>
            </w:r>
          </w:p>
        </w:tc>
        <w:tc>
          <w:tcPr>
            <w:tcW w:w="100" w:type="dxa"/>
            <w:vAlign w:val="bottom"/>
            <w:tcBorders>
              <w:bottom w:val="single" w:sz="8" w:color="BFE4FF"/>
            </w:tcBorders>
            <w:shd w:val="clear" w:color="auto" w:fill="BFE4FF"/>
          </w:tcPr>
          <w:p>
            <w:pPr>
              <w:spacing w:after="0"/>
              <w:rPr>
                <w:sz w:val="16"/>
                <w:szCs w:val="16"/>
                <w:color w:val="auto"/>
              </w:rPr>
            </w:pPr>
          </w:p>
        </w:tc>
        <w:tc>
          <w:tcPr>
            <w:tcW w:w="340" w:type="dxa"/>
            <w:vAlign w:val="bottom"/>
            <w:tcBorders>
              <w:bottom w:val="single" w:sz="8" w:color="auto"/>
            </w:tcBorders>
            <w:shd w:val="clear" w:color="auto" w:fill="BFE4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173,946</w:t>
            </w:r>
          </w:p>
        </w:tc>
      </w:tr>
      <w:tr>
        <w:trPr>
          <w:trHeight w:val="20"/>
        </w:trPr>
        <w:tc>
          <w:tcPr>
            <w:tcW w:w="670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5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r>
      <w:tr>
        <w:trPr>
          <w:trHeight w:val="105"/>
        </w:trPr>
        <w:tc>
          <w:tcPr>
            <w:tcW w:w="6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72"/>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Supplementary cash flow information of non-cash investing and financing activities:</w:t>
            </w:r>
          </w:p>
        </w:tc>
        <w:tc>
          <w:tcPr>
            <w:tcW w:w="92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10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1080" w:type="dxa"/>
            <w:vAlign w:val="bottom"/>
            <w:shd w:val="clear" w:color="auto" w:fill="BFE4FF"/>
          </w:tcPr>
          <w:p>
            <w:pPr>
              <w:spacing w:after="0"/>
              <w:rPr>
                <w:sz w:val="14"/>
                <w:szCs w:val="14"/>
                <w:color w:val="auto"/>
              </w:rPr>
            </w:pPr>
          </w:p>
        </w:tc>
      </w:tr>
      <w:tr>
        <w:trPr>
          <w:trHeight w:val="166"/>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issued for purchase consideration for a business combination</w:t>
            </w:r>
          </w:p>
        </w:tc>
        <w:tc>
          <w:tcPr>
            <w:tcW w:w="920" w:type="dxa"/>
            <w:vAlign w:val="bottom"/>
          </w:tcPr>
          <w:p>
            <w:pPr>
              <w:jc w:val="right"/>
              <w:ind w:right="77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147,089</w:t>
            </w:r>
          </w:p>
        </w:tc>
      </w:tr>
      <w:tr>
        <w:trPr>
          <w:trHeight w:val="178"/>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Purchases of property and equipment included in accounts payable and accrued liabilities</w:t>
            </w:r>
          </w:p>
        </w:tc>
        <w:tc>
          <w:tcPr>
            <w:tcW w:w="920" w:type="dxa"/>
            <w:vAlign w:val="bottom"/>
            <w:shd w:val="clear" w:color="auto" w:fill="BFE4FF"/>
          </w:tcPr>
          <w:p>
            <w:pPr>
              <w:spacing w:after="0"/>
              <w:rPr>
                <w:sz w:val="15"/>
                <w:szCs w:val="15"/>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966</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20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392</w:t>
            </w:r>
          </w:p>
        </w:tc>
      </w:tr>
      <w:tr>
        <w:trPr>
          <w:trHeight w:val="167"/>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Supplementary cash flow information:</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7"/>
        </w:trPr>
        <w:tc>
          <w:tcPr>
            <w:tcW w:w="67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Cash paid for interest on debt</w:t>
            </w:r>
          </w:p>
        </w:tc>
        <w:tc>
          <w:tcPr>
            <w:tcW w:w="920" w:type="dxa"/>
            <w:vAlign w:val="bottom"/>
            <w:shd w:val="clear" w:color="auto" w:fill="BFE4FF"/>
          </w:tcPr>
          <w:p>
            <w:pPr>
              <w:spacing w:after="0"/>
              <w:rPr>
                <w:sz w:val="15"/>
                <w:szCs w:val="15"/>
                <w:color w:val="auto"/>
              </w:rPr>
            </w:pPr>
          </w:p>
        </w:tc>
        <w:tc>
          <w:tcPr>
            <w:tcW w:w="6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BFE4FF"/>
          </w:tcPr>
          <w:p>
            <w:pPr>
              <w:spacing w:after="0"/>
              <w:rPr>
                <w:sz w:val="15"/>
                <w:szCs w:val="15"/>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BFE4FF"/>
          </w:tcPr>
          <w:p>
            <w:pPr>
              <w:spacing w:after="0"/>
              <w:rPr>
                <w:sz w:val="15"/>
                <w:szCs w:val="15"/>
                <w:color w:val="auto"/>
              </w:rPr>
            </w:pPr>
          </w:p>
        </w:tc>
        <w:tc>
          <w:tcPr>
            <w:tcW w:w="340" w:type="dxa"/>
            <w:vAlign w:val="bottom"/>
            <w:shd w:val="clear" w:color="auto" w:fill="BFE4FF"/>
          </w:tcPr>
          <w:p>
            <w:pPr>
              <w:spacing w:after="0"/>
              <w:rPr>
                <w:sz w:val="15"/>
                <w:szCs w:val="15"/>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60"/>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paid for tax</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w:t>
      </w:r>
    </w:p>
    <w:p>
      <w:pPr>
        <w:spacing w:after="0" w:line="133"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6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6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216,454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154,247</w:t>
            </w:r>
          </w:p>
        </w:tc>
        <w:tc>
          <w:tcPr>
            <w:tcW w:w="14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173,197</w:t>
            </w:r>
          </w:p>
        </w:tc>
      </w:tr>
      <w:tr>
        <w:trPr>
          <w:trHeight w:val="199"/>
        </w:trPr>
        <w:tc>
          <w:tcPr>
            <w:tcW w:w="68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Borders>
              <w:bottom w:val="single" w:sz="8" w:color="auto"/>
            </w:tcBorders>
            <w:shd w:val="clear" w:color="auto" w:fill="BFE4FF"/>
          </w:tcPr>
          <w:p>
            <w:pPr>
              <w:spacing w:after="0"/>
              <w:rPr>
                <w:sz w:val="17"/>
                <w:szCs w:val="17"/>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shd w:val="clear" w:color="auto" w:fill="BFE4FF"/>
          </w:tcPr>
          <w:p>
            <w:pPr>
              <w:spacing w:after="0"/>
              <w:rPr>
                <w:sz w:val="17"/>
                <w:szCs w:val="17"/>
                <w:color w:val="auto"/>
              </w:rPr>
            </w:pPr>
          </w:p>
        </w:tc>
        <w:tc>
          <w:tcPr>
            <w:tcW w:w="160" w:type="dxa"/>
            <w:vAlign w:val="bottom"/>
            <w:tcBorders>
              <w:bottom w:val="single" w:sz="8" w:color="auto"/>
            </w:tcBorders>
            <w:shd w:val="clear" w:color="auto" w:fill="BFE4FF"/>
          </w:tcPr>
          <w:p>
            <w:pPr>
              <w:spacing w:after="0"/>
              <w:rPr>
                <w:sz w:val="17"/>
                <w:szCs w:val="17"/>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40" w:type="dxa"/>
            <w:vAlign w:val="bottom"/>
            <w:shd w:val="clear" w:color="auto" w:fill="BFE4FF"/>
          </w:tcPr>
          <w:p>
            <w:pPr>
              <w:spacing w:after="0"/>
              <w:rPr>
                <w:sz w:val="17"/>
                <w:szCs w:val="17"/>
                <w:color w:val="auto"/>
              </w:rPr>
            </w:pPr>
          </w:p>
        </w:tc>
        <w:tc>
          <w:tcPr>
            <w:tcW w:w="300" w:type="dxa"/>
            <w:vAlign w:val="bottom"/>
            <w:tcBorders>
              <w:bottom w:val="single" w:sz="8" w:color="auto"/>
            </w:tcBorders>
            <w:shd w:val="clear" w:color="auto" w:fill="BFE4FF"/>
          </w:tcPr>
          <w:p>
            <w:pPr>
              <w:spacing w:after="0"/>
              <w:rPr>
                <w:sz w:val="17"/>
                <w:szCs w:val="17"/>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199"/>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217,330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154,996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173,946</w:t>
            </w: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4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provides clinicians with tests to diagnose cancer. Veracyte's tests are used by clinicians for diagnostic, prognostic and treatment decisions.</w:t>
      </w:r>
    </w:p>
    <w:p>
      <w:pPr>
        <w:spacing w:after="0" w:line="194"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operated as an incubator until early 2008. On March 4, 2008, the Company changed its name to Veracyte, Inc. The Company’s headquarters are in South San Francisco, California, and it also has operations in San Diego, California; Austin, Texas; and Marseille, France. In March 2021, the Company acquired Decipher Biosciences and, in August 2021, the Company acquired HalioDx SAS and HalioDx Inc., historically a wholly owned subsidiary of HalioDx SAS.</w:t>
      </w:r>
    </w:p>
    <w:p>
      <w:pPr>
        <w:spacing w:after="0" w:line="209"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 currently offers tests in thyroid cancer (Afirma); prostate cancer (Decipher Prostate); breast cancer (Prosigna); bladder cancer (Decipher Bladder); and interstitial lung diseases (Envisia). The Company’s Percepta Nasal Swab test is being run in its CLIA lab in support of clinical studies and its test for lymphoma is in development as a companion diagnostic.</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Clinical Laboratory Improvement Amendments of 1988, or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IVD test that runs on the nCounter Analysis System.</w:t>
      </w:r>
    </w:p>
    <w:p>
      <w:pPr>
        <w:spacing w:after="0" w:line="209" w:lineRule="exact"/>
        <w:rPr>
          <w:sz w:val="20"/>
          <w:szCs w:val="20"/>
          <w:color w:val="auto"/>
        </w:rPr>
      </w:pPr>
    </w:p>
    <w:p>
      <w:pPr>
        <w:jc w:val="both"/>
        <w:ind w:right="20" w:firstLine="397"/>
        <w:spacing w:after="0" w:line="271" w:lineRule="auto"/>
        <w:rPr>
          <w:sz w:val="20"/>
          <w:szCs w:val="20"/>
          <w:color w:val="auto"/>
        </w:rPr>
      </w:pPr>
      <w:r>
        <w:rPr>
          <w:rFonts w:ascii="Times New Roman" w:cs="Times New Roman" w:eastAsia="Times New Roman" w:hAnsi="Times New Roman"/>
          <w:sz w:val="18"/>
          <w:szCs w:val="18"/>
          <w:color w:val="auto"/>
        </w:rPr>
        <w:t>In February 2024, the Company acquired C2i Genomics, Inc., or C2i, a minimal residual disease, or MRD, detection company. Refer to Note 13 Subsequent Event for additional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accounting principles generally accepted in the United States, or U.S. GAAP. The consolidated financial statements include the accounts of the Company and its wholly-owned subsidiaries. All intercompany accounts and transactions have been eliminated in consolidation.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year ended December 31, 2022, the Company reclassified $3.3 million of impairment of long-lived assets from the general and administrative expense caption in the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liabilities as of the date of the consolidated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form the basis for making judgments about the carrying values of assets and liabilities and recorded revenue and expenses that are not readily apparent from other sources. Actual results could differ from those estimates and assumptions.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 has incurred net losses since its inception and as of December 31, 2023, the Company had an accumulated deficit of $468.1 million. The Company believes its cash and cash equivalents of $216.5 million as of December 31, 2023, and its revenue from sales in 2024 will be sufficient to meet its anticipated cash requirements through at least February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two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test reagents, and the nCounter Analysis system and related diagnostic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20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Through December 31, 2023, the Company has derived most of its revenue from the sale of Decipher and Afirma testing. To date, Decipher and Afirma testing have been delivered primarily to physicians in the United States.</w:t>
      </w:r>
    </w:p>
    <w:p>
      <w:pPr>
        <w:spacing w:after="0" w:line="194"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December 31, 2023.</w:t>
      </w:r>
    </w:p>
    <w:p>
      <w:pPr>
        <w:spacing w:after="0" w:line="21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tcPr>
          <w:p>
            <w:pPr>
              <w:spacing w:after="0"/>
              <w:rPr>
                <w:sz w:val="16"/>
                <w:szCs w:val="16"/>
                <w:color w:val="auto"/>
              </w:rPr>
            </w:pPr>
          </w:p>
        </w:tc>
      </w:tr>
      <w:tr>
        <w:trPr>
          <w:trHeight w:val="24"/>
        </w:trPr>
        <w:tc>
          <w:tcPr>
            <w:tcW w:w="64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5"/>
        </w:trPr>
        <w:tc>
          <w:tcPr>
            <w:tcW w:w="644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UnitedHealthcare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644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34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an original maturity of 90 days or less to be cash equivalents.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1"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The Company's short-term investments consist of United States treasury securities and time deposits with a bank with maturities at the time of purchase that were between 90 days and one year. The Company classifies these investments as held-to-maturity debt securities, which are reported at amortized cost. Discounts or premiums from the purchase of the securities are recognized as a component of interest income in other income (loss),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December 31, 2023 and December 31, 2022, no allowances for expected credit losses had been recorded and there have been no impairment or credit losses on the Company's short term investments.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47" w:lineRule="exact"/>
        <w:rPr>
          <w:sz w:val="20"/>
          <w:szCs w:val="20"/>
          <w:color w:val="auto"/>
        </w:rPr>
      </w:pPr>
    </w:p>
    <w:p>
      <w:pPr>
        <w:jc w:val="both"/>
        <w:ind w:firstLine="397"/>
        <w:spacing w:after="0" w:line="301" w:lineRule="auto"/>
        <w:rPr>
          <w:sz w:val="20"/>
          <w:szCs w:val="20"/>
          <w:color w:val="auto"/>
        </w:rPr>
      </w:pPr>
      <w:r>
        <w:rPr>
          <w:rFonts w:ascii="Times New Roman" w:cs="Times New Roman" w:eastAsia="Times New Roman" w:hAnsi="Times New Roman"/>
          <w:sz w:val="17"/>
          <w:szCs w:val="17"/>
          <w:color w:val="auto"/>
        </w:rPr>
        <w:t>The Company had deposits of $0.9 million and $0.7 million included in long-term assets as of December 31, 2023 and December 31, 2022, respectively, restricted from withdrawal and held by banks in the form of collateral for irrevocable standby letters of credit held as security for the Company's leases.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Company first determines whether a set of assets acquired and liabilities assumed constitute a business and should be accounted for as a business combination. If the assets acquired are not a business, the Company accounts for the transaction as an asset acquisition. Business combinations are accounted for by using the acquisition method of accounting. Under the acquisition method, assets acquired, and liabilities assumed are recorded at their respective fair values as of the acquisition date in the Company's consolidated financial statements. The estimated fair value of intangible assets acquired are based on discounted cash flows utilizing certain assumptions including revenues (such as projected testing volumes, growth rates), discount rates and expected economic life/obsolescence factors of the respective assets.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general and administrative expense in the consolidated statements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Supplies consists of materials and reagents consumed in the performance of testing services. Inventory consists of raw materials consumed in the contract manufacturing process as well as finished and semi-finished components used in the assembly of diagnostic kits related to product sales. Inventory is stated at the lower of cost or net realizable value on a weighted average basis. The Company periodically analyzes supply and inventory levels and expiration dates, and writes down supply or inventory that has become obsolete, that has a cost basis in excess of its net realizable value, or in excess of expected sales requirements as cost of revenue. The Company records an allowance for excess or obsolete supplies and inventory using an estimate based on historical trends and evaluation of near-term expirations.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included in right-of-use assets - operating leases and operating lease liabilities in the consolidated balance sheets, representing the right to use an underlying asset for the lease term and the obligation to make lease payments arising from the lease. Right-of-use, or ROU, assets and lease liabilities are recognized at commencement based on the present value of lease payments over the lease term. The Company uses its incremental borrowing rate based on the estimated rate of interest for collateralized borrowing over a similar term of the lease payments. The ROU assets also includes any lease payments made and is adjusted for lease incentives. Lease terms may include options to extend or terminate the lease which are recognized when it is reasonably certain that the Company will exercise that option. Lease expense is recognized on a straight-line basis over the lease terms. Lease and non-lease components are accounted for as a single lease component. Financing leases are immaterial and are included in property and equipment, net and other liabilities in the consolidated balance sheets. Leases with terms of 12 months or less are not recorded on our balance sheet.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Finite-lived intangible assets consist of intangible assets acquired as part of business combinations. The Company amortizes finite-lived intangible assets using the straight-line method over their estimated useful lives of 4 to 15 years, based on management's estimate of the period over which their economic benefits will be realized, product life and patent life. The Company tests these finite-lived intangible assets for impairment when events or circumstances indicate a reduction in the fair value below their carrying amounts. The Company recorded impairment charges of $66.9 million and $3.3 million for the years ended December 31, 2023 and 2022 and no impairment charge for the year ended December 31, 2021. See Note 5 Balance Sheet Components for more information on impairment testing.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or IPR&amp;D, acquired as part of business combinations. The IPR&amp;D is not amortized until it becomes commercially viable and placed in service. At the time when the intangible assets are placed in service the Company will determine a useful life. The Company also tests these indefinite-lived intangible assets for impairment when events or circumstances indicate a reduction in the fair value below their carrying amounts. There was no impairment of indefinite-lived intangible assets for the years ended December 31, 2023, 2022 or 2021.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Goodwill,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There was no impairment of goodwill for the years ended December 31, 2023, 2022 or 2021.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Note 6. Fair Value Measurements for further information on the fair value of the Company’s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5"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2"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32" w:lineRule="exact"/>
        <w:rPr>
          <w:sz w:val="20"/>
          <w:szCs w:val="20"/>
          <w:color w:val="auto"/>
        </w:rPr>
      </w:pPr>
    </w:p>
    <w:p>
      <w:pPr>
        <w:jc w:val="both"/>
        <w:ind w:firstLine="397"/>
        <w:spacing w:after="0" w:line="263" w:lineRule="auto"/>
        <w:rPr>
          <w:sz w:val="20"/>
          <w:szCs w:val="20"/>
          <w:color w:val="auto"/>
        </w:rPr>
      </w:pPr>
      <w:r>
        <w:rPr>
          <w:rFonts w:ascii="Times New Roman" w:cs="Times New Roman" w:eastAsia="Times New Roman" w:hAnsi="Times New Roman"/>
          <w:sz w:val="17"/>
          <w:szCs w:val="17"/>
          <w:color w:val="auto"/>
        </w:rPr>
        <w:t>The Company recognizes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our test to a customer as a single performance obligation. A stated contract price does not exist and the transaction price for each implied contract with a customer represents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years ended December 31, 2023, 2022 and 2021, the Company recorded $7.8 million, $3.1 million, and $1.1 million as revenue, respectively, resulting from cash collections exceeding the estimated variable consideration related to tests reported in previous years, including revenue received from successful appeals of reimbursement denials, net of recoupments.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Company's products consist of the Prosigna breast cancer assay, the nCounter Analysis System, related diagnostic kits and services. Product revenue from diagnostic kits is generally recognized upon shipment. Product revenue from instruments is generally recognized when the instrument is ready for use by the end customer. Shipping and handling costs incurred for product shipments are included in product revenue. Revenue is presented net of the taxes that are collected from customers and remitted to governmental authorities.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 enters into arrangements to license or provide access to its assets or services, including clinical services, research and development, contract manufacturing and development, as well as other services, which are classified under biopharmaceutical and other revenue. In prior years the Company also entered into arrangements for testing services. Such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arrangements may require the Company to deliver various rights, manufactured diagnostic test kits, services and/or samples, including intellectual property rights/licenses and biopharmaceutical research and development services. The Company receives consideration in the form of upfront license fees; payments on delivery of data, test results or manufactured products; costs of service plus margin; and development and commercial performance milestone payments.</w:t>
      </w:r>
    </w:p>
    <w:p>
      <w:pPr>
        <w:jc w:val="both"/>
        <w:ind w:firstLine="397"/>
        <w:spacing w:after="0" w:line="246" w:lineRule="auto"/>
        <w:rPr>
          <w:sz w:val="20"/>
          <w:szCs w:val="20"/>
          <w:color w:val="auto"/>
        </w:rPr>
      </w:pPr>
      <w:r>
        <w:rPr>
          <w:rFonts w:ascii="Times New Roman" w:cs="Times New Roman" w:eastAsia="Times New Roman" w:hAnsi="Times New Roman"/>
          <w:sz w:val="18"/>
          <w:szCs w:val="18"/>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7" w:lineRule="exact"/>
        <w:rPr>
          <w:sz w:val="20"/>
          <w:szCs w:val="20"/>
          <w:color w:val="auto"/>
        </w:rPr>
      </w:pPr>
    </w:p>
    <w:p>
      <w:pPr>
        <w:jc w:val="both"/>
        <w:ind w:firstLine="397"/>
        <w:spacing w:after="0" w:line="248" w:lineRule="auto"/>
        <w:rPr>
          <w:sz w:val="20"/>
          <w:szCs w:val="20"/>
          <w:color w:val="auto"/>
        </w:rPr>
      </w:pPr>
      <w:r>
        <w:rPr>
          <w:rFonts w:ascii="Times New Roman" w:cs="Times New Roman" w:eastAsia="Times New Roman" w:hAnsi="Times New Roman"/>
          <w:sz w:val="18"/>
          <w:szCs w:val="18"/>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These milestone payments are recognized in the same manner as milestone payments from customers and are classified under biopharmaceutical and other revenue.</w:t>
      </w:r>
    </w:p>
    <w:p>
      <w:pPr>
        <w:spacing w:after="0" w:line="219"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$6.0 million and $9.3 million at December 31, 2023 and 2022, respectively. There was $2.0 million and $2.6 million of deferred revenue related to these agreements at December 31, 2023 and 2022, respectively.</w:t>
      </w:r>
    </w:p>
    <w:p>
      <w:pPr>
        <w:spacing w:after="0" w:line="194"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Revenue included in biopharmaceutical and other revenue for the years ended December 31, 2023, 2022 and 2021 was as follows (in thousands of dollars):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6"/>
        </w:trPr>
        <w:tc>
          <w:tcPr>
            <w:tcW w:w="63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Biopharmaceutical revenue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12,613</w:t>
            </w: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milestones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05"/>
        </w:trPr>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18,921</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33,360</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19,868</w:t>
            </w:r>
          </w:p>
        </w:tc>
      </w:tr>
      <w:tr>
        <w:trPr>
          <w:trHeight w:val="20"/>
        </w:trPr>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7" w:lineRule="exact"/>
        <w:rPr>
          <w:sz w:val="20"/>
          <w:szCs w:val="20"/>
          <w:color w:val="auto"/>
        </w:rPr>
      </w:pPr>
    </w:p>
    <w:p>
      <w:pPr>
        <w:jc w:val="both"/>
        <w:ind w:firstLine="397"/>
        <w:spacing w:after="0" w:line="273" w:lineRule="auto"/>
        <w:rPr>
          <w:sz w:val="20"/>
          <w:szCs w:val="20"/>
          <w:color w:val="auto"/>
        </w:rPr>
      </w:pPr>
      <w:r>
        <w:rPr>
          <w:rFonts w:ascii="Times New Roman" w:cs="Times New Roman" w:eastAsia="Times New Roman" w:hAnsi="Times New Roman"/>
          <w:sz w:val="17"/>
          <w:szCs w:val="17"/>
          <w:color w:val="auto"/>
        </w:rPr>
        <w:t>Cost of product revenue consists primarily of costs of purchasing instruments and diagnostic kits from third-party contract manufacturers, installation, service and packaging and delivery costs, and the Company's internal labor expenses. In addition, cost of product includes royalty costs for licensed technologies included in the Company's products. Cost of product revenue for instruments and diagnostic kits is recognized in the period the related revenue is recognized. Shipping and handling costs incurred for product shipments are included in cost of product in the consolidated statements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license or provide access to its assets or services, including clinical services, research and development, contract manufacturing and previously included contract testing services on behalf of a customer.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collect clinical samples and conduct clinical studies to develop and support its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The Company expenses all research and development costs in the periods in which they are incurred.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7" w:lineRule="exact"/>
        <w:rPr>
          <w:sz w:val="20"/>
          <w:szCs w:val="20"/>
          <w:color w:val="auto"/>
        </w:rPr>
      </w:pPr>
    </w:p>
    <w:p>
      <w:pPr>
        <w:jc w:val="both"/>
        <w:ind w:firstLine="397"/>
        <w:spacing w:after="0" w:line="280" w:lineRule="auto"/>
        <w:rPr>
          <w:sz w:val="20"/>
          <w:szCs w:val="20"/>
          <w:color w:val="auto"/>
        </w:rPr>
      </w:pPr>
      <w:r>
        <w:rPr>
          <w:rFonts w:ascii="Times New Roman" w:cs="Times New Roman" w:eastAsia="Times New Roman" w:hAnsi="Times New Roman"/>
          <w:sz w:val="17"/>
          <w:szCs w:val="17"/>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89" w:lineRule="exact"/>
        <w:rPr>
          <w:sz w:val="20"/>
          <w:szCs w:val="20"/>
          <w:color w:val="auto"/>
        </w:rPr>
      </w:pPr>
    </w:p>
    <w:p>
      <w:pPr>
        <w:jc w:val="both"/>
        <w:ind w:firstLine="397"/>
        <w:spacing w:after="0" w:line="268" w:lineRule="auto"/>
        <w:rPr>
          <w:sz w:val="20"/>
          <w:szCs w:val="20"/>
          <w:color w:val="auto"/>
        </w:rPr>
      </w:pPr>
      <w:r>
        <w:rPr>
          <w:rFonts w:ascii="Times New Roman" w:cs="Times New Roman" w:eastAsia="Times New Roman" w:hAnsi="Times New Roman"/>
          <w:sz w:val="17"/>
          <w:szCs w:val="17"/>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Stock-based compensation expense for stock options issued to employees and non-employees is measured based on the grant-date fair value of the award. The fair value of each stock option is estimated on the date of grant using the Black-Scholes option-pricing model. Stock-based compensation expense for restricted stock units, or RSUs, is measured based on the fair value of the award, which is determined based upon the closing price of the Company’s common stock on the date of the grant. The Company grants performance-based stock units, or PSUs, to certain employees which vest upon the achievement of certain performance conditions, subject to the employees’ continued service with the Company. The probability of vesting is assessed at each reporting period and compensation cost is adjusted based on this probability assessment.</w:t>
      </w:r>
    </w:p>
    <w:p>
      <w:pPr>
        <w:spacing w:after="0" w:line="215"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costs on a straight-line basis for all employee stock-based compensation awards that are expected to vest over the requisite service period of the awards, which is generally the awards' vesting period. Forfeitures are estimated at the time of grant and revised, if necessary, in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47" w:lineRule="exact"/>
        <w:rPr>
          <w:sz w:val="20"/>
          <w:szCs w:val="20"/>
          <w:color w:val="auto"/>
        </w:rPr>
      </w:pPr>
    </w:p>
    <w:p>
      <w:pPr>
        <w:jc w:val="both"/>
        <w:ind w:firstLine="397"/>
        <w:spacing w:after="0" w:line="250"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RSUs, PSUs and shares subject to purchase under the Company's employee stock purchase plan are considered to be common stock equivalents and were excluded from the calculation of diluted net loss per common share because their effect would be anti-dilutive for all periods presented.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French Research Tax Credits</w:t>
      </w:r>
    </w:p>
    <w:p>
      <w:pPr>
        <w:spacing w:after="0" w:line="24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French research tax credits (crédit d’impôt recherche, or CIR) are generated by the Company’s wholly owned subsidiary, Veracyte SAS, in connection with its research efforts performed in Marseille, France. The Company recognizes other income from the CIR over time based on when the research and development expenses are incurred. As of December 31, 2023, $4.7 million of CIR are recorded in prepaids and other current assets on the consolidated balance sheets and $4.6 million is included in other assets.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Revenues and expenses from the Company’s foreign subsidiaries are translated using the monthly average exchange rates in effect during the period in which the transactions occur. Foreign currency transaction gains and losses are recorded in other income, net, on the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Comprehensive loss is the change in stockholders’ equity from transactions and other events and circumstances other than those resulting from investments by stockholders and distributions to stockholders. The Company's comprehensive loss includes our net loss and gains and losses from the foreign currency translation of the assets and liabilities of our foreign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47"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products and biopharmaceutical services.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by geographic region based on the customer billing address was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200,982</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18,532</w:t>
            </w:r>
          </w:p>
        </w:tc>
      </w:tr>
      <w:tr>
        <w:trPr>
          <w:trHeight w:val="243"/>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219,514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Substantially all of the Company’s long-lived assets were located in the United States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43" w:lineRule="exact"/>
        <w:rPr>
          <w:sz w:val="20"/>
          <w:szCs w:val="20"/>
          <w:color w:val="auto"/>
        </w:rPr>
      </w:pPr>
    </w:p>
    <w:p>
      <w:pPr>
        <w:jc w:val="both"/>
        <w:ind w:firstLine="397"/>
        <w:spacing w:after="0" w:line="24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entities to recognize and measure contract assets and contract liabilities acquired in a business combination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Company adopted this guidance in 2023 and such adoption had no material impact on its consolidated financial statements and related disclosures.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43" w:lineRule="exact"/>
        <w:rPr>
          <w:sz w:val="20"/>
          <w:szCs w:val="20"/>
          <w:color w:val="auto"/>
        </w:rPr>
      </w:pPr>
    </w:p>
    <w:p>
      <w:pPr>
        <w:jc w:val="both"/>
        <w:ind w:firstLine="397"/>
        <w:spacing w:after="0" w:line="24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This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Company's consolidated financial statements, once adopted.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45"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following outstanding common stock equivalents have been excluded from diluted net loss per common share for the years ended December 31, 2023, 2022 and 2021 because their inclusion would be anti-dilutive: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5"/>
        </w:trPr>
        <w:tc>
          <w:tcPr>
            <w:tcW w:w="672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40" w:type="dxa"/>
            <w:vAlign w:val="bottom"/>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3,820,878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3,923,882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3,754,807</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42,733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21,158</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2,714,324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1,106,938</w:t>
            </w:r>
          </w:p>
        </w:tc>
      </w:tr>
      <w:tr>
        <w:trPr>
          <w:trHeight w:val="21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6,570,076</w:t>
            </w:r>
          </w:p>
        </w:tc>
        <w:tc>
          <w:tcPr>
            <w:tcW w:w="1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5,970,124</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4,882,903</w:t>
            </w:r>
          </w:p>
        </w:tc>
      </w:tr>
      <w:tr>
        <w:trPr>
          <w:trHeight w:val="20"/>
        </w:trPr>
        <w:tc>
          <w:tcPr>
            <w:tcW w:w="6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HalioDx</w:t>
      </w:r>
    </w:p>
    <w:p>
      <w:pPr>
        <w:spacing w:after="0" w:line="247" w:lineRule="exact"/>
        <w:rPr>
          <w:sz w:val="20"/>
          <w:szCs w:val="20"/>
          <w:color w:val="auto"/>
        </w:rPr>
      </w:pPr>
    </w:p>
    <w:p>
      <w:pPr>
        <w:jc w:val="both"/>
        <w:ind w:firstLine="397"/>
        <w:spacing w:after="0" w:line="249" w:lineRule="auto"/>
        <w:rPr>
          <w:sz w:val="20"/>
          <w:szCs w:val="20"/>
          <w:color w:val="auto"/>
        </w:rPr>
      </w:pPr>
      <w:r>
        <w:rPr>
          <w:rFonts w:ascii="Times New Roman" w:cs="Times New Roman" w:eastAsia="Times New Roman" w:hAnsi="Times New Roman"/>
          <w:sz w:val="18"/>
          <w:szCs w:val="18"/>
          <w:color w:val="auto"/>
        </w:rPr>
        <w:t>On August 2, 2021, the Company acquired 100% of the equity interests of HalioDx, or the HalioDx Acquisition. The HalioDx Acquisition gave the Company the capabilities and expertise to manufacture its own IVD test kits for use on the nCounter Analysis System. The acquisition also deepened the Company's scientific expertise and capabilities in the rapidly growing area of immuno-oncology, further strengthening its offerings for biopharmaceutical and other partners. The consideration to acquire HalioDx was $319.6 million, comprised of $147.1 million in the form of 3.3 million shares of the Company’s common stock based on the Company's share price on the closing date, $4.2 million in liabilities, and the remainder in cash. The measurement period concluded in August 2022 and certain adjustments had been recorded as net increases to goodwill totaling $0.2 million and did not impact the consolidated statements of operations.</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Decipher Biosciences</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On March 12, 2021, the Company acquired 100% of the equity interests of Decipher Biosciences, a privately-held company developing diagnostic tests in urologic cancers, for approximately $594.7 million, or the Decipher Acquisition. The Decipher Acquisition advanced the Company's objective to improve the lives of patients through innovations in genomic</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technology tailored for diagnostic, prognostic, and treatment decisions related to urologic cancers. The measurement period concluded in March 2022, and no adjustments were recorded during the year ended December 31, 2023</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47" w:lineRule="exact"/>
        <w:rPr>
          <w:sz w:val="20"/>
          <w:szCs w:val="20"/>
          <w:color w:val="auto"/>
        </w:rPr>
      </w:pPr>
    </w:p>
    <w:p>
      <w:pPr>
        <w:jc w:val="both"/>
        <w:ind w:firstLine="397"/>
        <w:spacing w:after="0" w:line="265" w:lineRule="auto"/>
        <w:rPr>
          <w:sz w:val="20"/>
          <w:szCs w:val="20"/>
          <w:color w:val="auto"/>
        </w:rPr>
      </w:pPr>
      <w:r>
        <w:rPr>
          <w:rFonts w:ascii="Times New Roman" w:cs="Times New Roman" w:eastAsia="Times New Roman" w:hAnsi="Times New Roman"/>
          <w:sz w:val="17"/>
          <w:szCs w:val="17"/>
          <w:color w:val="auto"/>
        </w:rPr>
        <w:t>Dr. Robert S. Epstein, M.D., M.S., a member of the Company’s board of directors, and Dr. Tina S. Nova, Ph.D., formerly a member of the Company’s board of directors, served on the board of directors of Decipher Biosciences prior to the acquisition, with Dr. Nova additionally serving as President and Chief Executive Officer of Decipher Biosciences. Pursuant to Veracyte's related party transactions policy, Dr. Nova and Dr. Epstein recused themselves from all discussions of its board of directors related to the Decipher Acquisition, and the Decipher Acquisition was approved by each of the non-interested members of the board of directors. In connection with the Decipher Acquisition, certain Decipher Biosciences equity awards held by Dr. Nova and Dr. Epstein were fully-accelerated and certain incentive bonus payments were made to Dr. Nova pursuant to a management incentive plan established by the Decipher Biosciences board of directors, resulting in payments of approximately $26.5 million and $1.4 million to each of them, respectively. Dr. Nova resigned from Veracyte’s board of directors and now serves as Veracyte's General Manager, Urology. Dr. Epstein continues to serve on Veracyte’s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As of December 31, 2023 and 2022, supplies and inventory consisted of $12.2 million and $10.2 million, respectively, of lab supplies and reagents consumed in the performance of testing services, and $4.0 million and $4.1 million, respectively, of inventory related to raw materials consumed in contract manufacturing process, as well as finished and semi-finished components used in the assembly of diagnostic kits related to product sales.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 of dollars):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9,740</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Laboratory equipment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21,159</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including software developed for internal use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Construction-in-process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at cost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43,684</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(32,860)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(25,982)</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20,584</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expense was $6.6 million, $4.6 million and $3.6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7" w:lineRule="exact"/>
        <w:rPr>
          <w:sz w:val="20"/>
          <w:szCs w:val="20"/>
          <w:color w:val="auto"/>
        </w:rPr>
      </w:pPr>
    </w:p>
    <w:p>
      <w:pPr>
        <w:jc w:val="both"/>
        <w:ind w:right="100" w:firstLine="397"/>
        <w:spacing w:after="0" w:line="271"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45"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31"/>
        </w:trPr>
        <w:tc>
          <w:tcPr>
            <w:tcW w:w="2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57"/>
        </w:trPr>
        <w:tc>
          <w:tcPr>
            <w:tcW w:w="2680" w:type="dxa"/>
            <w:vAlign w:val="bottom"/>
          </w:tcPr>
          <w:p>
            <w:pPr>
              <w:spacing w:after="0"/>
              <w:rPr>
                <w:sz w:val="13"/>
                <w:szCs w:val="13"/>
                <w:color w:val="auto"/>
              </w:rPr>
            </w:pPr>
          </w:p>
        </w:tc>
        <w:tc>
          <w:tcPr>
            <w:tcW w:w="1100" w:type="dxa"/>
            <w:vAlign w:val="bottom"/>
            <w:gridSpan w:val="2"/>
          </w:tcPr>
          <w:p>
            <w:pPr>
              <w:jc w:val="right"/>
              <w:ind w:right="1"/>
              <w:spacing w:after="0" w:line="15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14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3"/>
                <w:szCs w:val="13"/>
                <w:color w:val="auto"/>
              </w:rPr>
            </w:pPr>
          </w:p>
        </w:tc>
        <w:tc>
          <w:tcPr>
            <w:tcW w:w="11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Period (Years)</w:t>
            </w: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7,733</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3,273</w:t>
            </w:r>
          </w:p>
        </w:tc>
        <w:tc>
          <w:tcPr>
            <w:tcW w:w="12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Prosigna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931</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nCounter Dx license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37,244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LymphMark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554</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73,766</w:t>
            </w:r>
          </w:p>
        </w:tc>
        <w:tc>
          <w:tcPr>
            <w:tcW w:w="12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2,557</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HalioDx developed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39,724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33,825</w:t>
            </w:r>
          </w:p>
        </w:tc>
        <w:tc>
          <w:tcPr>
            <w:tcW w:w="12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1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HalioDx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3,458</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HalioDx customer backlog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4,225</w:t>
            </w:r>
          </w:p>
        </w:tc>
        <w:tc>
          <w:tcPr>
            <w:tcW w:w="1240" w:type="dxa"/>
            <w:vAlign w:val="bottom"/>
            <w:tcBorders>
              <w:bottom w:val="single" w:sz="8" w:color="CCEEFF"/>
            </w:tcBorders>
            <w:gridSpan w:val="2"/>
          </w:tcPr>
          <w:p>
            <w:pPr>
              <w:jc w:val="center"/>
              <w:ind w:left="1"/>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 lived intangibles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167,566</w:t>
            </w:r>
          </w:p>
        </w:tc>
        <w:tc>
          <w:tcPr>
            <w:tcW w:w="124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6.9</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222,574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174,866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right="100" w:firstLine="397"/>
        <w:spacing w:after="0" w:line="249" w:lineRule="auto"/>
        <w:rPr>
          <w:sz w:val="20"/>
          <w:szCs w:val="20"/>
          <w:color w:val="auto"/>
        </w:rPr>
      </w:pPr>
      <w:r>
        <w:rPr>
          <w:rFonts w:ascii="Times New Roman" w:cs="Times New Roman" w:eastAsia="Times New Roman" w:hAnsi="Times New Roman"/>
          <w:sz w:val="18"/>
          <w:szCs w:val="18"/>
          <w:color w:val="auto"/>
        </w:rPr>
        <w:t>During 2023, the Company concluded it had a triggering event requiring assessment of impairment for certain of its long-lived assets in conjunction with management’s decision to adopt a multi-platform IVD strategy. Management believes that a multi-platform strategy will enable the Company to more rapidly reach more patients globally with its tests. As a result, the Company reviewed the long-lived assets for impairment and recorded a $34.9 million impairment charge associated with its nCounter Dx license finite-lived intangible asset. In addition, during 2023, the Company concluded that, due to a significant change in the business environment, it had a triggering event requiring assessment of impairment for certain of its long-lived assets related to biopharma assets. As a result, the Company recorded a $32.0 million impairment charge associated with its HalioDx biopharmaceutical services developed technology, customer relationships and customer backlog finite-lived intangible assets. Both impairments are recorded within impairment of long-lived assets on the consolidated statement of operations.</w:t>
      </w:r>
    </w:p>
    <w:p>
      <w:pPr>
        <w:spacing w:after="0" w:line="214" w:lineRule="exact"/>
        <w:rPr>
          <w:sz w:val="20"/>
          <w:szCs w:val="20"/>
          <w:color w:val="auto"/>
        </w:rPr>
      </w:pPr>
    </w:p>
    <w:p>
      <w:pPr>
        <w:jc w:val="both"/>
        <w:ind w:right="100" w:firstLine="397"/>
        <w:spacing w:after="0" w:line="251" w:lineRule="auto"/>
        <w:rPr>
          <w:sz w:val="20"/>
          <w:szCs w:val="20"/>
          <w:color w:val="auto"/>
        </w:rPr>
      </w:pPr>
      <w:r>
        <w:rPr>
          <w:rFonts w:ascii="Times New Roman" w:cs="Times New Roman" w:eastAsia="Times New Roman" w:hAnsi="Times New Roman"/>
          <w:sz w:val="18"/>
          <w:szCs w:val="18"/>
          <w:color w:val="auto"/>
        </w:rPr>
        <w:t>During the three months ended June 30, 2022, the Company concluded it had a triggering event requiring assessment of impairment for certain of its long-lived assets in conjunction with management’s decision to cease commercialization efforts related to the Company’s stand-alone Immunoscore Colon Dx commercial offering. As a result, the Company reviewed the long-lived assets for impairment and recorded a $3.3 million impairment charge associated with its HalioDx Immunoscore Colon Dx developed technology finite-lived intangible asset within impairment of long-lived assets on the consolidated statement of operations.</w:t>
      </w:r>
    </w:p>
    <w:p>
      <w:pPr>
        <w:spacing w:after="0" w:line="215" w:lineRule="exact"/>
        <w:rPr>
          <w:sz w:val="20"/>
          <w:szCs w:val="20"/>
          <w:color w:val="auto"/>
        </w:rPr>
      </w:pPr>
    </w:p>
    <w:p>
      <w:pPr>
        <w:jc w:val="both"/>
        <w:ind w:right="100" w:firstLine="397"/>
        <w:spacing w:after="0" w:line="258" w:lineRule="auto"/>
        <w:rPr>
          <w:sz w:val="20"/>
          <w:szCs w:val="20"/>
          <w:color w:val="auto"/>
        </w:rPr>
      </w:pPr>
      <w:r>
        <w:rPr>
          <w:rFonts w:ascii="Times New Roman" w:cs="Times New Roman" w:eastAsia="Times New Roman" w:hAnsi="Times New Roman"/>
          <w:sz w:val="18"/>
          <w:szCs w:val="18"/>
          <w:color w:val="auto"/>
        </w:rPr>
        <w:t>The Company assessed the impairment of the intangible assets using an income approach which involved significant unobservable inputs, which are Level III inputs, including revenue projections and cash flow projections. This method is consistent with the methods the Company employed in prior periods to value other long-lived assets.</w:t>
      </w:r>
    </w:p>
    <w:p>
      <w:pPr>
        <w:spacing w:after="0" w:line="206" w:lineRule="exact"/>
        <w:rPr>
          <w:sz w:val="20"/>
          <w:szCs w:val="20"/>
          <w:color w:val="auto"/>
        </w:rPr>
      </w:pPr>
    </w:p>
    <w:p>
      <w:pPr>
        <w:jc w:val="both"/>
        <w:ind w:right="100" w:firstLine="397"/>
        <w:spacing w:after="0" w:line="271" w:lineRule="auto"/>
        <w:rPr>
          <w:sz w:val="20"/>
          <w:szCs w:val="20"/>
          <w:color w:val="auto"/>
        </w:rPr>
      </w:pPr>
      <w:r>
        <w:rPr>
          <w:rFonts w:ascii="Times New Roman" w:cs="Times New Roman" w:eastAsia="Times New Roman" w:hAnsi="Times New Roman"/>
          <w:sz w:val="18"/>
          <w:szCs w:val="18"/>
          <w:color w:val="auto"/>
        </w:rPr>
        <w:t>Amortization of the finite-lived intangible assets is recognized on a straight-line basis. Amortization of $20.6 million, $21.4 million and $16.0 million was recognized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936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VERACYTE, INC.</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4"/>
        </w:trPr>
        <w:tc>
          <w:tcPr>
            <w:tcW w:w="936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34"/>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December 31, 2023 is as follows (in thousands of dollars):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4"/>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24"/>
                <w:szCs w:val="24"/>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r>
      <w:tr>
        <w:trPr>
          <w:trHeight w:val="225"/>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w:t>
            </w:r>
          </w:p>
        </w:tc>
      </w:tr>
      <w:tr>
        <w:trPr>
          <w:trHeight w:val="22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w:t>
            </w:r>
          </w:p>
        </w:tc>
      </w:tr>
      <w:tr>
        <w:trPr>
          <w:trHeight w:val="225"/>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r>
      <w:tr>
        <w:trPr>
          <w:trHeight w:val="22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w:t>
            </w:r>
          </w:p>
        </w:tc>
      </w:tr>
      <w:tr>
        <w:trPr>
          <w:trHeight w:val="225"/>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23,097</w:t>
            </w:r>
          </w:p>
        </w:tc>
      </w:tr>
      <w:tr>
        <w:trPr>
          <w:trHeight w:val="24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7"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Goodwill was $703.0 million and $695.9 million as of December 31, 2023 and 2022, respectively. The changes in the carrying amounts of goodwill during the year ended December 31, 2023 were due to foreign currency translation. The Company has not recorded any impairment related to goodwill.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26,430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11,997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r>
      <w:tr>
        <w:trPr>
          <w:trHeight w:val="243"/>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38,427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45"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9" w:lineRule="exact"/>
        <w:rPr>
          <w:sz w:val="20"/>
          <w:szCs w:val="20"/>
          <w:color w:val="auto"/>
        </w:rPr>
      </w:pPr>
    </w:p>
    <w:p>
      <w:pPr>
        <w:ind w:left="1280" w:hanging="639"/>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242" w:lineRule="exact"/>
        <w:rPr>
          <w:rFonts w:ascii="Times New Roman" w:cs="Times New Roman" w:eastAsia="Times New Roman" w:hAnsi="Times New Roman"/>
          <w:sz w:val="18"/>
          <w:szCs w:val="18"/>
          <w:color w:val="auto"/>
        </w:rPr>
      </w:pPr>
    </w:p>
    <w:p>
      <w:pPr>
        <w:jc w:val="both"/>
        <w:ind w:left="1280" w:hanging="639"/>
        <w:spacing w:after="0" w:line="258" w:lineRule="auto"/>
        <w:tabs>
          <w:tab w:leader="none" w:pos="12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05" w:lineRule="exact"/>
        <w:rPr>
          <w:rFonts w:ascii="Times New Roman" w:cs="Times New Roman" w:eastAsia="Times New Roman" w:hAnsi="Times New Roman"/>
          <w:sz w:val="18"/>
          <w:szCs w:val="18"/>
          <w:color w:val="auto"/>
        </w:rPr>
      </w:pPr>
    </w:p>
    <w:p>
      <w:pPr>
        <w:ind w:left="1280" w:hanging="639"/>
        <w:spacing w:after="0" w:line="271" w:lineRule="auto"/>
        <w:tabs>
          <w:tab w:leader="none" w:pos="12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94"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consolidated balance sheets, was $1.4 million and $131.2 million as of December 31, 2023 and 2022, respectively, and are Level I assets as described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above. The deposits for the leases, included in restricted cash, was $0.9 million and $0.7 million as of December 31, 2023 and 2022 respectively, and are Level I assets as described above. There were no transfers between Levels 1, 2 or 3 for the years ended December 31, 2023, 2022, and 2021.</w:t>
      </w:r>
    </w:p>
    <w:p>
      <w:pPr>
        <w:spacing w:after="0" w:line="194" w:lineRule="exact"/>
        <w:rPr>
          <w:sz w:val="20"/>
          <w:szCs w:val="20"/>
          <w:color w:val="auto"/>
        </w:rPr>
      </w:pPr>
    </w:p>
    <w:p>
      <w:pPr>
        <w:jc w:val="both"/>
        <w:ind w:firstLine="397"/>
        <w:spacing w:after="0" w:line="247" w:lineRule="auto"/>
        <w:rPr>
          <w:sz w:val="20"/>
          <w:szCs w:val="20"/>
          <w:color w:val="auto"/>
        </w:rPr>
      </w:pPr>
      <w:r>
        <w:rPr>
          <w:rFonts w:ascii="Times New Roman" w:cs="Times New Roman" w:eastAsia="Times New Roman" w:hAnsi="Times New Roman"/>
          <w:sz w:val="18"/>
          <w:szCs w:val="18"/>
          <w:color w:val="auto"/>
        </w:rPr>
        <w:t>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with the corresponding changes included in general and administrative expense in the Company's consolidated statements of operations. During the three months ended September 30, 2023, the Company decided to adopt a multi-platform IVD strategy that will enable it to more rapidly reach more patients globally with its tests and therefore move away from commercializing several IVD tests on the nCounter Analysis System. As a result, as of December 31, 2023, this contingency was remeasured to $3.2 million and a reversal of expense of $5.4 million was recorded for the year ended December 31, 2023. As of December 31, 2022, this contingency was remeasured to $8.6 million. For the years ended December 31, 2022, and 2021 expenses of $0.2 million and $0.8 million, respectively, were recorded. As of December 31, 2023, the achievement of one of the milestones is forecasted to occur within the next 12 months. As a result, $2.7 million of the contingent consideration is included in short term liabilities at December 31, 2023. 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December 31, 2023 and 2022, the Company calculated the estimated fair value of the milestones using the following significant unobservable inputs: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09"/>
        </w:trPr>
        <w:tc>
          <w:tcPr>
            <w:tcW w:w="744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6"/>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rPr>
              <w:t>8.3%</w:t>
            </w:r>
          </w:p>
        </w:tc>
      </w:tr>
      <w:tr>
        <w:trPr>
          <w:trHeight w:val="20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10% - 80% (69%)</w:t>
            </w:r>
          </w:p>
        </w:tc>
        <w:tc>
          <w:tcPr>
            <w:tcW w:w="80" w:type="dxa"/>
            <w:vAlign w:val="bottom"/>
          </w:tcPr>
          <w:p>
            <w:pPr>
              <w:spacing w:after="0"/>
              <w:rPr>
                <w:sz w:val="18"/>
                <w:szCs w:val="18"/>
                <w:color w:val="auto"/>
              </w:rPr>
            </w:pPr>
          </w:p>
        </w:tc>
        <w:tc>
          <w:tcPr>
            <w:tcW w:w="18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80% - 100% (94%)</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 Held-to-Maturity</w:t>
      </w:r>
    </w:p>
    <w:p>
      <w:pPr>
        <w:spacing w:after="0" w:line="24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Company's short-term investments consist of United States treasury securities with maturities, at the time of purchase, that were between 90 days and one year. The Company classifies these investments as held-to-maturity debt securities, which are reported at amortized cost, and are Level I assets as described above. As of December 31, 2023, the Company held no short-term investments. As of December 31, 2022, short-term investments comprised United States treasury bills recorded at amortized cost of $24.6 million, with fair values of approximately $24.6 million. As of December 31, 2022, gross unrealized gains on short-term investments were insignificant. As part of its banking partner diversification efforts, the Company sold $40.0 million United States treasury bills with an amortized cost of $39.8 million, netting proceeds of $39.8 million and realized a gross gain of $13 thousand during the year ended December 31, 2023. No realized gains or losses on short-term investments were recognized in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7"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The Company leases office and laboratory facilities in South San Francisco and San Diego, California; Austin, Texas; Marseille, France; and Richmond, Virginia, and leases certain equipment under various non-cancelable lease agreements. The lease terms extend to October 2030 and contain extension of lease term and expansion options. The leases have a weighted average remaining lease term of 2.7 years as of December 31, 2023. The Company had deposits of $0.9 million and $0.7 million included in long-term assets as of December 31, 2023 and 2022, respectively, restricted from withdrawal and held by banks in the form of collateral for irrevocable standby letters of credit held as security for the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397"/>
        <w:spacing w:after="0" w:line="251"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8.0% based on the rate that the Company would have to pay to borrow, on a collateralized basis, an amount equal to the lease payments in a similar economic environment. Operating lease liabilities along with the associated ROU assets are disclosed in the accompanying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classified its deferred rent for tenant improvements with its operating lease ROU assets on the consolidated balance sheets.</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2023 are as follows (in thousands of dollars):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18"/>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r>
      <w:tr>
        <w:trPr>
          <w:trHeight w:val="225"/>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5"/>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8"/>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18"/>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w:t>
            </w:r>
          </w:p>
        </w:tc>
      </w:tr>
      <w:tr>
        <w:trPr>
          <w:trHeight w:val="225"/>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short-term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r>
      <w:tr>
        <w:trPr>
          <w:trHeight w:val="218"/>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ind w:firstLine="397"/>
        <w:spacing w:after="0" w:line="271"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4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4,392</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w:t>
            </w:r>
          </w:p>
        </w:tc>
      </w:tr>
      <w:tr>
        <w:trPr>
          <w:trHeight w:val="208"/>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46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4,527</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w:t>
            </w:r>
          </w:p>
        </w:tc>
      </w:tr>
    </w:tbl>
    <w:p>
      <w:pPr>
        <w:spacing w:after="0" w:line="31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company has leased laboratory equipment under various financing leases. As of December 31, 2023 and 2022, the total ROU assets and total financing lease liabilities for these financing leases were $0.1 million and $0.1 million and $0.4 million and $0.4 million, respectively, and are included in property and equipment, net and other liabilities in the accompanying consolidated balance sheets.</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Company’s wholly-owned foreign subsidiary has entered into an arrangement under which it expects to sign a lease agreement for facilities which will be constructed in Marseille, France. The lease will commence upon completion of the construction of the office building at which time the Company will record a lease liability and a corresponding ROU asset. The initial term of the lease will be twelve years with annual rent of approximately $1.3 million, which is subject to change based on final construction and excludes common area maintenance costs.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Purchase Commitments</w:t>
      </w:r>
    </w:p>
    <w:p>
      <w:pPr>
        <w:spacing w:after="0" w:line="247"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Company had non-cancelable purchase commitments with suppliers to purchase a minimum quantity of supplies for approximately $19.4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7"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47"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2023.</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2023 and 2022, the Company had reserved shares of common stock for issuance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98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2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 issued and outstanding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6,318,389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5,881,906</w:t>
            </w:r>
          </w:p>
        </w:tc>
      </w:tr>
      <w:tr>
        <w:trPr>
          <w:trHeight w:val="225"/>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 available for grant under stock option plans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5,194,399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5,591,977</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the Employee Stock Purchase Plan</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1,335,353</w:t>
            </w:r>
          </w:p>
        </w:tc>
      </w:tr>
      <w:tr>
        <w:trPr>
          <w:trHeight w:val="21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12,702,301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12,809,236</w:t>
            </w: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Incentive Plans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47" w:lineRule="exact"/>
        <w:rPr>
          <w:sz w:val="20"/>
          <w:szCs w:val="20"/>
          <w:color w:val="auto"/>
        </w:rPr>
      </w:pPr>
    </w:p>
    <w:p>
      <w:pPr>
        <w:jc w:val="both"/>
        <w:ind w:firstLine="437"/>
        <w:spacing w:after="0" w:line="247" w:lineRule="auto"/>
        <w:rPr>
          <w:sz w:val="20"/>
          <w:szCs w:val="20"/>
          <w:color w:val="auto"/>
        </w:rPr>
      </w:pPr>
      <w:r>
        <w:rPr>
          <w:rFonts w:ascii="Times New Roman" w:cs="Times New Roman" w:eastAsia="Times New Roman" w:hAnsi="Times New Roman"/>
          <w:sz w:val="18"/>
          <w:szCs w:val="18"/>
          <w:color w:val="auto"/>
        </w:rPr>
        <w:t>On June 8, 2023, the Company’s stockholders approved the Company’s 2023 Equity Incentive Plan, or the 2023 Plan. The 2023 Plan, which became effective on June 8, 2023, serves as the successor to the Company’s 2013 Stock Incentive Plan, or the Prior Plan, and will terminate 10 years after the date approved by the Company’s board of directors. The 2023 Plan initially reserves for issuance 5,306,156 shares, which equals the number of reserved shares available for grant under the Prior Plan as of June 8, 2023. In addition, the number of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is also reserved and eligible for issuance by the Company upon the exercise or settlement of awards to be granted under the 2023 Plan. The 2023 Plan permits the granting of stock options, restricted stock units, or RSUs, restricted stock awards, stock bonus awards, stock appreciation rights and performance awards to employees, consultants, and outside directors of the Company. Options granted may be either ISOs or NSOs. As of December 31, 2023, 5,194,399 shares were available for future issuance under the 2023 Plan.</w:t>
      </w:r>
    </w:p>
    <w:p>
      <w:pPr>
        <w:spacing w:after="0" w:line="222"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Stock options are governed by stock option agreements between the Company and recipients of stock options. Incentive stock options (ISOs), within the meaning of Section 422 of the Internal Revenue Code of 1986, as amended, and nonqualified stock options (NSOs), may be granted under the 2023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from the date of grant. Stock option agreements may provide for time-based and/or performance-based vesting as well as for accelerated exercisability in the event of an optionee's death, disability, or retirement or other events.</w:t>
      </w:r>
    </w:p>
    <w:p>
      <w:pPr>
        <w:spacing w:after="0" w:line="194"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RSUs are governed by restricted stock unit agreements between the Company and recipients of RSUs. RSUs may be granted under the 2023 Plan and the number of stock units awarded are determined by the Compensation Committee of the board of directors. RSUs vest and expire as determined by the Compensation Committee. RSU agreements may provide for time-based and/or performance-based vesting as well as for accelerated vesting in the event of a RSU holder's death, disability, or retirement or other events.</w:t>
      </w:r>
    </w:p>
    <w:p>
      <w:pPr>
        <w:spacing w:after="0" w:line="209"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Pursuant to the 2023 Plan, no non-employee director may receive awards under the 2023 Plan that, when combined with cash compensation received for service as a non-employee director, exceeds $750,000 in value in any calendar year ($1,500,000 in the calendar year in which such non-employee director first joins the board of directors). Awards under the 2023 Plan may be granted to non-employee directors, may be automatically made pursuant to a policy adopted by the Board of Directors, or made from time to time as determined in the discretion of the Board of Directors. In the event of a change in control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under the Company's stock incentive plans (aggregate intrinsic value in thousands):</w:t>
      </w:r>
    </w:p>
    <w:p>
      <w:pPr>
        <w:spacing w:after="0" w:line="11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0" w:type="dxa"/>
            <w:vAlign w:val="bottom"/>
          </w:tcPr>
          <w:p>
            <w:pPr>
              <w:spacing w:after="0"/>
              <w:rPr>
                <w:sz w:val="13"/>
                <w:szCs w:val="13"/>
                <w:color w:val="auto"/>
              </w:rPr>
            </w:pPr>
          </w:p>
        </w:tc>
        <w:tc>
          <w:tcPr>
            <w:tcW w:w="104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2"/>
        </w:trPr>
        <w:tc>
          <w:tcPr>
            <w:tcW w:w="46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Outstanding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 of</w:t>
            </w:r>
          </w:p>
        </w:tc>
        <w:tc>
          <w:tcPr>
            <w:tcW w:w="120" w:type="dxa"/>
            <w:vAlign w:val="bottom"/>
          </w:tcPr>
          <w:p>
            <w:pPr>
              <w:spacing w:after="0"/>
              <w:rPr>
                <w:sz w:val="12"/>
                <w:szCs w:val="12"/>
                <w:color w:val="auto"/>
              </w:rPr>
            </w:pPr>
          </w:p>
        </w:tc>
        <w:tc>
          <w:tcPr>
            <w:tcW w:w="1040" w:type="dxa"/>
            <w:vAlign w:val="bottom"/>
          </w:tcPr>
          <w:p>
            <w:pPr>
              <w:jc w:val="center"/>
              <w:ind w:right="45"/>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Unvested Restricted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120" w:type="dxa"/>
            <w:vAlign w:val="bottom"/>
          </w:tcPr>
          <w:p>
            <w:pPr>
              <w:spacing w:after="0"/>
              <w:rPr>
                <w:sz w:val="12"/>
                <w:szCs w:val="12"/>
                <w:color w:val="auto"/>
              </w:rPr>
            </w:pPr>
          </w:p>
        </w:tc>
        <w:tc>
          <w:tcPr>
            <w:tcW w:w="1040" w:type="dxa"/>
            <w:vAlign w:val="bottom"/>
          </w:tcPr>
          <w:p>
            <w:pPr>
              <w:jc w:val="center"/>
              <w:ind w:right="45"/>
              <w:spacing w:after="0" w:line="146"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6"/>
                <w:szCs w:val="16"/>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11"/>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5,881,906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23,450</w:t>
            </w:r>
          </w:p>
        </w:tc>
        <w:tc>
          <w:tcPr>
            <w:tcW w:w="0" w:type="dxa"/>
            <w:vAlign w:val="bottom"/>
          </w:tcPr>
          <w:p>
            <w:pPr>
              <w:spacing w:after="0"/>
              <w:rPr>
                <w:sz w:val="1"/>
                <w:szCs w:val="1"/>
                <w:color w:val="auto"/>
              </w:rPr>
            </w:pPr>
          </w:p>
        </w:tc>
      </w:tr>
      <w:tr>
        <w:trPr>
          <w:trHeight w:val="210"/>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 -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 - restricted 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Canceled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(570,203)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stock units 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(807,326)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6,318,389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24,466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vested and exercisable—December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2,297,596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20,812</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vested and expected to vest—December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3,437,508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23,860</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The aggregate intrinsic value was calculated as the difference between the exercise price of the options to purchase common stock and the fair market value of the Company's common stock, which was $27.51 and $23.73 per share as of December 31, 2023 and 2022, respectively.</w:t>
      </w:r>
    </w:p>
    <w:p>
      <w:pPr>
        <w:spacing w:after="0" w:line="194"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The weighted average fair value of options to purchase common stock granted was $14.90, $14.61 and $23.45 for the years ended December 31, 2023, 2022 and 2021, respectively.</w:t>
      </w:r>
    </w:p>
    <w:p>
      <w:pPr>
        <w:spacing w:after="0" w:line="194"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The aggregate estimated grant date fair value of employee options to purchase common stock vested during the years ended December 31, 2023, 2022 and 2021 was $8.1 million, $6.8 million and $7.8 million, respectively.</w:t>
      </w:r>
    </w:p>
    <w:p>
      <w:pPr>
        <w:spacing w:after="0" w:line="194"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The intrinsic value of stock options exercised was $9.0 million, $6.3 million and $24.0 million for the years ended December 31, 2023, 2022 and 2021, respectively.</w:t>
      </w:r>
    </w:p>
    <w:p>
      <w:pPr>
        <w:spacing w:after="0" w:line="194"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The weighted average fair value of RSUs granted was $23.92 and $24.37 for the years ended December 31, 2023, and 2022, respectively. The intrinsic value of RSUs vested was $20.9 million and $9.6 million for the years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Included in RSUs granted for 2023, 2022 and 2021 are PSUs with a grant date fair value for remaining participants of $5.0 million, $2.0 million and $1.2 million, respectively, or the 2023 PSUs, 2022 PSUs and 2021 PSUs. These PSUs vest based on the achievement of certain performance conditions, subject to the employees’ continued service with the Company.</w:t>
      </w:r>
    </w:p>
    <w:p>
      <w:pPr>
        <w:spacing w:after="0" w:line="206"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service period for the 2021 PSUs began in 2022 and ended in February 2024. As of December 31, 2023, the Company assessed the probability of the achievement of the performance conditions related to the 2021 PSUs was less than likely, and no expense was recognized.</w:t>
      </w:r>
    </w:p>
    <w:p>
      <w:pPr>
        <w:spacing w:after="0" w:line="194"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The service period for the 2022 PSUs began in 2023 ends in February 2025. The 2022 PSUs vest in two tranches, one-third of the award in 2024 and two-thirds of the award in 2025. The awards may vest in a range of 75% to 125% of the target number of shares based on the level of achievement of the performance conditions. As of December 31, 2023, the Company assessed the probability of the achievement of the performance conditions related to the first tranche of the 2022 PSUs was likely, and recorded $0.7 million of expense in 2023. Any additional expense related to the 2022 PSUs will continue through 2024 based on the Company's assessment of the probability of the achievement of the 2022 PSUs performance conditions.</w:t>
      </w:r>
    </w:p>
    <w:p>
      <w:pPr>
        <w:spacing w:after="0" w:line="215"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service period for the 2023 PSUs begins in 2024 and ends in February 2026. The 2023 PSUs vest in two tranches, 40% of the award in 2025 and 60% of the award in 2026. The awards may vest in a range of 75% to 150% of the target number of shares based on the level of achievement of the performance conditions. Any expense related to the 2023 PSUs will begin in 2024 and will be based on the Company's assessment of the probability of the achievement of the 2023 PSUs performance conditions.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47"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The Company's stockholders approved the Company's ESPP in May 2015 and approved an amendment and restatement of the Company’s ESPP in June 2020.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215"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Pursuant to the ESPP, the purchase price will be 85% of the fair market value per share of the Company's common stock on either the offering date or on the purchase date, whichever is less.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board of directors has determined that the offering periods will begin each calendar year on August 1 and February 1, will be twelve</w:t>
      </w:r>
    </w:p>
    <w:p>
      <w:pPr>
        <w:spacing w:after="0" w:line="22" w:lineRule="exact"/>
        <w:rPr>
          <w:sz w:val="20"/>
          <w:szCs w:val="20"/>
          <w:color w:val="auto"/>
        </w:rPr>
      </w:pPr>
    </w:p>
    <w:p>
      <w:pPr>
        <w:jc w:val="both"/>
        <w:ind w:firstLine="6"/>
        <w:spacing w:after="0" w:line="263" w:lineRule="auto"/>
        <w:tabs>
          <w:tab w:leader="none" w:pos="3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in duration and include two (2) purchase periods, each purchase period lasting six (6) months. The Company's board of directors has determined that the purchase price will be 85% of the fair market value per share of the Company's common stock on either the offering date, which is the first trading day of the offering period, or the purchase date, which is the last trading day of the purchase period, whichever is less. The length of the offering period, the purchase period and the purchase price may not be changed without the approval of the independent members of the Compensation Committee of the Company's board of directors.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spacing w:after="0" w:line="204"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No employee is permitted to accrue, under the ESPP, a right to purchase stock of the Company having a value in excess of $25,000 of the fair market value of such stock (determined at the time the right is granted) for each calendar year. As of December 31, 2023, 1,189,513 shares of common stock were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7"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stock options, RSUs and the ESPP for the years ended December 31, 2023, 2022 and 2021, and are included in the consolidated statements of operations as follows (in thousands of dollars):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5"/>
        </w:trPr>
        <w:tc>
          <w:tcPr>
            <w:tcW w:w="6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5"/>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25"/>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w:t>
            </w: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As of December 31, 2023, the Company had $61.7 million of unrecognized compensation expense related to unvested stock options and RSUs, which is expected to be recognized over an estimated weighted-average period of 2.5 years.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estimated grant-date fair value of stock options was calculated using the Black-Scholes option-pricing model, based on the following assumptions.</w:t>
      </w:r>
    </w:p>
    <w:p>
      <w:pPr>
        <w:spacing w:after="0" w:line="54" w:lineRule="exact"/>
        <w:rPr>
          <w:sz w:val="20"/>
          <w:szCs w:val="20"/>
          <w:color w:val="auto"/>
        </w:rPr>
      </w:pPr>
    </w:p>
    <w:p>
      <w:pPr>
        <w:ind w:left="640" w:hanging="197"/>
        <w:spacing w:after="0" w:line="242"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represents the period that the options granted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historical data.</w:t>
      </w:r>
    </w:p>
    <w:p>
      <w:pPr>
        <w:spacing w:after="0" w:line="6" w:lineRule="exact"/>
        <w:rPr>
          <w:rFonts w:ascii="Times New Roman" w:cs="Times New Roman" w:eastAsia="Times New Roman" w:hAnsi="Times New Roman"/>
          <w:sz w:val="18"/>
          <w:szCs w:val="18"/>
          <w:color w:val="auto"/>
        </w:rPr>
      </w:pPr>
    </w:p>
    <w:p>
      <w:pPr>
        <w:ind w:left="640" w:hanging="197"/>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the historical volatility of its common stock.</w:t>
      </w:r>
    </w:p>
    <w:p>
      <w:pPr>
        <w:spacing w:after="0" w:line="31" w:lineRule="exact"/>
        <w:rPr>
          <w:rFonts w:ascii="Times New Roman" w:cs="Times New Roman" w:eastAsia="Times New Roman" w:hAnsi="Times New Roman"/>
          <w:sz w:val="18"/>
          <w:szCs w:val="18"/>
          <w:color w:val="auto"/>
        </w:rPr>
      </w:pPr>
    </w:p>
    <w:p>
      <w:pPr>
        <w:ind w:left="640" w:hanging="197"/>
        <w:spacing w:after="0" w:line="242"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Company based the risk-free interest rate over the expected term of the options based on the constant maturity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Treasury securities with similar maturities as of the date of the grant.</w:t>
      </w:r>
    </w:p>
    <w:p>
      <w:pPr>
        <w:spacing w:after="0" w:line="6" w:lineRule="exact"/>
        <w:rPr>
          <w:rFonts w:ascii="Times New Roman" w:cs="Times New Roman" w:eastAsia="Times New Roman" w:hAnsi="Times New Roman"/>
          <w:sz w:val="18"/>
          <w:szCs w:val="18"/>
          <w:color w:val="auto"/>
        </w:rPr>
      </w:pPr>
    </w:p>
    <w:p>
      <w:pPr>
        <w:ind w:left="640" w:hanging="197"/>
        <w:spacing w:after="0" w:line="242"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has not paid and does not anticipate paying any dividends in the near future. Therefore,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was zero.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estimated grant-date fair value of employee stock options using the Black-Scholes option-pricing model was based on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63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63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- 69.78%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- 67.66%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- 60.48%</w:t>
            </w:r>
          </w:p>
        </w:tc>
      </w:tr>
      <w:tr>
        <w:trPr>
          <w:trHeight w:val="225"/>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5.44 - 5.66</w:t>
            </w:r>
          </w:p>
        </w:tc>
        <w:tc>
          <w:tcPr>
            <w:tcW w:w="1640" w:type="dxa"/>
            <w:vAlign w:val="bottom"/>
            <w:gridSpan w:val="3"/>
          </w:tcPr>
          <w:p>
            <w:pPr>
              <w:jc w:val="center"/>
              <w:ind w:left="38"/>
              <w:spacing w:after="0"/>
              <w:rPr>
                <w:sz w:val="20"/>
                <w:szCs w:val="20"/>
                <w:color w:val="auto"/>
              </w:rPr>
            </w:pPr>
            <w:r>
              <w:rPr>
                <w:rFonts w:ascii="Times New Roman" w:cs="Times New Roman" w:eastAsia="Times New Roman" w:hAnsi="Times New Roman"/>
                <w:sz w:val="18"/>
                <w:szCs w:val="18"/>
                <w:color w:val="auto"/>
                <w:w w:val="97"/>
              </w:rPr>
              <w:t>5.26 - 5.27</w:t>
            </w:r>
          </w:p>
        </w:tc>
        <w:tc>
          <w:tcPr>
            <w:tcW w:w="10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5.05 - 5.25</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- 4.21%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- 1.21%</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tcPr>
          <w:p>
            <w:pPr>
              <w:spacing w:after="0"/>
              <w:rPr>
                <w:sz w:val="19"/>
                <w:szCs w:val="19"/>
                <w:color w:val="auto"/>
              </w:rPr>
            </w:pPr>
          </w:p>
        </w:tc>
        <w:tc>
          <w:tcPr>
            <w:tcW w:w="920" w:type="dxa"/>
            <w:vAlign w:val="bottom"/>
          </w:tcPr>
          <w:p>
            <w:pPr>
              <w:jc w:val="center"/>
              <w:ind w:right="53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c>
          <w:tcPr>
            <w:tcW w:w="900" w:type="dxa"/>
            <w:vAlign w:val="bottom"/>
          </w:tcPr>
          <w:p>
            <w:pPr>
              <w:jc w:val="center"/>
              <w:ind w:right="556"/>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8" w:lineRule="exact"/>
        <w:rPr>
          <w:sz w:val="20"/>
          <w:szCs w:val="20"/>
          <w:color w:val="auto"/>
        </w:rPr>
      </w:pPr>
    </w:p>
    <w:p>
      <w:pPr>
        <w:jc w:val="both"/>
        <w:ind w:right="20" w:firstLine="437"/>
        <w:spacing w:after="0" w:line="271" w:lineRule="auto"/>
        <w:rPr>
          <w:sz w:val="20"/>
          <w:szCs w:val="20"/>
          <w:color w:val="auto"/>
        </w:rPr>
      </w:pPr>
      <w:r>
        <w:rPr>
          <w:rFonts w:ascii="Times New Roman" w:cs="Times New Roman" w:eastAsia="Times New Roman" w:hAnsi="Times New Roman"/>
          <w:sz w:val="18"/>
          <w:szCs w:val="18"/>
          <w:color w:val="auto"/>
        </w:rPr>
        <w:t>The estimated grant date fair value of the ESPP shares was calculated using the Black-Scholes option-pricing model, based on the following assumptions: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6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6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center"/>
              <w:ind w:right="53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4"/>
        </w:trPr>
        <w:tc>
          <w:tcPr>
            <w:tcW w:w="6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- 83.69%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- 88.59%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- 80.70%</w:t>
            </w:r>
          </w:p>
        </w:tc>
      </w:tr>
      <w:tr>
        <w:trPr>
          <w:trHeight w:val="225"/>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0.50 - 1.00</w:t>
            </w:r>
          </w:p>
        </w:tc>
        <w:tc>
          <w:tcPr>
            <w:tcW w:w="1640" w:type="dxa"/>
            <w:vAlign w:val="bottom"/>
            <w:gridSpan w:val="3"/>
          </w:tcPr>
          <w:p>
            <w:pPr>
              <w:jc w:val="center"/>
              <w:ind w:left="38"/>
              <w:spacing w:after="0"/>
              <w:rPr>
                <w:sz w:val="20"/>
                <w:szCs w:val="20"/>
                <w:color w:val="auto"/>
              </w:rPr>
            </w:pPr>
            <w:r>
              <w:rPr>
                <w:rFonts w:ascii="Times New Roman" w:cs="Times New Roman" w:eastAsia="Times New Roman" w:hAnsi="Times New Roman"/>
                <w:sz w:val="18"/>
                <w:szCs w:val="18"/>
                <w:color w:val="auto"/>
                <w:w w:val="97"/>
              </w:rPr>
              <w:t>0.50 - 1.00</w:t>
            </w:r>
          </w:p>
        </w:tc>
        <w:tc>
          <w:tcPr>
            <w:tcW w:w="10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0.50 - 1.00</w:t>
            </w:r>
          </w:p>
        </w:tc>
      </w:tr>
      <w:tr>
        <w:trPr>
          <w:trHeight w:val="225"/>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- 2.96%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- 0.08%</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tcPr>
          <w:p>
            <w:pPr>
              <w:spacing w:after="0"/>
              <w:rPr>
                <w:sz w:val="19"/>
                <w:szCs w:val="19"/>
                <w:color w:val="auto"/>
              </w:rPr>
            </w:pPr>
          </w:p>
        </w:tc>
        <w:tc>
          <w:tcPr>
            <w:tcW w:w="920" w:type="dxa"/>
            <w:vAlign w:val="bottom"/>
          </w:tcPr>
          <w:p>
            <w:pPr>
              <w:jc w:val="center"/>
              <w:ind w:right="53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19"/>
                <w:szCs w:val="19"/>
                <w:color w:val="auto"/>
              </w:rPr>
            </w:pPr>
          </w:p>
        </w:tc>
        <w:tc>
          <w:tcPr>
            <w:tcW w:w="900" w:type="dxa"/>
            <w:vAlign w:val="bottom"/>
          </w:tcPr>
          <w:p>
            <w:pPr>
              <w:jc w:val="center"/>
              <w:ind w:right="556"/>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5"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Company generated a pre-tax loss of $76.6 million, $36.4 million and $81.6 million in the United States for the years ended December 31, 2023, 2022 and 2021, respectively. Starting in 2020, the Company began generating pre-tax loss outside the United States. Pre-tax loss has been recorded in the following jurisdictions for the years ended December 31, 2023, 2022 and 2021 (in thousands of dollars):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(68,707)</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(12,942)</w:t>
            </w:r>
          </w:p>
        </w:tc>
      </w:tr>
      <w:tr>
        <w:trPr>
          <w:trHeight w:val="243"/>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437"/>
        <w:spacing w:after="0" w:line="250" w:lineRule="auto"/>
        <w:rPr>
          <w:sz w:val="20"/>
          <w:szCs w:val="20"/>
          <w:color w:val="auto"/>
        </w:rPr>
      </w:pPr>
      <w:r>
        <w:rPr>
          <w:rFonts w:ascii="Times New Roman" w:cs="Times New Roman" w:eastAsia="Times New Roman" w:hAnsi="Times New Roman"/>
          <w:sz w:val="18"/>
          <w:szCs w:val="18"/>
          <w:color w:val="auto"/>
        </w:rPr>
        <w:t>The Company recorded an income tax benefit in 2023 of $2.2 million primarily due to reductions in deferred tax liabilities from acquired entities partially offset by foreign and state income taxes. The Company recorded an income tax provision in 2022 of $0.1 million primarily due to foreign and state income taxes offset partially by reductions in deferred tax liabilities from acquired entities. The Company recorded an income tax benefit in 2021 of $6.1 million primarily due to the release of certain valuation allowances on the Company's deferred tax assets upon recording of the deferred tax liabilities upon acquisition of Decipher Biosciences and a provision benefit recorded on the 2021 year loss of HalioDx French entity. The components of the (benefit) provision for income taxes are as follows for the years ended December 31, 2023, 2022 and 2021 (in thousands of dollars):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8"/>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5"/>
        </w:trPr>
        <w:tc>
          <w:tcPr>
            <w:tcW w:w="67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18"/>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(3,921)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437"/>
        <w:spacing w:after="0" w:line="259" w:lineRule="auto"/>
        <w:rPr>
          <w:sz w:val="20"/>
          <w:szCs w:val="20"/>
          <w:color w:val="auto"/>
        </w:rPr>
      </w:pPr>
      <w:r>
        <w:rPr>
          <w:rFonts w:ascii="Times New Roman" w:cs="Times New Roman" w:eastAsia="Times New Roman" w:hAnsi="Times New Roman"/>
          <w:sz w:val="18"/>
          <w:szCs w:val="18"/>
          <w:color w:val="auto"/>
        </w:rPr>
        <w:t xml:space="preserve">The Company follows FASB ASC No.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the Computation and Presentation of its Tax Provision. The following table presents a reconciliation of the income tax expense computed at the statutory federal rate and the Company's income tax expense for the periods presented (in thousands of dollars):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 excess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110,975</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133,492</w:t>
            </w: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25"/>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NanoString intangibles and 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2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25"/>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Accruals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w:t>
            </w:r>
          </w:p>
        </w:tc>
      </w:tr>
      <w:tr>
        <w:trPr>
          <w:trHeight w:val="218"/>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157,848</w:t>
            </w:r>
          </w:p>
        </w:tc>
      </w:tr>
      <w:tr>
        <w:trPr>
          <w:trHeight w:val="225"/>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(120,586)</w:t>
            </w:r>
          </w:p>
        </w:tc>
      </w:tr>
      <w:tr>
        <w:trPr>
          <w:trHeight w:val="218"/>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acquired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(34,823)</w:t>
            </w:r>
          </w:p>
        </w:tc>
      </w:tr>
      <w:tr>
        <w:trPr>
          <w:trHeight w:val="225"/>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25"/>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18"/>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(42,854)</w:t>
            </w:r>
          </w:p>
        </w:tc>
      </w:tr>
      <w:tr>
        <w:trPr>
          <w:trHeight w:val="218"/>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(42,854)</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The Company records net deferred tax assets to the extent it is more likely than not that the assets will be realized. In making such determination, the Company considered all available positive and negative evidence, including future reversals of existing taxable temporary differences, projected future taxable income, tax planning strategies and recent financial operations. The Company has established a valuation allowance against its net deferred tax assets due to the uncertainty surrounding realization of such assets. The valuation allowance increased $14.5 million, $4.8 million and $41.9 million during the years ended December 31, 2023, 2022 and 2021, respectively.</w:t>
      </w:r>
    </w:p>
    <w:p>
      <w:pPr>
        <w:spacing w:after="0" w:line="215"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net operating loss carryforwards of approximately $320.7 million, $77.4 million and $113.6 million available to reduce future taxable income, if any, for federal, California and other state income tax purposes, respectively. The U.S. federal net operating loss carryforwards will begin to expire in 2035 while for state purposes, the net operating losses begin to expire in 2024.</w:t>
      </w:r>
    </w:p>
    <w:p>
      <w:pPr>
        <w:spacing w:after="0" w:line="20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foreign net operating loss carryforwards of approximately $71.0 million and $53.1 million available to reduce future taxable income, if any, for Canadian and French income tax purposes, respectively. The Canada net operating loss carryforwards will begin to expire in 2034, while for French purposes, the net operating losses will carryforward indefinitely.</w:t>
      </w:r>
    </w:p>
    <w:p>
      <w:pPr>
        <w:spacing w:after="0" w:line="206"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net research and development credit carryforwards of approximately $8.3 million and $7.1 million available to reduce future taxable income, if any, for federal and state income tax purposes, respectively. The federal credit carryforwards begin to expire in 2028. California credits have no expiration date. Other state credit carryforwards begin to expire in 2024.</w:t>
      </w:r>
    </w:p>
    <w:p>
      <w:pPr>
        <w:spacing w:after="0" w:line="206"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Company also had scientific net research and development credit carryforwards of approximately $1.8 million available to reduce future taxable income, if any, for Canadian income tax purposes. The credit carryforwards begin to expire in 2025.</w:t>
      </w:r>
    </w:p>
    <w:p>
      <w:pPr>
        <w:spacing w:after="0" w:line="194" w:lineRule="exact"/>
        <w:rPr>
          <w:sz w:val="20"/>
          <w:szCs w:val="20"/>
          <w:color w:val="auto"/>
        </w:rPr>
      </w:pPr>
    </w:p>
    <w:p>
      <w:pPr>
        <w:jc w:val="both"/>
        <w:ind w:firstLine="437"/>
        <w:spacing w:after="0" w:line="249" w:lineRule="auto"/>
        <w:rPr>
          <w:sz w:val="20"/>
          <w:szCs w:val="20"/>
          <w:color w:val="auto"/>
        </w:rPr>
      </w:pPr>
      <w:r>
        <w:rPr>
          <w:rFonts w:ascii="Times New Roman" w:cs="Times New Roman" w:eastAsia="Times New Roman" w:hAnsi="Times New Roman"/>
          <w:sz w:val="18"/>
          <w:szCs w:val="18"/>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or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47" w:lineRule="exact"/>
        <w:rPr>
          <w:sz w:val="20"/>
          <w:szCs w:val="20"/>
          <w:color w:val="auto"/>
        </w:rPr>
      </w:pPr>
    </w:p>
    <w:p>
      <w:pPr>
        <w:jc w:val="both"/>
        <w:ind w:firstLine="437"/>
        <w:spacing w:after="0" w:line="280" w:lineRule="auto"/>
        <w:rPr>
          <w:sz w:val="20"/>
          <w:szCs w:val="20"/>
          <w:color w:val="auto"/>
        </w:rPr>
      </w:pPr>
      <w:r>
        <w:rPr>
          <w:rFonts w:ascii="Times New Roman" w:cs="Times New Roman" w:eastAsia="Times New Roman" w:hAnsi="Times New Roman"/>
          <w:sz w:val="17"/>
          <w:szCs w:val="17"/>
          <w:color w:val="auto"/>
        </w:rPr>
        <w:t>As of December 31, 2023, the Company had unrecognized tax benefits of $5.7 million, none of which currently would affect the Company's effective tax rate if recognized due to the Company's deferred tax assets being fully offset by a valuation allowance. The Company does not anticipate that the amount of unrecognized tax benefits relating to tax positions existing at December 31, 2023 will significantly increase or decrease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 of dollars):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increases—tax position in prior period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decreases—tax position in prior period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increases—current period tax position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920" w:type="dxa"/>
            <w:vAlign w:val="bottom"/>
            <w:tcBorders>
              <w:top w:val="single" w:sz="8" w:color="auto"/>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437"/>
        <w:spacing w:after="0" w:line="301" w:lineRule="auto"/>
        <w:rPr>
          <w:sz w:val="20"/>
          <w:szCs w:val="20"/>
          <w:color w:val="auto"/>
        </w:rPr>
      </w:pPr>
      <w:r>
        <w:rPr>
          <w:rFonts w:ascii="Times New Roman" w:cs="Times New Roman" w:eastAsia="Times New Roman" w:hAnsi="Times New Roman"/>
          <w:sz w:val="17"/>
          <w:szCs w:val="17"/>
          <w:color w:val="auto"/>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2023.</w:t>
      </w:r>
    </w:p>
    <w:p>
      <w:pPr>
        <w:spacing w:after="0" w:line="171"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Company's major tax jurisdictions are the United States, France, Canada,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 in the United States. There is an audit of Veracyte SAS ongoing in France.</w:t>
      </w:r>
    </w:p>
    <w:p>
      <w:pPr>
        <w:spacing w:after="0" w:line="206"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was signed into law August 16, 2022, and includes significant legislation addressing taxes, inflation, climate change and renewable energy incentives, and healthcare. Key tax provisions include a 15% corporate minimum tax, clean energy incentives, and a 1% excise tax on stock buybacks. The provisions of such legislation did not have any impact on the effective tax rate of the Company during 2023, and the Company will continue to evaluate the tax effects should any provisions become applicable to the Company.</w:t>
      </w:r>
    </w:p>
    <w:p>
      <w:pPr>
        <w:spacing w:after="0" w:line="209"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Change to Internal Revenue Code Section 174 under the 2017 Tax Cuts and Jobs Act went into effect during 2022. The revised code no longer permits a deduction for research and development expenditures in the tax year that such costs incurred. Instead, such costs must be capitalized and amortized over five or 15 years for U.S. and foreign costs, respectively. The Company capitalized such costs in its 2022 and 2023 income tax provisions, resulting in an increase in deferred tax assets.</w:t>
      </w:r>
    </w:p>
    <w:p>
      <w:pPr>
        <w:spacing w:after="0" w:line="207" w:lineRule="exact"/>
        <w:rPr>
          <w:sz w:val="20"/>
          <w:szCs w:val="20"/>
          <w:color w:val="auto"/>
        </w:rPr>
      </w:pPr>
    </w:p>
    <w:p>
      <w:pPr>
        <w:ind w:right="9200" w:firstLine="6"/>
        <w:spacing w:after="0" w:line="522" w:lineRule="auto"/>
        <w:tabs>
          <w:tab w:leader="none" w:pos="25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401(k) plan</w:t>
      </w:r>
    </w:p>
    <w:p>
      <w:pPr>
        <w:spacing w:after="0" w:line="2"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employees. Under the plan, participants are entitled to make pre-tax contributions up to the annual maximums established by the Internal Revenue Service. The Company, at its discretion, may make matching contributions to the 401(k) plan. Employer contributions to the plan were $1.5 million, $1.4 million and $1.3 million for the years ended December 31, 2023, 2022, and 2021,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w:t>
      </w:r>
    </w:p>
    <w:p>
      <w:pPr>
        <w:spacing w:after="0" w:line="245"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Company also maintains a defined benefit plan for certain non-U.S. employees of its Veracyte SAS subsidiary. The pension liability is included in other long-term liabilities on the Company's consolidated balance sheets and totaled $0.8 million and $0.7 million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Components of Other Income, net</w:t>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French research tax credits</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currency revaluation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8"/>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w:t>
      </w:r>
    </w:p>
    <w:p>
      <w:pPr>
        <w:spacing w:after="0" w:line="245" w:lineRule="exact"/>
        <w:rPr>
          <w:sz w:val="20"/>
          <w:szCs w:val="20"/>
          <w:color w:val="auto"/>
        </w:rPr>
      </w:pPr>
    </w:p>
    <w:p>
      <w:pPr>
        <w:jc w:val="both"/>
        <w:ind w:firstLine="437"/>
        <w:spacing w:after="0" w:line="249" w:lineRule="auto"/>
        <w:rPr>
          <w:sz w:val="20"/>
          <w:szCs w:val="20"/>
          <w:color w:val="auto"/>
        </w:rPr>
      </w:pPr>
      <w:r>
        <w:rPr>
          <w:rFonts w:ascii="Times New Roman" w:cs="Times New Roman" w:eastAsia="Times New Roman" w:hAnsi="Times New Roman"/>
          <w:sz w:val="18"/>
          <w:szCs w:val="18"/>
          <w:color w:val="auto"/>
        </w:rPr>
        <w:t>On February 5, 2024 the Company completed its previously announced acquisition of 100% of the outstanding equity of C2i for a purchase price of $70.0 million to C2i securityholders, subject to customary purchase price adjustments. C2i was a privately-held company providing MRD detection. The consideration to acquire C2i comprised $8.0 million deposited into escrow to secure certain indemnification obligations of the C2i securityholders, $0.2 million deposited with the securityholders’ agent for payment or reimbursement of certain expenses potentially to be incurred by the securityholders’ agent in connection with the acquisition and the as-adjusted remainder paid to the C2i securityholders in an aggregate amount of up to 2,698,349 shares of the Company's common stock. In addition, the Company may pay up to $25.0 million to C2i securityholders based on the achievement of future performance milestones over the next two years, or the Milestone Payments. Subject to certain limitations, the Milestone Payments shall be payable in cash or shares of the Company's common stock at the Company's election.</w:t>
      </w:r>
    </w:p>
    <w:p>
      <w:pPr>
        <w:spacing w:after="0" w:line="214" w:lineRule="exact"/>
        <w:rPr>
          <w:sz w:val="20"/>
          <w:szCs w:val="20"/>
          <w:color w:val="auto"/>
        </w:rPr>
      </w:pPr>
    </w:p>
    <w:p>
      <w:pPr>
        <w:jc w:val="both"/>
        <w:ind w:firstLine="437"/>
        <w:spacing w:after="0" w:line="254" w:lineRule="auto"/>
        <w:rPr>
          <w:sz w:val="20"/>
          <w:szCs w:val="20"/>
          <w:color w:val="auto"/>
        </w:rPr>
      </w:pPr>
      <w:r>
        <w:rPr>
          <w:rFonts w:ascii="Times New Roman" w:cs="Times New Roman" w:eastAsia="Times New Roman" w:hAnsi="Times New Roman"/>
          <w:sz w:val="18"/>
          <w:szCs w:val="18"/>
          <w:color w:val="auto"/>
        </w:rPr>
        <w:t>In accordance with ASC Topic 805, Business Combinations, or Topic 805, the C2i acquisition will be accounted for as a business combination. Due to the close proximity of the acquisition date and the filing of the Company`s Annual Report on Form 10-K for the year ended December 31, 2023, the Company is unable to disclose the information required by Topic 805. The results of operations of C2i will be consolidated with those of the Company from the acquisition date, beginning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5" w:lineRule="exact"/>
        <w:rPr>
          <w:sz w:val="20"/>
          <w:szCs w:val="20"/>
          <w:color w:val="auto"/>
        </w:rPr>
      </w:pPr>
    </w:p>
    <w:p>
      <w:pPr>
        <w:jc w:val="both"/>
        <w:ind w:firstLine="437"/>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as amended, which are designed to provide reasonable assurance that information required to be disclosed by us in reports that we file or submit under the Exchange Act are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recognizes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 Based on this evaluation, our Chief Executive Officer and Chief Financial Officer concluded that our disclosure controls and procedures were effective as of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45" w:lineRule="exact"/>
        <w:rPr>
          <w:sz w:val="20"/>
          <w:szCs w:val="20"/>
          <w:color w:val="auto"/>
        </w:rPr>
      </w:pPr>
    </w:p>
    <w:p>
      <w:pPr>
        <w:jc w:val="both"/>
        <w:ind w:firstLine="437"/>
        <w:spacing w:after="0" w:line="248"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2023, using the criteria established in </w:t>
      </w:r>
      <w:r>
        <w:rPr>
          <w:rFonts w:ascii="Times New Roman" w:cs="Times New Roman" w:eastAsia="Times New Roman" w:hAnsi="Times New Roman"/>
          <w:sz w:val="18"/>
          <w:szCs w:val="18"/>
          <w:i w:val="1"/>
          <w:iCs w:val="1"/>
          <w:color w:val="auto"/>
        </w:rPr>
        <w:t>Internal Control Integrated Framework, or</w:t>
      </w:r>
      <w:r>
        <w:rPr>
          <w:rFonts w:ascii="Times New Roman" w:cs="Times New Roman" w:eastAsia="Times New Roman" w:hAnsi="Times New Roman"/>
          <w:sz w:val="18"/>
          <w:szCs w:val="18"/>
          <w:color w:val="auto"/>
        </w:rPr>
        <w:t xml:space="preserve"> 2013 Framework, issued by the Committee of Sponsoring Organizations of the Treadway Commission, or COSO. Our management has concluded that, as of December 31, 2023, our internal control over financial reporting was effective to provide reasonable assurance regarding the reliability of financial reporting and the preparation of consolidated financial statements for external purposes in accordance with generally accepted accounting principles.</w:t>
      </w:r>
    </w:p>
    <w:p>
      <w:pPr>
        <w:spacing w:after="0" w:line="219"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Ernst &amp; Young LLP, an independent registered public accounting firm, as stated in their report, which is included herein.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5" w:lineRule="exact"/>
        <w:rPr>
          <w:sz w:val="20"/>
          <w:szCs w:val="20"/>
          <w:color w:val="auto"/>
        </w:rPr>
      </w:pPr>
    </w:p>
    <w:p>
      <w:pPr>
        <w:jc w:val="both"/>
        <w:ind w:firstLine="437"/>
        <w:spacing w:after="0" w:line="27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Veracyte,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Internal Control Over Financial Reporting</w:t>
      </w:r>
    </w:p>
    <w:p>
      <w:pPr>
        <w:spacing w:after="0" w:line="232"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17"/>
          <w:szCs w:val="17"/>
          <w:color w:val="333333"/>
        </w:rPr>
        <w:t>We have audited Veracyte, Inc.’s internal control over financial reporting as of December 31, 2023, based on criteria established in Internal Control— Integrated Framework issued by the Committee of Sponsoring Organizations of the Treadway Commission (2013 framework) (the COSO criteria). In our</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8"/>
          <w:szCs w:val="18"/>
          <w:color w:val="333333"/>
        </w:rPr>
        <w:t>opinion, Veracyte, Inc. (the Company) maintained, in all material respects, effective internal control over financial reporting as of December 31, 2023, based on the COSO criteria.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2023 consolidated financial statements of the Company and our report dated February 29, 2024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32"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w:t>
      </w:r>
    </w:p>
    <w:p>
      <w:pPr>
        <w:spacing w:after="0" w:line="1" w:lineRule="exact"/>
        <w:rPr>
          <w:sz w:val="20"/>
          <w:szCs w:val="20"/>
          <w:color w:val="auto"/>
        </w:rPr>
      </w:pPr>
    </w:p>
    <w:p>
      <w:pPr>
        <w:ind w:right="460"/>
        <w:spacing w:after="0" w:line="213" w:lineRule="auto"/>
        <w:rPr>
          <w:sz w:val="20"/>
          <w:szCs w:val="20"/>
          <w:color w:val="auto"/>
        </w:rPr>
      </w:pPr>
      <w:r>
        <w:rPr>
          <w:rFonts w:ascii="Times New Roman" w:cs="Times New Roman" w:eastAsia="Times New Roman" w:hAnsi="Times New Roman"/>
          <w:sz w:val="18"/>
          <w:szCs w:val="18"/>
          <w:color w:val="333333"/>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320"/>
        <w:spacing w:after="0" w:line="232" w:lineRule="auto"/>
        <w:rPr>
          <w:sz w:val="20"/>
          <w:szCs w:val="20"/>
          <w:color w:val="auto"/>
        </w:rPr>
      </w:pPr>
      <w:r>
        <w:rPr>
          <w:rFonts w:ascii="Times New Roman" w:cs="Times New Roman" w:eastAsia="Times New Roman" w:hAnsi="Times New Roman"/>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Our audit included obtaining an understanding of internal control over financial reporting, assessing the risk that a material weakness exists, testing and</w:t>
      </w:r>
    </w:p>
    <w:p>
      <w:pPr>
        <w:ind w:right="440"/>
        <w:spacing w:after="0" w:line="221" w:lineRule="auto"/>
        <w:rPr>
          <w:sz w:val="20"/>
          <w:szCs w:val="20"/>
          <w:color w:val="auto"/>
        </w:rPr>
      </w:pPr>
      <w:r>
        <w:rPr>
          <w:rFonts w:ascii="Times New Roman" w:cs="Times New Roman" w:eastAsia="Times New Roman" w:hAnsi="Times New Roman"/>
          <w:sz w:val="18"/>
          <w:szCs w:val="18"/>
          <w:color w:val="333333"/>
        </w:rPr>
        <w:t>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Definition and Limitations of Internal Control Over Financial Reporting</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A company’s internal control over financial reporting is a process designed to provide reasonable assurance regarding the reliability of financial reporting and</w:t>
      </w:r>
    </w:p>
    <w:p>
      <w:pPr>
        <w:spacing w:after="0" w:line="10" w:lineRule="exact"/>
        <w:rPr>
          <w:sz w:val="20"/>
          <w:szCs w:val="20"/>
          <w:color w:val="auto"/>
        </w:rPr>
      </w:pPr>
    </w:p>
    <w:p>
      <w:pPr>
        <w:jc w:val="both"/>
        <w:ind w:right="40"/>
        <w:spacing w:after="0" w:line="216" w:lineRule="auto"/>
        <w:rPr>
          <w:sz w:val="20"/>
          <w:szCs w:val="20"/>
          <w:color w:val="auto"/>
        </w:rPr>
      </w:pPr>
      <w:r>
        <w:rPr>
          <w:rFonts w:ascii="Times New Roman" w:cs="Times New Roman" w:eastAsia="Times New Roman" w:hAnsi="Times New Roman"/>
          <w:sz w:val="17"/>
          <w:szCs w:val="17"/>
          <w:color w:val="333333"/>
        </w:rPr>
        <w:t>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7"/>
          <w:szCs w:val="17"/>
          <w:color w:val="333333"/>
        </w:rPr>
        <w:t>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3"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is incorporated by reference from the information contained in our proxy statement to be filed with the Securities and Exchange Commission no later than 120 days from the end of our fiscal year ended December 31, 2023 in connection with the solicitation of proxies for our 2024 Annual Meeting of Stockholders, or the Proxy Statement.</w:t>
      </w: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45"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242" w:lineRule="exact"/>
        <w:rPr>
          <w:rFonts w:ascii="Times New Roman" w:cs="Times New Roman" w:eastAsia="Times New Roman" w:hAnsi="Times New Roman"/>
          <w:sz w:val="18"/>
          <w:szCs w:val="18"/>
          <w:color w:val="auto"/>
        </w:rPr>
      </w:pPr>
    </w:p>
    <w:p>
      <w:pPr>
        <w:ind w:left="800" w:hanging="357"/>
        <w:spacing w:after="0"/>
        <w:tabs>
          <w:tab w:leader="none" w:pos="8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Index to Financial Statements of Veracyte, Inc. included in Item 8 of Part II hereof.</w:t>
      </w:r>
    </w:p>
    <w:p>
      <w:pPr>
        <w:spacing w:after="0" w:line="243" w:lineRule="exact"/>
        <w:rPr>
          <w:sz w:val="20"/>
          <w:szCs w:val="20"/>
          <w:color w:val="auto"/>
        </w:rPr>
      </w:pPr>
    </w:p>
    <w:p>
      <w:pPr>
        <w:ind w:left="800" w:hanging="357"/>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43" w:lineRule="exact"/>
        <w:rPr>
          <w:sz w:val="20"/>
          <w:szCs w:val="20"/>
          <w:color w:val="auto"/>
        </w:rPr>
      </w:pPr>
    </w:p>
    <w:p>
      <w:pPr>
        <w:ind w:firstLine="437"/>
        <w:spacing w:after="0" w:line="271"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or the required information is included in the financial statements or notes thereto.</w:t>
      </w:r>
    </w:p>
    <w:p>
      <w:pPr>
        <w:spacing w:after="0" w:line="194" w:lineRule="exact"/>
        <w:rPr>
          <w:sz w:val="20"/>
          <w:szCs w:val="20"/>
          <w:color w:val="auto"/>
        </w:rPr>
      </w:pPr>
    </w:p>
    <w:p>
      <w:pPr>
        <w:ind w:left="800" w:hanging="357"/>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15(b) below. Each management contract or compensating plan or arrangement required to be filed has been identified.</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 Exhibits</w:t>
      </w:r>
    </w:p>
    <w:p>
      <w:pPr>
        <w:spacing w:after="0" w:line="36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31115</wp:posOffset>
            </wp:positionV>
            <wp:extent cx="29832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1" w:lineRule="exact"/>
        <w:rPr>
          <w:sz w:val="20"/>
          <w:szCs w:val="20"/>
          <w:color w:val="auto"/>
        </w:rPr>
      </w:pPr>
    </w:p>
    <w:p>
      <w:pPr>
        <w:ind w:left="40"/>
        <w:spacing w:after="0"/>
        <w:tabs>
          <w:tab w:leader="none" w:pos="2940" w:val="left"/>
          <w:tab w:leader="none" w:pos="5980" w:val="left"/>
          <w:tab w:leader="none" w:pos="7120" w:val="left"/>
          <w:tab w:leader="none" w:pos="8340" w:val="left"/>
          <w:tab w:leader="none" w:pos="9360" w:val="left"/>
          <w:tab w:leader="none" w:pos="102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10.2#</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Restated Certificate of Incorporation of the Registrant</w:t>
              </w:r>
            </w:hyperlink>
          </w:p>
        </w:tc>
        <w:tc>
          <w:tcPr>
            <w:tcW w:w="560" w:type="dxa"/>
            <w:vAlign w:val="bottom"/>
            <w:gridSpan w:val="5"/>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001-36156</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w:t>
            </w: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6/9/2023</w:t>
            </w:r>
          </w:p>
        </w:tc>
        <w:tc>
          <w:tcPr>
            <w:tcW w:w="0" w:type="dxa"/>
            <w:vAlign w:val="bottom"/>
          </w:tcPr>
          <w:p>
            <w:pPr>
              <w:spacing w:after="0"/>
              <w:rPr>
                <w:sz w:val="1"/>
                <w:szCs w:val="1"/>
                <w:color w:val="auto"/>
              </w:rPr>
            </w:pPr>
          </w:p>
        </w:tc>
      </w:tr>
      <w:tr>
        <w:trPr>
          <w:trHeight w:val="205"/>
        </w:trPr>
        <w:tc>
          <w:tcPr>
            <w:tcW w:w="3440" w:type="dxa"/>
            <w:vAlign w:val="bottom"/>
            <w:tcBorders>
              <w:bottom w:val="single" w:sz="8" w:color="0000FF"/>
            </w:tcBorders>
            <w:gridSpan w:val="4"/>
          </w:tcPr>
          <w:p>
            <w:pPr>
              <w:spacing w:after="0" w:line="205" w:lineRule="exact"/>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Amended and Restated Bylaws of the Registrant</w:t>
              </w:r>
            </w:hyperlink>
          </w:p>
        </w:tc>
        <w:tc>
          <w:tcPr>
            <w:tcW w:w="940" w:type="dxa"/>
            <w:vAlign w:val="bottom"/>
            <w:gridSpan w:val="7"/>
          </w:tcPr>
          <w:p>
            <w:pPr>
              <w:spacing w:after="0"/>
              <w:rPr>
                <w:sz w:val="17"/>
                <w:szCs w:val="17"/>
                <w:color w:val="auto"/>
              </w:rPr>
            </w:pPr>
          </w:p>
        </w:tc>
        <w:tc>
          <w:tcPr>
            <w:tcW w:w="94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001-36156</w:t>
            </w:r>
          </w:p>
        </w:tc>
        <w:tc>
          <w:tcPr>
            <w:tcW w:w="92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3.3</w:t>
            </w:r>
          </w:p>
        </w:tc>
        <w:tc>
          <w:tcPr>
            <w:tcW w:w="2080" w:type="dxa"/>
            <w:vAlign w:val="bottom"/>
          </w:tcPr>
          <w:p>
            <w:pPr>
              <w:ind w:left="420"/>
              <w:spacing w:after="0" w:line="205" w:lineRule="exact"/>
              <w:rPr>
                <w:sz w:val="20"/>
                <w:szCs w:val="20"/>
                <w:color w:val="auto"/>
              </w:rPr>
            </w:pPr>
            <w:r>
              <w:rPr>
                <w:rFonts w:ascii="Times New Roman" w:cs="Times New Roman" w:eastAsia="Times New Roman" w:hAnsi="Times New Roman"/>
                <w:sz w:val="18"/>
                <w:szCs w:val="18"/>
                <w:color w:val="auto"/>
              </w:rPr>
              <w:t>6/9/2023</w:t>
            </w:r>
          </w:p>
        </w:tc>
        <w:tc>
          <w:tcPr>
            <w:tcW w:w="0" w:type="dxa"/>
            <w:vAlign w:val="bottom"/>
          </w:tcPr>
          <w:p>
            <w:pPr>
              <w:spacing w:after="0"/>
              <w:rPr>
                <w:sz w:val="1"/>
                <w:szCs w:val="1"/>
                <w:color w:val="auto"/>
              </w:rPr>
            </w:pPr>
          </w:p>
        </w:tc>
      </w:tr>
      <w:tr>
        <w:trPr>
          <w:trHeight w:val="205"/>
        </w:trPr>
        <w:tc>
          <w:tcPr>
            <w:tcW w:w="2520" w:type="dxa"/>
            <w:vAlign w:val="bottom"/>
            <w:tcBorders>
              <w:bottom w:val="single" w:sz="8" w:color="0000FF"/>
            </w:tcBorders>
            <w:gridSpan w:val="2"/>
          </w:tcPr>
          <w:p>
            <w:pPr>
              <w:spacing w:after="0" w:line="205" w:lineRule="exact"/>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Form of Common Stock Certificate</w:t>
              </w:r>
            </w:hyperlink>
          </w:p>
        </w:tc>
        <w:tc>
          <w:tcPr>
            <w:tcW w:w="1860" w:type="dxa"/>
            <w:vAlign w:val="bottom"/>
            <w:gridSpan w:val="9"/>
          </w:tcPr>
          <w:p>
            <w:pPr>
              <w:spacing w:after="0"/>
              <w:rPr>
                <w:sz w:val="17"/>
                <w:szCs w:val="17"/>
                <w:color w:val="auto"/>
              </w:rPr>
            </w:pPr>
          </w:p>
        </w:tc>
        <w:tc>
          <w:tcPr>
            <w:tcW w:w="94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333-191282</w:t>
            </w:r>
          </w:p>
        </w:tc>
        <w:tc>
          <w:tcPr>
            <w:tcW w:w="92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2080" w:type="dxa"/>
            <w:vAlign w:val="bottom"/>
          </w:tcPr>
          <w:p>
            <w:pPr>
              <w:ind w:left="420"/>
              <w:spacing w:after="0" w:line="205" w:lineRule="exact"/>
              <w:rPr>
                <w:sz w:val="20"/>
                <w:szCs w:val="20"/>
                <w:color w:val="auto"/>
              </w:rPr>
            </w:pPr>
            <w:r>
              <w:rPr>
                <w:rFonts w:ascii="Times New Roman" w:cs="Times New Roman" w:eastAsia="Times New Roman" w:hAnsi="Times New Roman"/>
                <w:sz w:val="18"/>
                <w:szCs w:val="18"/>
                <w:color w:val="auto"/>
              </w:rPr>
              <w:t>10/15/2013</w:t>
            </w:r>
          </w:p>
        </w:tc>
        <w:tc>
          <w:tcPr>
            <w:tcW w:w="0" w:type="dxa"/>
            <w:vAlign w:val="bottom"/>
          </w:tcPr>
          <w:p>
            <w:pPr>
              <w:spacing w:after="0"/>
              <w:rPr>
                <w:sz w:val="1"/>
                <w:szCs w:val="1"/>
                <w:color w:val="auto"/>
              </w:rPr>
            </w:pPr>
          </w:p>
        </w:tc>
      </w:tr>
      <w:tr>
        <w:trPr>
          <w:trHeight w:val="205"/>
        </w:trPr>
        <w:tc>
          <w:tcPr>
            <w:tcW w:w="426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Description of Securities Registered under Section 12 of the</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8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11"/>
        </w:trPr>
        <w:tc>
          <w:tcPr>
            <w:tcW w:w="4380" w:type="dxa"/>
            <w:vAlign w:val="bottom"/>
            <w:gridSpan w:val="11"/>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Securities Exchange Act of 1934, as amended</w:t>
            </w:r>
          </w:p>
        </w:tc>
        <w:tc>
          <w:tcPr>
            <w:tcW w:w="9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380" w:type="dxa"/>
            <w:vAlign w:val="bottom"/>
            <w:gridSpan w:val="11"/>
            <w:vMerge w:val="continue"/>
          </w:tcPr>
          <w:p>
            <w:pPr>
              <w:spacing w:after="0"/>
              <w:rPr>
                <w:sz w:val="3"/>
                <w:szCs w:val="3"/>
                <w:color w:val="auto"/>
              </w:rPr>
            </w:pPr>
          </w:p>
        </w:tc>
        <w:tc>
          <w:tcPr>
            <w:tcW w:w="9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80" w:type="dxa"/>
            <w:vAlign w:val="bottom"/>
            <w:gridSpan w:val="11"/>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Indemnification Agreement between the Registrant</w:t>
              </w:r>
            </w:hyperlink>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333-191282</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10/7/2013</w:t>
            </w:r>
          </w:p>
        </w:tc>
        <w:tc>
          <w:tcPr>
            <w:tcW w:w="0" w:type="dxa"/>
            <w:vAlign w:val="bottom"/>
          </w:tcPr>
          <w:p>
            <w:pPr>
              <w:spacing w:after="0"/>
              <w:rPr>
                <w:sz w:val="1"/>
                <w:szCs w:val="1"/>
                <w:color w:val="auto"/>
              </w:rPr>
            </w:pPr>
          </w:p>
        </w:tc>
      </w:tr>
      <w:tr>
        <w:trPr>
          <w:trHeight w:val="111"/>
        </w:trPr>
        <w:tc>
          <w:tcPr>
            <w:tcW w:w="2020" w:type="dxa"/>
            <w:vAlign w:val="bottom"/>
            <w:tcBorders>
              <w:top w:val="single" w:sz="8" w:color="0000FF"/>
            </w:tcBorders>
            <w:vMerge w:val="restart"/>
          </w:tcPr>
          <w:p>
            <w:pPr>
              <w:spacing w:after="0" w:line="152"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and its officers and directors</w:t>
              </w:r>
            </w:hyperlink>
          </w:p>
        </w:tc>
        <w:tc>
          <w:tcPr>
            <w:tcW w:w="2220" w:type="dxa"/>
            <w:vAlign w:val="bottom"/>
            <w:tcBorders>
              <w:top w:val="single" w:sz="8" w:color="0000FF"/>
            </w:tcBorders>
            <w:gridSpan w:val="8"/>
            <w:vMerge w:val="restart"/>
          </w:tcPr>
          <w:p>
            <w:pPr>
              <w:spacing w:after="0"/>
              <w:rPr>
                <w:sz w:val="9"/>
                <w:szCs w:val="9"/>
                <w:color w:val="auto"/>
              </w:rPr>
            </w:pPr>
          </w:p>
        </w:tc>
        <w:tc>
          <w:tcPr>
            <w:tcW w:w="140" w:type="dxa"/>
            <w:vAlign w:val="bottom"/>
            <w:gridSpan w:val="2"/>
            <w:vMerge w:val="restart"/>
          </w:tcPr>
          <w:p>
            <w:pPr>
              <w:spacing w:after="0"/>
              <w:rPr>
                <w:sz w:val="9"/>
                <w:szCs w:val="9"/>
                <w:color w:val="auto"/>
              </w:rPr>
            </w:pPr>
          </w:p>
        </w:tc>
        <w:tc>
          <w:tcPr>
            <w:tcW w:w="9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20" w:type="dxa"/>
            <w:vAlign w:val="bottom"/>
            <w:tcBorders>
              <w:bottom w:val="single" w:sz="8" w:color="0000FF"/>
            </w:tcBorders>
            <w:vMerge w:val="continue"/>
          </w:tcPr>
          <w:p>
            <w:pPr>
              <w:spacing w:after="0"/>
              <w:rPr>
                <w:sz w:val="3"/>
                <w:szCs w:val="3"/>
                <w:color w:val="auto"/>
              </w:rPr>
            </w:pPr>
          </w:p>
        </w:tc>
        <w:tc>
          <w:tcPr>
            <w:tcW w:w="2220" w:type="dxa"/>
            <w:vAlign w:val="bottom"/>
            <w:gridSpan w:val="8"/>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7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2008 Stock Plan and forms of agreements thereunder</w:t>
              </w:r>
            </w:hyperlink>
          </w:p>
        </w:tc>
        <w:tc>
          <w:tcPr>
            <w:tcW w:w="620" w:type="dxa"/>
            <w:vAlign w:val="bottom"/>
            <w:gridSpan w:val="6"/>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333-191282</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9/20/2013</w:t>
            </w:r>
          </w:p>
        </w:tc>
        <w:tc>
          <w:tcPr>
            <w:tcW w:w="0" w:type="dxa"/>
            <w:vAlign w:val="bottom"/>
          </w:tcPr>
          <w:p>
            <w:pPr>
              <w:spacing w:after="0"/>
              <w:rPr>
                <w:sz w:val="1"/>
                <w:szCs w:val="1"/>
                <w:color w:val="auto"/>
              </w:rPr>
            </w:pPr>
          </w:p>
        </w:tc>
      </w:tr>
      <w:tr>
        <w:trPr>
          <w:trHeight w:val="205"/>
        </w:trPr>
        <w:tc>
          <w:tcPr>
            <w:tcW w:w="4380" w:type="dxa"/>
            <w:vAlign w:val="bottom"/>
            <w:gridSpan w:val="11"/>
          </w:tcPr>
          <w:p>
            <w:pPr>
              <w:spacing w:after="0" w:line="205"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2013 Stock Incentive Plan, as amended, and forms of stock</w:t>
              </w:r>
            </w:hyperlink>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001-36156</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20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3/3/2021</w:t>
            </w:r>
          </w:p>
        </w:tc>
        <w:tc>
          <w:tcPr>
            <w:tcW w:w="0" w:type="dxa"/>
            <w:vAlign w:val="bottom"/>
          </w:tcPr>
          <w:p>
            <w:pPr>
              <w:spacing w:after="0"/>
              <w:rPr>
                <w:sz w:val="1"/>
                <w:szCs w:val="1"/>
                <w:color w:val="auto"/>
              </w:rPr>
            </w:pPr>
          </w:p>
        </w:tc>
      </w:tr>
      <w:tr>
        <w:trPr>
          <w:trHeight w:val="152"/>
        </w:trPr>
        <w:tc>
          <w:tcPr>
            <w:tcW w:w="412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option award agreement, stock option exercise agreement,</w:t>
              </w:r>
            </w:hyperlink>
          </w:p>
        </w:tc>
        <w:tc>
          <w:tcPr>
            <w:tcW w:w="60" w:type="dxa"/>
            <w:vAlign w:val="bottom"/>
            <w:tcBorders>
              <w:top w:val="single" w:sz="8" w:color="0000FF"/>
            </w:tcBorders>
          </w:tcPr>
          <w:p>
            <w:pPr>
              <w:spacing w:after="0"/>
              <w:rPr>
                <w:sz w:val="13"/>
                <w:szCs w:val="13"/>
                <w:color w:val="auto"/>
              </w:rPr>
            </w:pPr>
          </w:p>
        </w:tc>
        <w:tc>
          <w:tcPr>
            <w:tcW w:w="200" w:type="dxa"/>
            <w:vAlign w:val="bottom"/>
            <w:gridSpan w:val="3"/>
          </w:tcPr>
          <w:p>
            <w:pPr>
              <w:spacing w:after="0"/>
              <w:rPr>
                <w:sz w:val="13"/>
                <w:szCs w:val="13"/>
                <w:color w:val="auto"/>
              </w:rPr>
            </w:pPr>
          </w:p>
        </w:tc>
        <w:tc>
          <w:tcPr>
            <w:tcW w:w="94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80" w:type="dxa"/>
            <w:vAlign w:val="bottom"/>
            <w:tcBorders>
              <w:bottom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restricted stock agreement and restricted stock unit agreement</w:t>
              </w:r>
            </w:hyperlink>
          </w:p>
        </w:tc>
        <w:tc>
          <w:tcPr>
            <w:tcW w:w="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2">
            <w:col w:w="420" w:space="640"/>
            <w:col w:w="10180"/>
          </w:cols>
          <w:pgMar w:left="320" w:top="118"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3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Form of stock option award under 2013 Stock Incentive Plan</w:t>
              </w:r>
            </w:hyperlink>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10.5#</w:t>
            </w:r>
          </w:p>
        </w:tc>
        <w:tc>
          <w:tcPr>
            <w:tcW w:w="4140" w:type="dxa"/>
            <w:vAlign w:val="bottom"/>
            <w:tcBorders>
              <w:bottom w:val="single" w:sz="8" w:color="0000FF"/>
            </w:tcBorders>
            <w:gridSpan w:val="5"/>
          </w:tcPr>
          <w:p>
            <w:pPr>
              <w:spacing w:after="0" w:line="205" w:lineRule="exact"/>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Form of stock unit award under 2013 Stock Incentive Plan</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4320" w:type="dxa"/>
            <w:vAlign w:val="bottom"/>
            <w:gridSpan w:val="8"/>
          </w:tcPr>
          <w:p>
            <w:pPr>
              <w:spacing w:after="0" w:line="20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Employee Stock Purchase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w:t>
            </w:r>
          </w:p>
        </w:tc>
        <w:tc>
          <w:tcPr>
            <w:tcW w:w="4320" w:type="dxa"/>
            <w:vAlign w:val="bottom"/>
            <w:gridSpan w:val="8"/>
          </w:tcPr>
          <w:p>
            <w:pPr>
              <w:spacing w:after="0" w:line="205"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Lease Agreement between Riata Holdings, L.P., as landlord,</w:t>
              </w:r>
            </w:hyperlink>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260" w:type="dxa"/>
            <w:vAlign w:val="bottom"/>
            <w:tcBorders>
              <w:top w:val="single" w:sz="8" w:color="0000FF"/>
            </w:tcBorders>
            <w:gridSpan w:val="6"/>
            <w:vMerge w:val="restart"/>
          </w:tcPr>
          <w:p>
            <w:pPr>
              <w:spacing w:after="0" w:line="152"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and the Registrant, as tenant, dated November 28, 2012</w:t>
              </w:r>
            </w:hyperlink>
          </w:p>
        </w:tc>
        <w:tc>
          <w:tcPr>
            <w:tcW w:w="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260" w:type="dxa"/>
            <w:vAlign w:val="bottom"/>
            <w:gridSpan w:val="6"/>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p>
        </w:tc>
        <w:tc>
          <w:tcPr>
            <w:tcW w:w="4320" w:type="dxa"/>
            <w:vAlign w:val="bottom"/>
            <w:gridSpan w:val="8"/>
          </w:tcPr>
          <w:p>
            <w:pPr>
              <w:spacing w:after="0"/>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Second Amendment to Lease Agreement dated as of August</w:t>
              </w:r>
            </w:hyperlink>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4280" w:type="dxa"/>
            <w:vAlign w:val="bottom"/>
            <w:tcBorders>
              <w:top w:val="single" w:sz="8" w:color="0000FF"/>
            </w:tcBorders>
            <w:gridSpan w:val="7"/>
          </w:tcPr>
          <w:p>
            <w:pPr>
              <w:spacing w:after="0" w:line="152"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14, 2017 by and between BRI 1868 RIATA, LLC and the</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Registrant</w:t>
              </w:r>
            </w:hyperlink>
          </w:p>
        </w:tc>
        <w:tc>
          <w:tcPr>
            <w:tcW w:w="3300" w:type="dxa"/>
            <w:vAlign w:val="bottom"/>
            <w:tcBorders>
              <w:top w:val="single" w:sz="8" w:color="0000FF"/>
            </w:tcBorders>
            <w:gridSpan w:val="3"/>
          </w:tcPr>
          <w:p>
            <w:pPr>
              <w:spacing w:after="0"/>
              <w:rPr>
                <w:sz w:val="13"/>
                <w:szCs w:val="13"/>
                <w:color w:val="auto"/>
              </w:rPr>
            </w:pPr>
          </w:p>
        </w:tc>
        <w:tc>
          <w:tcPr>
            <w:tcW w:w="2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001-36156</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11/2/2020</w:t>
            </w:r>
          </w:p>
        </w:tc>
      </w:t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001-36156</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11/2/2020</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001-36156</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7/30/2020</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333-191282</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9/20/2013</w:t>
            </w:r>
          </w:p>
        </w:tc>
      </w:tr>
      <w:tr>
        <w:trPr>
          <w:trHeight w:val="49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001-36156</w:t>
            </w: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11/7/2017</w:t>
            </w:r>
          </w:p>
        </w:tc>
      </w:tr>
    </w:tbl>
    <w:p>
      <w:pPr>
        <w:spacing w:after="0" w:line="346" w:lineRule="exact"/>
        <w:rPr>
          <w:sz w:val="20"/>
          <w:szCs w:val="20"/>
          <w:color w:val="auto"/>
        </w:rPr>
      </w:pPr>
    </w:p>
    <w:p>
      <w:pPr>
        <w:sectPr>
          <w:pgSz w:w="11900" w:h="16838" w:orient="portrait"/>
          <w:cols w:equalWidth="0" w:num="2">
            <w:col w:w="5380" w:space="220"/>
            <w:col w:w="56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31115</wp:posOffset>
            </wp:positionV>
            <wp:extent cx="29832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1" w:lineRule="exact"/>
        <w:rPr>
          <w:sz w:val="20"/>
          <w:szCs w:val="20"/>
          <w:color w:val="auto"/>
        </w:rPr>
      </w:pPr>
    </w:p>
    <w:p>
      <w:pPr>
        <w:ind w:left="40"/>
        <w:spacing w:after="0"/>
        <w:tabs>
          <w:tab w:leader="none" w:pos="2940" w:val="left"/>
          <w:tab w:leader="none" w:pos="5980" w:val="left"/>
          <w:tab w:leader="none" w:pos="7120" w:val="left"/>
          <w:tab w:leader="none" w:pos="8340" w:val="left"/>
          <w:tab w:leader="none" w:pos="9360" w:val="left"/>
          <w:tab w:leader="none" w:pos="102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10.9</w:t>
            </w:r>
          </w:p>
        </w:tc>
        <w:tc>
          <w:tcPr>
            <w:tcW w:w="43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First Amendment to Lease Agreement dated as of January 7,</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340" w:type="dxa"/>
            <w:vAlign w:val="bottom"/>
            <w:gridSpan w:val="24"/>
            <w:vMerge w:val="restart"/>
          </w:tcPr>
          <w:p>
            <w:pPr>
              <w:spacing w:after="0" w:line="152"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2014 by and between Riata Holdings, L.P. and the Registrant</w:t>
              </w:r>
            </w:hyperlink>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4340" w:type="dxa"/>
            <w:vAlign w:val="bottom"/>
            <w:tcBorders>
              <w:bottom w:val="single" w:sz="8" w:color="0000FF"/>
            </w:tcBorders>
            <w:gridSpan w:val="24"/>
            <w:vMerge w:val="continue"/>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4460" w:type="dxa"/>
            <w:vAlign w:val="bottom"/>
            <w:gridSpan w:val="2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Office Building Lease by and between American Fund US</w:t>
              </w:r>
            </w:hyperlink>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140" w:type="dxa"/>
            <w:vAlign w:val="bottom"/>
            <w:tcBorders>
              <w:top w:val="single" w:sz="8" w:color="0000FF"/>
            </w:tcBorders>
            <w:gridSpan w:val="17"/>
            <w:vMerge w:val="restart"/>
          </w:tcPr>
          <w:p>
            <w:pPr>
              <w:spacing w:after="0" w:line="152"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Investments LP and the Registrant dated April 29, 2015</w:t>
              </w:r>
            </w:hyperlink>
          </w:p>
        </w:tc>
        <w:tc>
          <w:tcPr>
            <w:tcW w:w="320" w:type="dxa"/>
            <w:vAlign w:val="bottom"/>
            <w:gridSpan w:val="10"/>
            <w:vMerge w:val="restart"/>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140" w:type="dxa"/>
            <w:vAlign w:val="bottom"/>
            <w:gridSpan w:val="17"/>
            <w:vMerge w:val="continue"/>
          </w:tcPr>
          <w:p>
            <w:pPr>
              <w:spacing w:after="0"/>
              <w:rPr>
                <w:sz w:val="3"/>
                <w:szCs w:val="3"/>
                <w:color w:val="auto"/>
              </w:rPr>
            </w:pPr>
          </w:p>
        </w:tc>
        <w:tc>
          <w:tcPr>
            <w:tcW w:w="32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10.11</w:t>
            </w:r>
          </w:p>
        </w:tc>
        <w:tc>
          <w:tcPr>
            <w:tcW w:w="4460" w:type="dxa"/>
            <w:vAlign w:val="bottom"/>
            <w:gridSpan w:val="27"/>
          </w:tcPr>
          <w:p>
            <w:pPr>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First Amendment to Office Building Lease dated May 3, 2016</w:t>
              </w:r>
            </w:hyperlink>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442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by and between American Fund US Investments LP and the</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Registrant</w:t>
              </w:r>
            </w:hyperlink>
          </w:p>
        </w:tc>
        <w:tc>
          <w:tcPr>
            <w:tcW w:w="35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4460" w:type="dxa"/>
            <w:vAlign w:val="bottom"/>
            <w:gridSpan w:val="2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Second Amendment to Office Building Lease dated February</w:t>
              </w:r>
            </w:hyperlink>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4340" w:type="dxa"/>
            <w:vAlign w:val="bottom"/>
            <w:tcBorders>
              <w:top w:val="single" w:sz="8" w:color="0000FF"/>
            </w:tcBorders>
            <w:gridSpan w:val="24"/>
          </w:tcPr>
          <w:p>
            <w:pPr>
              <w:spacing w:after="0" w:line="152"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8, 2017 by and between CRP 6000 Shoreline, L.L.C. and the</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Registrant</w:t>
              </w:r>
            </w:hyperlink>
          </w:p>
        </w:tc>
        <w:tc>
          <w:tcPr>
            <w:tcW w:w="35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3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Form of Performance Stock Unit</w:t>
              </w:r>
            </w:hyperlink>
          </w:p>
        </w:tc>
        <w:tc>
          <w:tcPr>
            <w:tcW w:w="21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4460" w:type="dxa"/>
            <w:vAlign w:val="bottom"/>
            <w:gridSpan w:val="27"/>
          </w:tcPr>
          <w:p>
            <w:pPr>
              <w:spacing w:after="0" w:line="205"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License and Asset Purchase Agreement, dated December 3,</w:t>
              </w:r>
            </w:hyperlink>
          </w:p>
        </w:tc>
        <w:tc>
          <w:tcPr>
            <w:tcW w:w="0" w:type="dxa"/>
            <w:vAlign w:val="bottom"/>
          </w:tcPr>
          <w:p>
            <w:pPr>
              <w:spacing w:after="0"/>
              <w:rPr>
                <w:sz w:val="1"/>
                <w:szCs w:val="1"/>
                <w:color w:val="auto"/>
              </w:rPr>
            </w:pPr>
          </w:p>
        </w:tc>
      </w:tr>
      <w:tr>
        <w:trPr>
          <w:trHeight w:val="152"/>
        </w:trPr>
        <w:tc>
          <w:tcPr>
            <w:tcW w:w="1040" w:type="dxa"/>
            <w:vAlign w:val="bottom"/>
            <w:vMerge w:val="continue"/>
          </w:tcPr>
          <w:p>
            <w:pPr>
              <w:spacing w:after="0"/>
              <w:rPr>
                <w:sz w:val="13"/>
                <w:szCs w:val="13"/>
                <w:color w:val="auto"/>
              </w:rPr>
            </w:pPr>
          </w:p>
        </w:tc>
        <w:tc>
          <w:tcPr>
            <w:tcW w:w="422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2019, between NanoString Technologies, Inc.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Registrant</w:t>
              </w:r>
            </w:hyperlink>
          </w:p>
        </w:tc>
        <w:tc>
          <w:tcPr>
            <w:tcW w:w="3060" w:type="dxa"/>
            <w:vAlign w:val="bottom"/>
            <w:tcBorders>
              <w:top w:val="single" w:sz="8" w:color="0000FF"/>
            </w:tcBorders>
            <w:gridSpan w:val="9"/>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4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Employment Agreement, dated as of May 7, 2021, between</w:t>
              </w:r>
            </w:hyperlink>
          </w:p>
        </w:tc>
        <w:tc>
          <w:tcPr>
            <w:tcW w:w="2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60" w:type="dxa"/>
            <w:vAlign w:val="bottom"/>
            <w:gridSpan w:val="27"/>
            <w:vMerge w:val="restart"/>
          </w:tcPr>
          <w:p>
            <w:pPr>
              <w:spacing w:after="0" w:line="152"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Marc Stapley and the Registrant</w:t>
              </w:r>
            </w:hyperlink>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60" w:type="dxa"/>
            <w:vAlign w:val="bottom"/>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44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Change in Control and Severance Agreement, effective June 1,</w:t>
              </w:r>
            </w:hyperlink>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3320" w:type="dxa"/>
            <w:vAlign w:val="bottom"/>
            <w:gridSpan w:val="8"/>
            <w:vMerge w:val="restart"/>
          </w:tcPr>
          <w:p>
            <w:pPr>
              <w:spacing w:after="0" w:line="152"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2021 between Marc Stapley and the Registrant</w:t>
              </w:r>
            </w:hyperlink>
          </w:p>
        </w:tc>
        <w:tc>
          <w:tcPr>
            <w:tcW w:w="1140" w:type="dxa"/>
            <w:vAlign w:val="bottom"/>
            <w:gridSpan w:val="19"/>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3320" w:type="dxa"/>
            <w:vAlign w:val="bottom"/>
            <w:tcBorders>
              <w:bottom w:val="single" w:sz="8" w:color="0000FF"/>
            </w:tcBorders>
            <w:gridSpan w:val="8"/>
            <w:vMerge w:val="continue"/>
          </w:tcPr>
          <w:p>
            <w:pPr>
              <w:spacing w:after="0"/>
              <w:rPr>
                <w:sz w:val="3"/>
                <w:szCs w:val="3"/>
                <w:color w:val="auto"/>
              </w:rPr>
            </w:pPr>
          </w:p>
        </w:tc>
        <w:tc>
          <w:tcPr>
            <w:tcW w:w="1140" w:type="dxa"/>
            <w:vAlign w:val="bottom"/>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42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Amended and Restated Offer Letter, dated August 15, 2021,</w:t>
              </w:r>
            </w:hyperlink>
          </w:p>
        </w:tc>
        <w:tc>
          <w:tcPr>
            <w:tcW w:w="2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60" w:type="dxa"/>
            <w:vAlign w:val="bottom"/>
            <w:gridSpan w:val="27"/>
            <w:vMerge w:val="restart"/>
          </w:tcPr>
          <w:p>
            <w:pPr>
              <w:spacing w:after="0" w:line="152"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between the Registrant and Rebecca Chambers</w:t>
              </w:r>
            </w:hyperlink>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60" w:type="dxa"/>
            <w:vAlign w:val="bottom"/>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p>
        </w:tc>
        <w:tc>
          <w:tcPr>
            <w:tcW w:w="42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Change in Control and Severance Agreement, effective July</w:t>
              </w:r>
            </w:hyperlink>
          </w:p>
        </w:tc>
        <w:tc>
          <w:tcPr>
            <w:tcW w:w="2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60" w:type="dxa"/>
            <w:vAlign w:val="bottom"/>
            <w:gridSpan w:val="27"/>
            <w:vMerge w:val="restart"/>
          </w:tcPr>
          <w:p>
            <w:pPr>
              <w:spacing w:after="0" w:line="152"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19, 2021 between Rebecca Chambers and the Registrant</w:t>
              </w:r>
            </w:hyperlink>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60" w:type="dxa"/>
            <w:vAlign w:val="bottom"/>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10.19#</w:t>
            </w:r>
          </w:p>
        </w:tc>
        <w:tc>
          <w:tcPr>
            <w:tcW w:w="40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Offer Letter, dated as of January 9, 2023, between Annie</w:t>
              </w:r>
            </w:hyperlink>
          </w:p>
        </w:tc>
        <w:tc>
          <w:tcPr>
            <w:tcW w:w="44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1980" w:type="dxa"/>
            <w:vAlign w:val="bottom"/>
            <w:gridSpan w:val="5"/>
            <w:vMerge w:val="restart"/>
          </w:tcPr>
          <w:p>
            <w:pPr>
              <w:spacing w:after="0" w:line="152"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McGuire and the Registrant</w:t>
              </w:r>
            </w:hyperlink>
          </w:p>
        </w:tc>
        <w:tc>
          <w:tcPr>
            <w:tcW w:w="2480" w:type="dxa"/>
            <w:vAlign w:val="bottom"/>
            <w:gridSpan w:val="2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1980" w:type="dxa"/>
            <w:vAlign w:val="bottom"/>
            <w:tcBorders>
              <w:bottom w:val="single" w:sz="8" w:color="0000FF"/>
            </w:tcBorders>
            <w:gridSpan w:val="5"/>
            <w:vMerge w:val="continue"/>
          </w:tcPr>
          <w:p>
            <w:pPr>
              <w:spacing w:after="0"/>
              <w:rPr>
                <w:sz w:val="3"/>
                <w:szCs w:val="3"/>
                <w:color w:val="auto"/>
              </w:rPr>
            </w:pPr>
          </w:p>
        </w:tc>
        <w:tc>
          <w:tcPr>
            <w:tcW w:w="2480" w:type="dxa"/>
            <w:vAlign w:val="bottom"/>
            <w:gridSpan w:val="2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w:t>
            </w:r>
          </w:p>
        </w:tc>
        <w:tc>
          <w:tcPr>
            <w:tcW w:w="39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Change of Control and Severance Agreement, effective</w:t>
              </w:r>
            </w:hyperlink>
          </w:p>
        </w:tc>
        <w:tc>
          <w:tcPr>
            <w:tcW w:w="5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300" w:type="dxa"/>
            <w:vAlign w:val="bottom"/>
            <w:gridSpan w:val="22"/>
            <w:vMerge w:val="restart"/>
          </w:tcPr>
          <w:p>
            <w:pPr>
              <w:spacing w:after="0" w:line="152"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January 1, 2023, between Annie McGuire and the Registrant</w:t>
              </w:r>
            </w:hyperlink>
          </w:p>
        </w:tc>
        <w:tc>
          <w:tcPr>
            <w:tcW w:w="160" w:type="dxa"/>
            <w:vAlign w:val="bottom"/>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4300" w:type="dxa"/>
            <w:vAlign w:val="bottom"/>
            <w:tcBorders>
              <w:bottom w:val="single" w:sz="8" w:color="0000FF"/>
            </w:tcBorders>
            <w:gridSpan w:val="22"/>
            <w:vMerge w:val="continue"/>
          </w:tcPr>
          <w:p>
            <w:pPr>
              <w:spacing w:after="0"/>
              <w:rPr>
                <w:sz w:val="3"/>
                <w:szCs w:val="3"/>
                <w:color w:val="auto"/>
              </w:rPr>
            </w:pPr>
          </w:p>
        </w:tc>
        <w:tc>
          <w:tcPr>
            <w:tcW w:w="1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4460" w:type="dxa"/>
            <w:vAlign w:val="bottom"/>
            <w:gridSpan w:val="27"/>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2023 Equity Incentive Plan (incorporated by reference to</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line="152" w:lineRule="exact"/>
              <w:rPr>
                <w:sz w:val="20"/>
                <w:szCs w:val="20"/>
                <w:color w:val="auto"/>
              </w:rPr>
            </w:pPr>
            <w:r>
              <w:rPr>
                <w:rFonts w:ascii="Times New Roman" w:cs="Times New Roman" w:eastAsia="Times New Roman" w:hAnsi="Times New Roman"/>
                <w:sz w:val="17"/>
                <w:szCs w:val="17"/>
                <w:color w:val="auto"/>
              </w:rPr>
              <w:t>10.21#</w:t>
            </w:r>
          </w:p>
        </w:tc>
        <w:tc>
          <w:tcPr>
            <w:tcW w:w="4040" w:type="dxa"/>
            <w:vAlign w:val="bottom"/>
            <w:tcBorders>
              <w:top w:val="single" w:sz="8" w:color="0000FF"/>
            </w:tcBorders>
            <w:gridSpan w:val="14"/>
          </w:tcPr>
          <w:p>
            <w:pPr>
              <w:spacing w:after="0" w:line="152" w:lineRule="exact"/>
              <w:rPr>
                <w:rFonts w:ascii="Times New Roman" w:cs="Times New Roman" w:eastAsia="Times New Roman" w:hAnsi="Times New Roman"/>
                <w:sz w:val="17"/>
                <w:szCs w:val="17"/>
                <w:color w:val="0000FF"/>
                <w:w w:val="99"/>
              </w:rPr>
            </w:pPr>
            <w:hyperlink r:id="rId156">
              <w:r>
                <w:rPr>
                  <w:rFonts w:ascii="Times New Roman" w:cs="Times New Roman" w:eastAsia="Times New Roman" w:hAnsi="Times New Roman"/>
                  <w:sz w:val="17"/>
                  <w:szCs w:val="17"/>
                  <w:color w:val="0000FF"/>
                  <w:w w:val="99"/>
                </w:rPr>
                <w:t>Appendix A of Veracyte, Inc.’s Definitive Proxy Statement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9"/>
          </w:tcPr>
          <w:p>
            <w:pPr>
              <w:ind w:left="60"/>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440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Schedule 14A)</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460" w:type="dxa"/>
            <w:vAlign w:val="bottom"/>
            <w:gridSpan w:val="2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agreements under the 2023 Equity Incentive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10.23#</w:t>
            </w:r>
          </w:p>
        </w:tc>
        <w:tc>
          <w:tcPr>
            <w:tcW w:w="4340" w:type="dxa"/>
            <w:vAlign w:val="bottom"/>
            <w:tcBorders>
              <w:bottom w:val="single" w:sz="8" w:color="0000FF"/>
            </w:tcBorders>
            <w:gridSpan w:val="24"/>
          </w:tcPr>
          <w:p>
            <w:pPr>
              <w:spacing w:after="0" w:line="205" w:lineRule="exact"/>
              <w:rPr>
                <w:sz w:val="20"/>
                <w:szCs w:val="20"/>
                <w:color w:val="auto"/>
              </w:rPr>
            </w:pPr>
            <w:r>
              <w:rPr>
                <w:rFonts w:ascii="Times New Roman" w:cs="Times New Roman" w:eastAsia="Times New Roman" w:hAnsi="Times New Roman"/>
                <w:sz w:val="18"/>
                <w:szCs w:val="18"/>
                <w:color w:val="0000FF"/>
                <w:w w:val="97"/>
              </w:rPr>
              <w:t>Promotion Letter, dated as of August 22, 2023, between John</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1700" w:type="dxa"/>
            <w:vAlign w:val="bottom"/>
            <w:gridSpan w:val="3"/>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Leite and the Registrant</w:t>
            </w:r>
          </w:p>
        </w:tc>
        <w:tc>
          <w:tcPr>
            <w:tcW w:w="2760" w:type="dxa"/>
            <w:vAlign w:val="bottom"/>
            <w:gridSpan w:val="24"/>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1700" w:type="dxa"/>
            <w:vAlign w:val="bottom"/>
            <w:tcBorders>
              <w:bottom w:val="single" w:sz="8" w:color="0000FF"/>
            </w:tcBorders>
            <w:gridSpan w:val="3"/>
            <w:vMerge w:val="continue"/>
          </w:tcPr>
          <w:p>
            <w:pPr>
              <w:spacing w:after="0"/>
              <w:rPr>
                <w:sz w:val="3"/>
                <w:szCs w:val="3"/>
                <w:color w:val="auto"/>
              </w:rPr>
            </w:pPr>
          </w:p>
        </w:tc>
        <w:tc>
          <w:tcPr>
            <w:tcW w:w="276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10.24#</w:t>
            </w:r>
          </w:p>
        </w:tc>
        <w:tc>
          <w:tcPr>
            <w:tcW w:w="3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Change of Control and Severance Agreement, effective</w:t>
            </w:r>
          </w:p>
        </w:tc>
        <w:tc>
          <w:tcPr>
            <w:tcW w:w="5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60" w:type="dxa"/>
            <w:vAlign w:val="bottom"/>
            <w:gridSpan w:val="27"/>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September 1, 2023, between John Leite and the Registrant</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60" w:type="dxa"/>
            <w:vAlign w:val="bottom"/>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10.25#</w:t>
            </w:r>
          </w:p>
        </w:tc>
        <w:tc>
          <w:tcPr>
            <w:tcW w:w="4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7"/>
              </w:rPr>
              <w:t>Offer Letter, dated as of September 11, 2023, between Phil</w:t>
            </w:r>
          </w:p>
        </w:tc>
        <w:tc>
          <w:tcPr>
            <w:tcW w:w="3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1780" w:type="dxa"/>
            <w:vAlign w:val="bottom"/>
            <w:gridSpan w:val="4"/>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Febbo and the Registrant</w:t>
            </w:r>
          </w:p>
        </w:tc>
        <w:tc>
          <w:tcPr>
            <w:tcW w:w="2680" w:type="dxa"/>
            <w:vAlign w:val="bottom"/>
            <w:gridSpan w:val="23"/>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1780" w:type="dxa"/>
            <w:vAlign w:val="bottom"/>
            <w:tcBorders>
              <w:bottom w:val="single" w:sz="8" w:color="0000FF"/>
            </w:tcBorders>
            <w:gridSpan w:val="4"/>
            <w:vMerge w:val="continue"/>
          </w:tcPr>
          <w:p>
            <w:pPr>
              <w:spacing w:after="0"/>
              <w:rPr>
                <w:sz w:val="3"/>
                <w:szCs w:val="3"/>
                <w:color w:val="auto"/>
              </w:rPr>
            </w:pPr>
          </w:p>
        </w:tc>
        <w:tc>
          <w:tcPr>
            <w:tcW w:w="268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10.26#</w:t>
            </w:r>
          </w:p>
        </w:tc>
        <w:tc>
          <w:tcPr>
            <w:tcW w:w="3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Change of Control and Severance Agreement, effective</w:t>
            </w:r>
          </w:p>
        </w:tc>
        <w:tc>
          <w:tcPr>
            <w:tcW w:w="52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60" w:type="dxa"/>
            <w:vAlign w:val="bottom"/>
            <w:gridSpan w:val="27"/>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October 2, 2023, between Phil Febbo and the Registrant</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60" w:type="dxa"/>
            <w:vAlign w:val="bottom"/>
            <w:gridSpan w:val="2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4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2019 Stock Incentive Plan of C2i Genomics, Inc.</w:t>
            </w:r>
          </w:p>
        </w:tc>
        <w:tc>
          <w:tcPr>
            <w:tcW w:w="500" w:type="dxa"/>
            <w:vAlign w:val="bottom"/>
            <w:tcBorders>
              <w:top w:val="single" w:sz="8" w:color="0000FF"/>
            </w:tcBorders>
            <w:gridSpan w:val="3"/>
          </w:tcPr>
          <w:p>
            <w:pPr>
              <w:spacing w:after="0"/>
              <w:rPr>
                <w:sz w:val="18"/>
                <w:szCs w:val="18"/>
                <w:color w:val="auto"/>
              </w:rPr>
            </w:pPr>
          </w:p>
        </w:tc>
        <w:tc>
          <w:tcPr>
            <w:tcW w:w="48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DEF-14A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8-K</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10.7</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3/20/2014</w:t>
            </w:r>
          </w:p>
        </w:tc>
      </w:tr>
      <w:tr>
        <w:trPr>
          <w:trHeight w:val="41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8/13/2015</w:t>
            </w:r>
          </w:p>
        </w:tc>
      </w:tr>
      <w:tr>
        <w:trPr>
          <w:trHeight w:val="49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10.9</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2/27/2018</w:t>
            </w:r>
          </w:p>
        </w:tc>
      </w:tr>
      <w:tr>
        <w:trPr>
          <w:trHeight w:val="582"/>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10.10</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3/1/2017</w:t>
            </w:r>
          </w:p>
        </w:tc>
      </w:tr>
      <w:tr>
        <w:trPr>
          <w:trHeight w:val="41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5/1/2018</w:t>
            </w:r>
          </w:p>
        </w:tc>
      </w:tr>
      <w:tr>
        <w:trPr>
          <w:trHeight w:val="397"/>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12/3/2019</w:t>
            </w:r>
          </w:p>
        </w:tc>
      </w:tr>
      <w:tr>
        <w:trPr>
          <w:trHeight w:val="503"/>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7/29/2021</w:t>
            </w:r>
          </w:p>
        </w:tc>
      </w:tr>
      <w:tr>
        <w:trPr>
          <w:trHeight w:val="41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10.3</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7/29/2021</w:t>
            </w:r>
          </w:p>
        </w:tc>
      </w:tr>
      <w:tr>
        <w:trPr>
          <w:trHeight w:val="41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11/9/2021</w:t>
            </w:r>
          </w:p>
        </w:tc>
      </w:tr>
      <w:tr>
        <w:trPr>
          <w:trHeight w:val="41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11/9/2021</w:t>
            </w:r>
          </w:p>
        </w:tc>
      </w:tr>
      <w:tr>
        <w:trPr>
          <w:trHeight w:val="41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10.32</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3/1/2023</w:t>
            </w:r>
          </w:p>
        </w:tc>
      </w:tr>
      <w:tr>
        <w:trPr>
          <w:trHeight w:val="41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10.33</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3/1/2023</w:t>
            </w:r>
          </w:p>
        </w:tc>
      </w:tr>
      <w:tr>
        <w:trPr>
          <w:trHeight w:val="49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Appendix A</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4/27/2023</w:t>
            </w:r>
          </w:p>
        </w:tc>
      </w:tr>
      <w:tr>
        <w:trPr>
          <w:trHeight w:val="410"/>
        </w:trPr>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4"/>
              </w:rPr>
              <w:t>001-36156</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6/9/2023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1" w:lineRule="exact"/>
        <w:rPr>
          <w:sz w:val="20"/>
          <w:szCs w:val="20"/>
          <w:color w:val="auto"/>
        </w:rPr>
      </w:pPr>
    </w:p>
    <w:p>
      <w:pPr>
        <w:sectPr>
          <w:pgSz w:w="11900" w:h="16838" w:orient="portrait"/>
          <w:cols w:equalWidth="0" w:num="4">
            <w:col w:w="5520" w:space="80"/>
            <w:col w:w="700" w:space="460"/>
            <w:col w:w="3220" w:space="720"/>
            <w:col w:w="52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31115</wp:posOffset>
            </wp:positionV>
            <wp:extent cx="29832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1" w:lineRule="exact"/>
        <w:rPr>
          <w:sz w:val="20"/>
          <w:szCs w:val="20"/>
          <w:color w:val="auto"/>
        </w:rPr>
      </w:pPr>
    </w:p>
    <w:p>
      <w:pPr>
        <w:ind w:left="40"/>
        <w:spacing w:after="0"/>
        <w:tabs>
          <w:tab w:leader="none" w:pos="2940" w:val="left"/>
          <w:tab w:leader="none" w:pos="5980" w:val="left"/>
          <w:tab w:leader="none" w:pos="7120" w:val="left"/>
          <w:tab w:leader="none" w:pos="8340" w:val="left"/>
          <w:tab w:leader="none" w:pos="9360" w:val="left"/>
          <w:tab w:leader="none" w:pos="102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10.28#</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Form of Option Grant under the 2019 Stock Incentive Plan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00" w:type="dxa"/>
            <w:vAlign w:val="bottom"/>
            <w:gridSpan w:val="12"/>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C2i Genomics, Inc.</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0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10.29#</w:t>
            </w:r>
          </w:p>
        </w:tc>
        <w:tc>
          <w:tcPr>
            <w:tcW w:w="4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Form of Stock Option Assumption Notice by the Registrant to</w:t>
            </w: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00" w:type="dxa"/>
            <w:vAlign w:val="bottom"/>
            <w:gridSpan w:val="12"/>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Option holders of C2i Genomics, Inc.</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0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17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23.1</w:t>
            </w:r>
          </w:p>
        </w:tc>
        <w:tc>
          <w:tcPr>
            <w:tcW w:w="440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24.1</w:t>
            </w:r>
          </w:p>
        </w:tc>
        <w:tc>
          <w:tcPr>
            <w:tcW w:w="4040" w:type="dxa"/>
            <w:vAlign w:val="bottom"/>
            <w:tcBorders>
              <w:top w:val="single" w:sz="8" w:color="0000FF"/>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Power of Attorney (see the signature page of this Annual</w:t>
            </w:r>
          </w:p>
        </w:tc>
        <w:tc>
          <w:tcPr>
            <w:tcW w:w="200" w:type="dxa"/>
            <w:vAlign w:val="bottom"/>
            <w:tcBorders>
              <w:top w:val="single" w:sz="8" w:color="0000FF"/>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00" w:type="dxa"/>
            <w:vAlign w:val="bottom"/>
            <w:gridSpan w:val="12"/>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Report on Form 10-K)</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0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Principal Executive Officer’s Certification Pursuant to</w:t>
            </w: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3360" w:type="dxa"/>
            <w:vAlign w:val="bottom"/>
            <w:tcBorders>
              <w:top w:val="single" w:sz="8" w:color="0000FF"/>
            </w:tcBorders>
            <w:gridSpan w:val="6"/>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480" w:type="dxa"/>
            <w:vAlign w:val="bottom"/>
            <w:tcBorders>
              <w:top w:val="single" w:sz="8" w:color="0000FF"/>
            </w:tcBorders>
            <w:gridSpan w:val="2"/>
            <w:vMerge w:val="restart"/>
          </w:tcPr>
          <w:p>
            <w:pPr>
              <w:spacing w:after="0"/>
              <w:rPr>
                <w:sz w:val="9"/>
                <w:szCs w:val="9"/>
                <w:color w:val="auto"/>
              </w:rPr>
            </w:pPr>
          </w:p>
        </w:tc>
        <w:tc>
          <w:tcPr>
            <w:tcW w:w="560" w:type="dxa"/>
            <w:vAlign w:val="bottom"/>
            <w:gridSpan w:val="4"/>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3360" w:type="dxa"/>
            <w:vAlign w:val="bottom"/>
            <w:tcBorders>
              <w:bottom w:val="single" w:sz="8" w:color="0000FF"/>
            </w:tcBorders>
            <w:gridSpan w:val="6"/>
            <w:vMerge w:val="continue"/>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5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3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Principal Financial Officer’s Certification Pursuant to</w:t>
            </w:r>
          </w:p>
        </w:tc>
        <w:tc>
          <w:tcPr>
            <w:tcW w:w="6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3360" w:type="dxa"/>
            <w:vAlign w:val="bottom"/>
            <w:gridSpan w:val="6"/>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1040" w:type="dxa"/>
            <w:vAlign w:val="bottom"/>
            <w:gridSpan w:val="6"/>
            <w:vMerge w:val="restart"/>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3"/>
                <w:szCs w:val="3"/>
                <w:color w:val="auto"/>
              </w:rPr>
            </w:pPr>
          </w:p>
        </w:tc>
        <w:tc>
          <w:tcPr>
            <w:tcW w:w="3360" w:type="dxa"/>
            <w:vAlign w:val="bottom"/>
            <w:tcBorders>
              <w:bottom w:val="single" w:sz="8" w:color="0000FF"/>
            </w:tcBorders>
            <w:gridSpan w:val="6"/>
            <w:vMerge w:val="continue"/>
          </w:tcPr>
          <w:p>
            <w:pPr>
              <w:spacing w:after="0"/>
              <w:rPr>
                <w:sz w:val="3"/>
                <w:szCs w:val="3"/>
                <w:color w:val="auto"/>
              </w:rPr>
            </w:pPr>
          </w:p>
        </w:tc>
        <w:tc>
          <w:tcPr>
            <w:tcW w:w="10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4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Certification Pursuant to 18 U.S.C. § 1350 (Section 906 of the</w:t>
            </w: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00" w:type="dxa"/>
            <w:vAlign w:val="bottom"/>
            <w:gridSpan w:val="12"/>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0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44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Certification Pursuant to 18 U.S.C. § 1350 (Section 906 of the</w:t>
            </w:r>
          </w:p>
        </w:tc>
        <w:tc>
          <w:tcPr>
            <w:tcW w:w="0" w:type="dxa"/>
            <w:vAlign w:val="bottom"/>
          </w:tcPr>
          <w:p>
            <w:pPr>
              <w:spacing w:after="0"/>
              <w:rPr>
                <w:sz w:val="1"/>
                <w:szCs w:val="1"/>
                <w:color w:val="auto"/>
              </w:rPr>
            </w:pPr>
          </w:p>
        </w:tc>
      </w:tr>
      <w:tr>
        <w:trPr>
          <w:trHeight w:val="111"/>
        </w:trPr>
        <w:tc>
          <w:tcPr>
            <w:tcW w:w="1040" w:type="dxa"/>
            <w:vAlign w:val="bottom"/>
            <w:vMerge w:val="continue"/>
          </w:tcPr>
          <w:p>
            <w:pPr>
              <w:spacing w:after="0"/>
              <w:rPr>
                <w:sz w:val="9"/>
                <w:szCs w:val="9"/>
                <w:color w:val="auto"/>
              </w:rPr>
            </w:pPr>
          </w:p>
        </w:tc>
        <w:tc>
          <w:tcPr>
            <w:tcW w:w="4400" w:type="dxa"/>
            <w:vAlign w:val="bottom"/>
            <w:gridSpan w:val="12"/>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440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Compensation Recovery Policy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177"/>
        </w:trPr>
        <w:tc>
          <w:tcPr>
            <w:tcW w:w="1040" w:type="dxa"/>
            <w:vAlign w:val="bottom"/>
          </w:tcPr>
          <w:p>
            <w:pPr>
              <w:spacing w:after="0"/>
              <w:rPr>
                <w:sz w:val="15"/>
                <w:szCs w:val="15"/>
                <w:color w:val="auto"/>
              </w:rPr>
            </w:pPr>
          </w:p>
        </w:tc>
        <w:tc>
          <w:tcPr>
            <w:tcW w:w="4400" w:type="dxa"/>
            <w:vAlign w:val="bottom"/>
            <w:gridSpan w:val="12"/>
          </w:tcPr>
          <w:p>
            <w:pPr>
              <w:spacing w:after="0" w:line="177" w:lineRule="exact"/>
              <w:rPr>
                <w:sz w:val="20"/>
                <w:szCs w:val="20"/>
                <w:color w:val="auto"/>
              </w:rPr>
            </w:pPr>
            <w:r>
              <w:rPr>
                <w:rFonts w:ascii="Times New Roman" w:cs="Times New Roman" w:eastAsia="Times New Roman" w:hAnsi="Times New Roman"/>
                <w:sz w:val="18"/>
                <w:szCs w:val="18"/>
                <w:color w:val="auto"/>
                <w:w w:val="98"/>
              </w:rPr>
              <w:t>Cover Page Interactive Data File (embedded within the Inline</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document and included in Exhibit 101)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475" w:lineRule="exact"/>
        <w:rPr>
          <w:sz w:val="20"/>
          <w:szCs w:val="20"/>
          <w:color w:val="auto"/>
        </w:rPr>
      </w:pPr>
    </w:p>
    <w:p>
      <w:pPr>
        <w:sectPr>
          <w:pgSz w:w="11900" w:h="16838" w:orient="portrait"/>
          <w:cols w:equalWidth="0" w:num="2">
            <w:col w:w="9980" w:space="720"/>
            <w:col w:w="520"/>
          </w:cols>
          <w:pgMar w:left="320" w:top="118" w:right="359" w:bottom="1440" w:gutter="0" w:footer="0" w:header="0"/>
          <w:type w:val="continuous"/>
        </w:sectPr>
      </w:pPr>
    </w:p>
    <w:p>
      <w:pPr>
        <w:spacing w:after="0" w:line="318" w:lineRule="exact"/>
        <w:rPr>
          <w:sz w:val="20"/>
          <w:szCs w:val="20"/>
          <w:color w:val="auto"/>
        </w:rPr>
      </w:pPr>
    </w:p>
    <w:p>
      <w:pPr>
        <w:ind w:left="1640" w:hanging="721"/>
        <w:spacing w:after="0"/>
        <w:tabs>
          <w:tab w:leader="none" w:pos="1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309" w:lineRule="exact"/>
        <w:rPr>
          <w:sz w:val="20"/>
          <w:szCs w:val="20"/>
          <w:color w:val="auto"/>
        </w:rPr>
      </w:pPr>
    </w:p>
    <w:p>
      <w:pPr>
        <w:jc w:val="both"/>
        <w:ind w:left="1640" w:right="20" w:hanging="721"/>
        <w:spacing w:after="0" w:line="232" w:lineRule="auto"/>
        <w:tabs>
          <w:tab w:leader="none" w:pos="16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as amended, except to the extent that the registrant specifically incorporates it by reference.</w:t>
      </w:r>
    </w:p>
    <w:p>
      <w:pPr>
        <w:sectPr>
          <w:pgSz w:w="11900" w:h="16838" w:orient="portrait"/>
          <w:cols w:equalWidth="0" w:num="1">
            <w:col w:w="11220"/>
          </w:cols>
          <w:pgMar w:left="320" w:top="118" w:right="359" w:bottom="1440" w:gutter="0" w:footer="0" w:header="0"/>
          <w:type w:val="continuous"/>
        </w:sectPr>
      </w:pPr>
    </w:p>
    <w:p>
      <w:pPr>
        <w:spacing w:after="0" w:line="2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Registrant is requesting or has previously been granted confidential treatment with respect to certain portions of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1000" w:space="640"/>
            <w:col w:w="9580"/>
          </w:cols>
          <w:pgMar w:left="320" w:top="118" w:right="35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Copies of the above exhibits not contained herein are available to any stockholder, upon payment of a reasonable per page fee, upon written request to: Chief Financial Officer, Veracyte, Inc., 6000 Shoreline Court, Suite 300, South San Francisco, California 94080.</w:t>
      </w:r>
    </w:p>
    <w:p>
      <w:pPr>
        <w:spacing w:after="0" w:line="194" w:lineRule="exact"/>
        <w:rPr>
          <w:sz w:val="20"/>
          <w:szCs w:val="20"/>
          <w:color w:val="auto"/>
        </w:rPr>
      </w:pPr>
    </w:p>
    <w:p>
      <w:pPr>
        <w:ind w:left="440" w:right="7880" w:hanging="116"/>
        <w:spacing w:after="0" w:line="593" w:lineRule="auto"/>
        <w:tabs>
          <w:tab w:leader="none" w:pos="6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Reference is made to Item 15(a) 2 above.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 w:lineRule="exact"/>
        <w:rPr>
          <w:sz w:val="20"/>
          <w:szCs w:val="20"/>
          <w:color w:val="auto"/>
        </w:rPr>
      </w:pPr>
    </w:p>
    <w:p>
      <w:pPr>
        <w:jc w:val="both"/>
        <w:ind w:firstLine="437"/>
        <w:spacing w:after="0" w:line="25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VERACYTE, INC.</w:t>
      </w:r>
    </w:p>
    <w:p>
      <w:pPr>
        <w:spacing w:after="0" w:line="22" w:lineRule="exact"/>
        <w:rPr>
          <w:sz w:val="20"/>
          <w:szCs w:val="20"/>
          <w:color w:val="auto"/>
        </w:rPr>
      </w:pPr>
    </w:p>
    <w:p>
      <w:pPr>
        <w:ind w:left="5900"/>
        <w:spacing w:after="0"/>
        <w:tabs>
          <w:tab w:leader="none" w:pos="8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12065</wp:posOffset>
            </wp:positionV>
            <wp:extent cx="3000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jc w:val="center"/>
        <w:ind w:left="6460"/>
        <w:spacing w:after="0"/>
        <w:rPr>
          <w:sz w:val="20"/>
          <w:szCs w:val="20"/>
          <w:color w:val="auto"/>
        </w:rPr>
      </w:pPr>
      <w:r>
        <w:rPr>
          <w:rFonts w:ascii="Times New Roman" w:cs="Times New Roman" w:eastAsia="Times New Roman" w:hAnsi="Times New Roman"/>
          <w:sz w:val="18"/>
          <w:szCs w:val="18"/>
          <w:color w:val="auto"/>
        </w:rPr>
        <w:t>Marc Stapley</w:t>
      </w:r>
    </w:p>
    <w:p>
      <w:pPr>
        <w:jc w:val="center"/>
        <w:ind w:left="64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 w:lineRule="exact"/>
        <w:rPr>
          <w:sz w:val="20"/>
          <w:szCs w:val="20"/>
          <w:color w:val="auto"/>
        </w:rPr>
      </w:pPr>
    </w:p>
    <w:p>
      <w:pPr>
        <w:jc w:val="both"/>
        <w:ind w:firstLine="437"/>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constitutes and appoints Marc Stapley and Rebecca Chambers,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19" w:lineRule="exact"/>
        <w:rPr>
          <w:sz w:val="20"/>
          <w:szCs w:val="20"/>
          <w:color w:val="auto"/>
        </w:rPr>
      </w:pPr>
    </w:p>
    <w:p>
      <w:pPr>
        <w:ind w:right="520" w:firstLine="437"/>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on the dates and the capacities indicated.</w:t>
      </w:r>
    </w:p>
    <w:p>
      <w:pPr>
        <w:spacing w:after="0" w:line="320" w:lineRule="exact"/>
        <w:rPr>
          <w:sz w:val="20"/>
          <w:szCs w:val="20"/>
          <w:color w:val="auto"/>
        </w:rPr>
      </w:pPr>
    </w:p>
    <w:p>
      <w:pPr>
        <w:ind w:left="1780"/>
        <w:spacing w:after="0"/>
        <w:tabs>
          <w:tab w:leader="none" w:pos="6520" w:val="left"/>
          <w:tab w:leader="none" w:pos="1006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118" w:right="339" w:bottom="1440" w:gutter="0" w:footer="0" w:header="0"/>
        </w:sectPr>
      </w:pPr>
    </w:p>
    <w:p>
      <w:pPr>
        <w:spacing w:after="0" w:line="15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6301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Marc Stapley</w:t>
      </w:r>
    </w:p>
    <w:p>
      <w:pPr>
        <w:spacing w:after="0" w:line="12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6301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15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JONATHAN WYGANT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6301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2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Jonathan Wygant</w:t>
      </w:r>
    </w:p>
    <w:p>
      <w:pPr>
        <w:spacing w:after="0" w:line="12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7"/>
          <w:szCs w:val="17"/>
          <w:color w:val="auto"/>
        </w:rPr>
        <w:t>/s/ ROBERT S. EPSTEIN, M.D.,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6301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23"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Robert S. Epstein, M.D., M.S.</w:t>
      </w:r>
    </w:p>
    <w:p>
      <w:pPr>
        <w:spacing w:after="0" w:line="12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/s/ JOHN L.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6301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John L. Bishop</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Chief Executive Officer and Director</w:t>
      </w:r>
      <w:r>
        <w:rPr>
          <w:sz w:val="20"/>
          <w:szCs w:val="20"/>
          <w:color w:val="auto"/>
        </w:rPr>
        <w:tab/>
      </w:r>
      <w:r>
        <w:rPr>
          <w:rFonts w:ascii="Times New Roman" w:cs="Times New Roman" w:eastAsia="Times New Roman" w:hAnsi="Times New Roman"/>
          <w:sz w:val="17"/>
          <w:szCs w:val="17"/>
          <w:color w:val="auto"/>
        </w:rPr>
        <w:t>February 29, 2024</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5"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Chief Financial Officer</w:t>
      </w:r>
      <w:r>
        <w:rPr>
          <w:sz w:val="20"/>
          <w:szCs w:val="20"/>
          <w:color w:val="auto"/>
        </w:rPr>
        <w:tab/>
      </w:r>
      <w:r>
        <w:rPr>
          <w:rFonts w:ascii="Times New Roman" w:cs="Times New Roman" w:eastAsia="Times New Roman" w:hAnsi="Times New Roman"/>
          <w:sz w:val="17"/>
          <w:szCs w:val="17"/>
          <w:color w:val="auto"/>
        </w:rPr>
        <w:t>February 29, 2024</w:t>
      </w: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40"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Chief Accounting Officer</w:t>
      </w:r>
      <w:r>
        <w:rPr>
          <w:sz w:val="20"/>
          <w:szCs w:val="20"/>
          <w:color w:val="auto"/>
        </w:rPr>
        <w:tab/>
      </w:r>
      <w:r>
        <w:rPr>
          <w:rFonts w:ascii="Times New Roman" w:cs="Times New Roman" w:eastAsia="Times New Roman" w:hAnsi="Times New Roman"/>
          <w:sz w:val="17"/>
          <w:szCs w:val="17"/>
          <w:color w:val="auto"/>
        </w:rPr>
        <w:t>February 29, 2024</w:t>
      </w: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10"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Chairperson and Director</w:t>
      </w:r>
      <w:r>
        <w:rPr>
          <w:sz w:val="20"/>
          <w:szCs w:val="20"/>
          <w:color w:val="auto"/>
        </w:rPr>
        <w:tab/>
      </w:r>
      <w:r>
        <w:rPr>
          <w:rFonts w:ascii="Times New Roman" w:cs="Times New Roman" w:eastAsia="Times New Roman" w:hAnsi="Times New Roman"/>
          <w:sz w:val="17"/>
          <w:szCs w:val="17"/>
          <w:color w:val="auto"/>
        </w:rPr>
        <w:t>February 29, 2024</w:t>
      </w:r>
    </w:p>
    <w:p>
      <w:pPr>
        <w:spacing w:after="0" w:line="362"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29, 2024</w:t>
      </w:r>
    </w:p>
    <w:p>
      <w:pPr>
        <w:spacing w:after="0" w:line="373" w:lineRule="exact"/>
        <w:rPr>
          <w:sz w:val="20"/>
          <w:szCs w:val="20"/>
          <w:color w:val="auto"/>
        </w:rPr>
      </w:pPr>
    </w:p>
    <w:p>
      <w:pPr>
        <w:sectPr>
          <w:pgSz w:w="11900" w:h="16838" w:orient="portrait"/>
          <w:cols w:equalWidth="0" w:num="2">
            <w:col w:w="3900" w:space="720"/>
            <w:col w:w="66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ELIAV BARR, M.D.</w:t>
            </w:r>
          </w:p>
        </w:tc>
        <w:tc>
          <w:tcPr>
            <w:tcW w:w="3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350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6"/>
              </w:rPr>
              <w:t>February 29, 2024</w:t>
            </w:r>
          </w:p>
        </w:tc>
      </w:tr>
      <w:tr>
        <w:trPr>
          <w:trHeight w:val="223"/>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Eliav Barr, M.D.</w:t>
            </w:r>
          </w:p>
        </w:tc>
        <w:tc>
          <w:tcPr>
            <w:tcW w:w="324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326"/>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MUNA BHANJI</w:t>
            </w:r>
          </w:p>
        </w:tc>
        <w:tc>
          <w:tcPr>
            <w:tcW w:w="3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350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6"/>
              </w:rPr>
              <w:t>February 29, 2024</w:t>
            </w:r>
          </w:p>
        </w:tc>
      </w:tr>
      <w:tr>
        <w:trPr>
          <w:trHeight w:val="223"/>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Muna Bhanji</w:t>
            </w:r>
          </w:p>
        </w:tc>
        <w:tc>
          <w:tcPr>
            <w:tcW w:w="324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313"/>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KARIN EASTHAM</w:t>
            </w:r>
          </w:p>
        </w:tc>
        <w:tc>
          <w:tcPr>
            <w:tcW w:w="3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350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6"/>
              </w:rPr>
              <w:t>February 29, 2024</w:t>
            </w:r>
          </w:p>
        </w:tc>
      </w:tr>
      <w:tr>
        <w:trPr>
          <w:trHeight w:val="223"/>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Karin Eastham</w:t>
            </w:r>
          </w:p>
        </w:tc>
        <w:tc>
          <w:tcPr>
            <w:tcW w:w="324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326"/>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JENS HOLSTEIN</w:t>
            </w:r>
          </w:p>
        </w:tc>
        <w:tc>
          <w:tcPr>
            <w:tcW w:w="3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350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6"/>
              </w:rPr>
              <w:t>February 29, 2024</w:t>
            </w:r>
          </w:p>
        </w:tc>
      </w:tr>
      <w:tr>
        <w:trPr>
          <w:trHeight w:val="223"/>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Jens Holstein</w:t>
            </w:r>
          </w:p>
        </w:tc>
        <w:tc>
          <w:tcPr>
            <w:tcW w:w="324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326"/>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EVAN JONES</w:t>
            </w:r>
          </w:p>
        </w:tc>
        <w:tc>
          <w:tcPr>
            <w:tcW w:w="3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350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6"/>
              </w:rPr>
              <w:t>February 29, 2024</w:t>
            </w:r>
          </w:p>
        </w:tc>
      </w:tr>
      <w:tr>
        <w:trPr>
          <w:trHeight w:val="223"/>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Evan Jones</w:t>
            </w:r>
          </w:p>
        </w:tc>
        <w:tc>
          <w:tcPr>
            <w:tcW w:w="3240" w:type="dxa"/>
            <w:vAlign w:val="bottom"/>
          </w:tcPr>
          <w:p>
            <w:pPr>
              <w:spacing w:after="0"/>
              <w:rPr>
                <w:sz w:val="19"/>
                <w:szCs w:val="19"/>
                <w:color w:val="auto"/>
              </w:rPr>
            </w:pPr>
          </w:p>
        </w:tc>
        <w:tc>
          <w:tcPr>
            <w:tcW w:w="35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1240"/>
          </w:cols>
          <w:pgMar w:left="320" w:top="118" w:right="339" w:bottom="1440" w:gutter="0" w:footer="0" w:header="0"/>
          <w:type w:val="continuous"/>
        </w:sectPr>
      </w:pPr>
    </w:p>
    <w:bookmarkStart w:id="123" w:name="page124"/>
    <w:bookmarkEnd w:id="123"/>
    <w:p>
      <w:pPr>
        <w:ind w:left="10360"/>
        <w:spacing w:after="0"/>
        <w:rPr>
          <w:sz w:val="20"/>
          <w:szCs w:val="20"/>
          <w:color w:val="auto"/>
        </w:rPr>
      </w:pPr>
      <w:r>
        <w:rPr>
          <w:rFonts w:ascii="Arial" w:cs="Arial" w:eastAsia="Arial" w:hAnsi="Arial"/>
          <w:sz w:val="17"/>
          <w:szCs w:val="17"/>
          <w:b w:val="1"/>
          <w:bCs w:val="1"/>
          <w:color w:val="auto"/>
        </w:rPr>
        <w:t>Exhibit 4.2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245" w:lineRule="exact"/>
        <w:rPr>
          <w:sz w:val="20"/>
          <w:szCs w:val="20"/>
          <w:color w:val="auto"/>
        </w:rPr>
      </w:pPr>
    </w:p>
    <w:p>
      <w:pPr>
        <w:ind w:right="160" w:firstLine="635"/>
        <w:spacing w:after="0" w:line="274" w:lineRule="auto"/>
        <w:rPr>
          <w:sz w:val="20"/>
          <w:szCs w:val="20"/>
          <w:color w:val="auto"/>
        </w:rPr>
      </w:pPr>
      <w:r>
        <w:rPr>
          <w:rFonts w:ascii="Arial" w:cs="Arial" w:eastAsia="Arial" w:hAnsi="Arial"/>
          <w:sz w:val="18"/>
          <w:szCs w:val="18"/>
          <w:color w:val="auto"/>
        </w:rPr>
        <w:t>As of December 31, 2023, Veracyte, Inc. (the “Company,” “we,” or “our”) had one class of securities registered under Section 12 of the Securities Exchange Act of 1934, as amended (the “Exchange Act”): our common stock.</w:t>
      </w:r>
    </w:p>
    <w:p>
      <w:pPr>
        <w:spacing w:after="0" w:line="189" w:lineRule="exact"/>
        <w:rPr>
          <w:sz w:val="20"/>
          <w:szCs w:val="20"/>
          <w:color w:val="auto"/>
        </w:rPr>
      </w:pPr>
    </w:p>
    <w:p>
      <w:pPr>
        <w:ind w:right="140" w:firstLine="635"/>
        <w:spacing w:after="0" w:line="274" w:lineRule="auto"/>
        <w:rPr>
          <w:sz w:val="20"/>
          <w:szCs w:val="20"/>
          <w:color w:val="auto"/>
        </w:rPr>
      </w:pPr>
      <w:r>
        <w:rPr>
          <w:rFonts w:ascii="Arial" w:cs="Arial" w:eastAsia="Arial" w:hAnsi="Arial"/>
          <w:sz w:val="17"/>
          <w:szCs w:val="17"/>
          <w:color w:val="auto"/>
        </w:rPr>
        <w:t>The following description summarizes the most important terms of our capital stock and certain provisions of our restated certificate of incorporation and restated bylaws. Because it is only a summary, it does not contain all of the information that may be important to you. For a complete description, you should refer to our restated certificate of incorporation and amended and restated bylaws, which are incorporated by reference as an exhibit to the Annual Report on Form 10-K of which this Exhibit 4.2 is a part, and to the provisions of applicable Delaware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45" w:lineRule="exact"/>
        <w:rPr>
          <w:sz w:val="20"/>
          <w:szCs w:val="20"/>
          <w:color w:val="auto"/>
        </w:rPr>
      </w:pPr>
    </w:p>
    <w:p>
      <w:pPr>
        <w:ind w:right="380" w:firstLine="635"/>
        <w:spacing w:after="0" w:line="274" w:lineRule="auto"/>
        <w:rPr>
          <w:sz w:val="20"/>
          <w:szCs w:val="20"/>
          <w:color w:val="auto"/>
        </w:rPr>
      </w:pPr>
      <w:r>
        <w:rPr>
          <w:rFonts w:ascii="Arial" w:cs="Arial" w:eastAsia="Arial" w:hAnsi="Arial"/>
          <w:sz w:val="18"/>
          <w:szCs w:val="18"/>
          <w:color w:val="auto"/>
        </w:rPr>
        <w:t>Our authorized capital stock consists of 125,000,000 shares of common stock, $0.001 par value per share and 5,000,000 shares of undesignated preferred stock, $0.001 par value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43" w:lineRule="exact"/>
        <w:rPr>
          <w:sz w:val="20"/>
          <w:szCs w:val="20"/>
          <w:color w:val="auto"/>
        </w:rPr>
      </w:pPr>
    </w:p>
    <w:p>
      <w:pPr>
        <w:ind w:right="260" w:firstLine="635"/>
        <w:spacing w:after="0" w:line="259"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243" w:lineRule="exact"/>
        <w:rPr>
          <w:sz w:val="20"/>
          <w:szCs w:val="20"/>
          <w:color w:val="auto"/>
        </w:rPr>
      </w:pPr>
    </w:p>
    <w:p>
      <w:pPr>
        <w:ind w:right="100" w:firstLine="635"/>
        <w:spacing w:after="0" w:line="274" w:lineRule="auto"/>
        <w:rPr>
          <w:sz w:val="20"/>
          <w:szCs w:val="20"/>
          <w:color w:val="auto"/>
        </w:rPr>
      </w:pPr>
      <w:r>
        <w:rPr>
          <w:rFonts w:ascii="Arial" w:cs="Arial" w:eastAsia="Arial" w:hAnsi="Arial"/>
          <w:sz w:val="18"/>
          <w:szCs w:val="18"/>
          <w:color w:val="auto"/>
        </w:rPr>
        <w:t>Each holder of common stock is entitled to one vote per share on all matters submitted to a vote of stockholders. We do not provide for cumulative voting in the election of directors.</w:t>
      </w:r>
    </w:p>
    <w:p>
      <w:pPr>
        <w:spacing w:after="0" w:line="3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common stock have no preemptive or conversion rights or other subscription rights.</w:t>
      </w:r>
    </w:p>
    <w:p>
      <w:pPr>
        <w:spacing w:after="0" w:line="3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43" w:lineRule="exact"/>
        <w:rPr>
          <w:sz w:val="20"/>
          <w:szCs w:val="20"/>
          <w:color w:val="auto"/>
        </w:rPr>
      </w:pPr>
    </w:p>
    <w:p>
      <w:pPr>
        <w:ind w:right="260" w:firstLine="635"/>
        <w:spacing w:after="0" w:line="274" w:lineRule="auto"/>
        <w:rPr>
          <w:sz w:val="20"/>
          <w:szCs w:val="20"/>
          <w:color w:val="auto"/>
        </w:rPr>
      </w:pPr>
      <w:r>
        <w:rPr>
          <w:rFonts w:ascii="Arial" w:cs="Arial" w:eastAsia="Arial" w:hAnsi="Arial"/>
          <w:sz w:val="18"/>
          <w:szCs w:val="18"/>
          <w:color w:val="auto"/>
        </w:rPr>
        <w:t>Upon our liquidation, dissolution or winding-up, the holders of common stock are entitled to share ratably in all assets remaining after payment of all liabilities and the liquidation preferences of any outstanding preferred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5" w:lineRule="exact"/>
        <w:rPr>
          <w:sz w:val="20"/>
          <w:szCs w:val="20"/>
          <w:color w:val="auto"/>
        </w:rPr>
      </w:pPr>
    </w:p>
    <w:p>
      <w:pPr>
        <w:ind w:firstLine="635"/>
        <w:spacing w:after="0" w:line="250" w:lineRule="auto"/>
        <w:rPr>
          <w:sz w:val="20"/>
          <w:szCs w:val="20"/>
          <w:color w:val="auto"/>
        </w:rPr>
      </w:pPr>
      <w:r>
        <w:rPr>
          <w:rFonts w:ascii="Arial" w:cs="Arial" w:eastAsia="Arial" w:hAnsi="Arial"/>
          <w:sz w:val="18"/>
          <w:szCs w:val="18"/>
          <w:color w:val="auto"/>
        </w:rPr>
        <w:t>Our board of directors is authorized, subject to limitations prescribed by Delaware law, without further action by our stockholders, to issue from time to time up to 5,000,000 shares of preferred stock in one or more series, to establish the number of shares to be included in each series and fix the powers, preferences and rights of the shares of each wholly unissued series and any of its qualifications, limitations or restrictions. Our board of directors can also increase or decrease the number of shares of any series, but not below the number of shares of that series then outstanding, without any further vote or action by the stockholders. The issuance of preferred stock could decrease the amount of earnings and assets available for distribution to the holders of common stock or adversely affect the rights and powers, including voting rights, of the holders of common stock. The issuance of preferred</w:t>
      </w:r>
    </w:p>
    <w:p>
      <w:pPr>
        <w:sectPr>
          <w:pgSz w:w="11900" w:h="16838" w:orient="portrait"/>
          <w:cols w:equalWidth="0" w:num="1">
            <w:col w:w="11240"/>
          </w:cols>
          <w:pgMar w:left="320" w:top="1113" w:right="339" w:bottom="1440" w:gutter="0" w:footer="0" w:header="0"/>
        </w:sectPr>
      </w:pPr>
    </w:p>
    <w:bookmarkStart w:id="124" w:name="page125"/>
    <w:bookmarkEnd w:id="124"/>
    <w:p>
      <w:pPr>
        <w:ind w:right="140"/>
        <w:spacing w:after="0" w:line="259" w:lineRule="auto"/>
        <w:rPr>
          <w:sz w:val="20"/>
          <w:szCs w:val="20"/>
          <w:color w:val="auto"/>
        </w:rPr>
      </w:pPr>
      <w:r>
        <w:rPr>
          <w:rFonts w:ascii="Arial" w:cs="Arial" w:eastAsia="Arial" w:hAnsi="Arial"/>
          <w:sz w:val="18"/>
          <w:szCs w:val="18"/>
          <w:color w:val="auto"/>
        </w:rPr>
        <w:t>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39"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our company. These provisions, which are summarized below, are expected to discourage certain types of coercive takeover practices and inadequate takeover bids. These provisions are also designed, in part, to encourage persons seeking to acquire control of our company to first negotiate with our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50" w:lineRule="exact"/>
        <w:rPr>
          <w:sz w:val="20"/>
          <w:szCs w:val="20"/>
          <w:color w:val="auto"/>
        </w:rPr>
      </w:pPr>
    </w:p>
    <w:p>
      <w:pPr>
        <w:ind w:right="120" w:firstLine="710"/>
        <w:spacing w:after="0" w:line="274" w:lineRule="auto"/>
        <w:rPr>
          <w:sz w:val="20"/>
          <w:szCs w:val="20"/>
          <w:color w:val="auto"/>
        </w:rPr>
      </w:pPr>
      <w:r>
        <w:rPr>
          <w:rFonts w:ascii="Arial" w:cs="Arial" w:eastAsia="Arial" w:hAnsi="Arial"/>
          <w:sz w:val="18"/>
          <w:szCs w:val="18"/>
          <w:color w:val="auto"/>
        </w:rPr>
        <w:t>Our restated certificate of incorporation and amended and restated bylaws include a number of provisions that may have the effect of deterring hostile takeovers or delaying or preventing changes in control of our management team, including the following:</w:t>
      </w:r>
    </w:p>
    <w:p>
      <w:pPr>
        <w:spacing w:after="0" w:line="189" w:lineRule="exact"/>
        <w:rPr>
          <w:sz w:val="20"/>
          <w:szCs w:val="20"/>
          <w:color w:val="auto"/>
        </w:rPr>
      </w:pPr>
    </w:p>
    <w:p>
      <w:pPr>
        <w:ind w:left="640" w:right="340" w:hanging="316"/>
        <w:spacing w:after="0" w:line="273" w:lineRule="auto"/>
        <w:tabs>
          <w:tab w:leader="none" w:pos="635"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has the authority, without further action by the stockholders, to issue up to 5,000,000 shares of undesignated preferred stock.</w:t>
      </w:r>
    </w:p>
    <w:p>
      <w:pPr>
        <w:spacing w:after="0" w:line="189" w:lineRule="exact"/>
        <w:rPr>
          <w:rFonts w:ascii="Times New Roman" w:cs="Times New Roman" w:eastAsia="Times New Roman" w:hAnsi="Times New Roman"/>
          <w:sz w:val="18"/>
          <w:szCs w:val="18"/>
          <w:color w:val="auto"/>
        </w:rPr>
      </w:pPr>
    </w:p>
    <w:p>
      <w:pPr>
        <w:ind w:left="640" w:right="60" w:hanging="316"/>
        <w:spacing w:after="0" w:line="273" w:lineRule="auto"/>
        <w:tabs>
          <w:tab w:leader="none" w:pos="635"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restated certificate of incorporation provides that our stockholders may not take action by written consent, but may only take action at annual or special meetings of our stockholders.</w:t>
      </w:r>
    </w:p>
    <w:p>
      <w:pPr>
        <w:spacing w:after="0" w:line="189" w:lineRule="exact"/>
        <w:rPr>
          <w:rFonts w:ascii="Times New Roman" w:cs="Times New Roman" w:eastAsia="Times New Roman" w:hAnsi="Times New Roman"/>
          <w:sz w:val="18"/>
          <w:szCs w:val="18"/>
          <w:color w:val="auto"/>
        </w:rPr>
      </w:pPr>
    </w:p>
    <w:p>
      <w:pPr>
        <w:ind w:left="640" w:right="380" w:hanging="316"/>
        <w:spacing w:after="0" w:line="273" w:lineRule="auto"/>
        <w:tabs>
          <w:tab w:leader="none" w:pos="635"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amended and restated bylaws further provide that special meetings of our stockholders may be called only by a majority of our board of directors, our chairman of the board, or our chief executive officer.</w:t>
      </w:r>
    </w:p>
    <w:p>
      <w:pPr>
        <w:spacing w:after="0" w:line="189" w:lineRule="exact"/>
        <w:rPr>
          <w:rFonts w:ascii="Times New Roman" w:cs="Times New Roman" w:eastAsia="Times New Roman" w:hAnsi="Times New Roman"/>
          <w:sz w:val="18"/>
          <w:szCs w:val="18"/>
          <w:color w:val="auto"/>
        </w:rPr>
      </w:pPr>
    </w:p>
    <w:p>
      <w:pPr>
        <w:ind w:left="640" w:hanging="316"/>
        <w:spacing w:after="0" w:line="273" w:lineRule="auto"/>
        <w:tabs>
          <w:tab w:leader="none" w:pos="635"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amended and restated bylaws provide advance notice procedure for stockholder approvals to be brought before an annual meeting of our stockholders, including proposed nominations of persons for election to our board of directors;</w:t>
      </w:r>
    </w:p>
    <w:p>
      <w:pPr>
        <w:spacing w:after="0" w:line="189" w:lineRule="exact"/>
        <w:rPr>
          <w:rFonts w:ascii="Times New Roman" w:cs="Times New Roman" w:eastAsia="Times New Roman" w:hAnsi="Times New Roman"/>
          <w:sz w:val="18"/>
          <w:szCs w:val="18"/>
          <w:color w:val="auto"/>
        </w:rPr>
      </w:pPr>
    </w:p>
    <w:p>
      <w:pPr>
        <w:ind w:left="640" w:right="80" w:hanging="316"/>
        <w:spacing w:after="0" w:line="252"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restated certificate of incorporation and amended and restated bylaws provide that our board of directors is divided into three classes, Class I, Class II and Class III, with each class serving staggered terms. However, beginning with our annual meeting of stockholders to be held in 2024, our board of directors will be declassified over a three-year period, with each class, beginning with the directors standing for election at the annual meeting of stockholders to be held in 2024, subject to an election for a term of one year expiring at the next succeeding annual meeting of stockholders.</w:t>
      </w:r>
    </w:p>
    <w:p>
      <w:pPr>
        <w:spacing w:after="0" w:line="210" w:lineRule="exact"/>
        <w:rPr>
          <w:rFonts w:ascii="Arial" w:cs="Arial" w:eastAsia="Arial" w:hAnsi="Arial"/>
          <w:sz w:val="18"/>
          <w:szCs w:val="18"/>
          <w:color w:val="auto"/>
        </w:rPr>
      </w:pPr>
    </w:p>
    <w:p>
      <w:pPr>
        <w:ind w:left="640" w:right="180" w:hanging="316"/>
        <w:spacing w:after="0" w:line="27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restated certificate of incorporation provides that our directors serving in a class of directors for a term expiring at the third annual meeting of stockholders following the election of such class may be removed only for cause.</w:t>
      </w:r>
    </w:p>
    <w:p>
      <w:pPr>
        <w:spacing w:after="0" w:line="189" w:lineRule="exact"/>
        <w:rPr>
          <w:rFonts w:ascii="Arial" w:cs="Arial" w:eastAsia="Arial" w:hAnsi="Arial"/>
          <w:sz w:val="18"/>
          <w:szCs w:val="18"/>
          <w:color w:val="auto"/>
        </w:rPr>
      </w:pPr>
    </w:p>
    <w:p>
      <w:pPr>
        <w:ind w:left="640" w:hanging="316"/>
        <w:spacing w:after="0" w:line="273" w:lineRule="auto"/>
        <w:tabs>
          <w:tab w:leader="none" w:pos="635"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restated certificate of incorporation and amended and restated bylaws provide that vacancies on our board of directors may, except as otherwise required by law, be filled only by a majority of directors then in office, even if less than a quorum;</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restated certificate of incorporation provides that no stockholder is permitted to cumulate votes at any election of directors.</w:t>
      </w:r>
    </w:p>
    <w:p>
      <w:pPr>
        <w:spacing w:after="0" w:line="242" w:lineRule="exact"/>
        <w:rPr>
          <w:rFonts w:ascii="Times New Roman" w:cs="Times New Roman" w:eastAsia="Times New Roman" w:hAnsi="Times New Roman"/>
          <w:sz w:val="18"/>
          <w:szCs w:val="18"/>
          <w:color w:val="auto"/>
        </w:rPr>
      </w:pPr>
    </w:p>
    <w:p>
      <w:pPr>
        <w:ind w:left="640" w:right="340" w:hanging="316"/>
        <w:spacing w:after="0" w:line="273" w:lineRule="auto"/>
        <w:tabs>
          <w:tab w:leader="none" w:pos="635"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restated certificate of incorporation and amended and restated bylaws require a super-majority of votes to amend certain of the above-mentioned provisions.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43" w:lineRule="exact"/>
        <w:rPr>
          <w:sz w:val="20"/>
          <w:szCs w:val="20"/>
          <w:color w:val="auto"/>
        </w:rPr>
      </w:pPr>
    </w:p>
    <w:p>
      <w:pPr>
        <w:ind w:right="140" w:firstLine="318"/>
        <w:spacing w:after="0" w:line="259"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three-year period following the time that this stockholder becomes an interested stockholder, unless the business combination is</w:t>
      </w:r>
    </w:p>
    <w:p>
      <w:pPr>
        <w:sectPr>
          <w:pgSz w:w="11900" w:h="16838" w:orient="portrait"/>
          <w:cols w:equalWidth="0" w:num="1">
            <w:col w:w="11200"/>
          </w:cols>
          <w:pgMar w:left="320" w:top="877" w:right="379" w:bottom="1440" w:gutter="0" w:footer="0" w:header="0"/>
        </w:sectPr>
      </w:pPr>
    </w:p>
    <w:bookmarkStart w:id="125" w:name="page126"/>
    <w:bookmarkEnd w:id="125"/>
    <w:p>
      <w:pPr>
        <w:ind w:right="820"/>
        <w:spacing w:after="0" w:line="274" w:lineRule="auto"/>
        <w:rPr>
          <w:sz w:val="20"/>
          <w:szCs w:val="20"/>
          <w:color w:val="auto"/>
        </w:rPr>
      </w:pPr>
      <w:r>
        <w:rPr>
          <w:rFonts w:ascii="Arial" w:cs="Arial" w:eastAsia="Arial" w:hAnsi="Arial"/>
          <w:sz w:val="18"/>
          <w:szCs w:val="18"/>
          <w:color w:val="auto"/>
        </w:rPr>
        <w:t>approved in a prescribed manner. Under Section 203, a business combination between a corporation and an interested stockholder is prohibited unless it satisfies one of the following conditions:</w:t>
      </w:r>
    </w:p>
    <w:p>
      <w:pPr>
        <w:spacing w:after="0" w:line="189" w:lineRule="exact"/>
        <w:rPr>
          <w:sz w:val="20"/>
          <w:szCs w:val="20"/>
          <w:color w:val="auto"/>
        </w:rPr>
      </w:pPr>
    </w:p>
    <w:p>
      <w:pPr>
        <w:ind w:left="640" w:right="360" w:hanging="316"/>
        <w:spacing w:after="0" w:line="273" w:lineRule="auto"/>
        <w:tabs>
          <w:tab w:leader="none" w:pos="635"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89" w:lineRule="exact"/>
        <w:rPr>
          <w:rFonts w:ascii="Times New Roman" w:cs="Times New Roman" w:eastAsia="Times New Roman" w:hAnsi="Times New Roman"/>
          <w:sz w:val="18"/>
          <w:szCs w:val="18"/>
          <w:color w:val="auto"/>
        </w:rPr>
      </w:pPr>
    </w:p>
    <w:p>
      <w:pPr>
        <w:ind w:left="640" w:right="40" w:hanging="316"/>
        <w:spacing w:after="0" w:line="254" w:lineRule="auto"/>
        <w:tabs>
          <w:tab w:leader="none" w:pos="635"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08" w:lineRule="exact"/>
        <w:rPr>
          <w:rFonts w:ascii="Times New Roman" w:cs="Times New Roman" w:eastAsia="Times New Roman" w:hAnsi="Times New Roman"/>
          <w:sz w:val="18"/>
          <w:szCs w:val="18"/>
          <w:color w:val="auto"/>
        </w:rPr>
      </w:pPr>
    </w:p>
    <w:p>
      <w:pPr>
        <w:ind w:left="640" w:right="300" w:hanging="316"/>
        <w:spacing w:after="0" w:line="259"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of the corporation and authorized at an annual or special meeting of the stockholders, and not by written consent, by the affirmative vote of at least 66-2/3% of the outstanding voting stock that is not owned by the interested stockholder.</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Section 203 defines a business combination to include:</w:t>
      </w:r>
    </w:p>
    <w:p>
      <w:pPr>
        <w:spacing w:after="0" w:line="243" w:lineRule="exact"/>
        <w:rPr>
          <w:sz w:val="20"/>
          <w:szCs w:val="20"/>
          <w:color w:val="auto"/>
        </w:rPr>
      </w:pPr>
    </w:p>
    <w:p>
      <w:pPr>
        <w:ind w:left="960" w:hanging="319"/>
        <w:spacing w:after="0"/>
        <w:tabs>
          <w:tab w:leader="none" w:pos="9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9" w:lineRule="exact"/>
        <w:rPr>
          <w:rFonts w:ascii="Times New Roman" w:cs="Times New Roman" w:eastAsia="Times New Roman" w:hAnsi="Times New Roman"/>
          <w:sz w:val="18"/>
          <w:szCs w:val="18"/>
          <w:color w:val="auto"/>
        </w:rPr>
      </w:pPr>
    </w:p>
    <w:p>
      <w:pPr>
        <w:ind w:left="960" w:right="660" w:hanging="319"/>
        <w:spacing w:after="0" w:line="245" w:lineRule="auto"/>
        <w:tabs>
          <w:tab w:leader="none" w:pos="955"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ind w:left="960" w:right="300" w:hanging="319"/>
        <w:spacing w:after="0" w:line="245" w:lineRule="auto"/>
        <w:tabs>
          <w:tab w:leader="none" w:pos="955"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ind w:left="960" w:right="60" w:hanging="319"/>
        <w:spacing w:after="0" w:line="245" w:lineRule="auto"/>
        <w:tabs>
          <w:tab w:leader="none" w:pos="955"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ind w:left="960" w:right="520" w:hanging="319"/>
        <w:spacing w:after="0" w:line="254" w:lineRule="auto"/>
        <w:tabs>
          <w:tab w:leader="none" w:pos="955"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7" w:lineRule="exact"/>
        <w:rPr>
          <w:sz w:val="20"/>
          <w:szCs w:val="20"/>
          <w:color w:val="auto"/>
        </w:rPr>
      </w:pPr>
    </w:p>
    <w:p>
      <w:pPr>
        <w:ind w:firstLine="635"/>
        <w:spacing w:after="0" w:line="259"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45" w:lineRule="exact"/>
        <w:rPr>
          <w:sz w:val="20"/>
          <w:szCs w:val="20"/>
          <w:color w:val="auto"/>
        </w:rPr>
      </w:pPr>
    </w:p>
    <w:p>
      <w:pPr>
        <w:ind w:right="60" w:firstLine="635"/>
        <w:spacing w:after="0" w:line="252" w:lineRule="auto"/>
        <w:rPr>
          <w:sz w:val="20"/>
          <w:szCs w:val="20"/>
          <w:color w:val="auto"/>
        </w:rPr>
      </w:pPr>
      <w:r>
        <w:rPr>
          <w:rFonts w:ascii="Arial" w:cs="Arial" w:eastAsia="Arial" w:hAnsi="Arial"/>
          <w:sz w:val="18"/>
          <w:szCs w:val="18"/>
          <w:color w:val="auto"/>
        </w:rPr>
        <w:t>Our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restated certificate of incorporation or our restated bylaws, or any action asserting a claim against us that is governed by the internal affairs doctrine.</w:t>
      </w:r>
    </w:p>
    <w:p>
      <w:pPr>
        <w:spacing w:after="0" w:line="210" w:lineRule="exact"/>
        <w:rPr>
          <w:sz w:val="20"/>
          <w:szCs w:val="20"/>
          <w:color w:val="auto"/>
        </w:rPr>
      </w:pPr>
    </w:p>
    <w:p>
      <w:pPr>
        <w:ind w:right="120" w:firstLine="635"/>
        <w:spacing w:after="0" w:line="252"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w:t>
      </w:r>
    </w:p>
    <w:p>
      <w:pPr>
        <w:spacing w:after="0" w:line="210" w:lineRule="exact"/>
        <w:rPr>
          <w:sz w:val="20"/>
          <w:szCs w:val="20"/>
          <w:color w:val="auto"/>
        </w:rPr>
      </w:pPr>
    </w:p>
    <w:p>
      <w:pPr>
        <w:ind w:firstLine="635"/>
        <w:spacing w:after="0" w:line="241" w:lineRule="auto"/>
        <w:rPr>
          <w:sz w:val="20"/>
          <w:szCs w:val="20"/>
          <w:color w:val="auto"/>
        </w:rPr>
      </w:pPr>
      <w:r>
        <w:rPr>
          <w:rFonts w:ascii="Arial" w:cs="Arial" w:eastAsia="Arial" w:hAnsi="Arial"/>
          <w:sz w:val="18"/>
          <w:szCs w:val="18"/>
          <w:color w:val="auto"/>
        </w:rPr>
        <w:t>In addition, our restated bylaws provide that unless we consent in writing to the selection of an alternate forum, the federal district courts of the United States are the exclusive forum for the resolution of any complaint asserting a cause of action arising under the Securities Act of 1933, as amended. Nothing in our restated certificate of incorporation or restated bylaws precludes stockholders from asserting claims to enforce any liability or duty created by the Exchange Act, or any other claim for which the federal courts of the United States have exclusive jurisdiction.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ectPr>
          <w:pgSz w:w="11900" w:h="16838" w:orient="portrait"/>
          <w:cols w:equalWidth="0" w:num="1">
            <w:col w:w="11240"/>
          </w:cols>
          <w:pgMar w:left="320" w:top="87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Listing</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common stock is traded on The Nasdaq Global Market under the symbol "VCYT".</w:t>
      </w:r>
    </w:p>
    <w:p>
      <w:pPr>
        <w:sectPr>
          <w:pgSz w:w="11900" w:h="16838" w:orient="portrait"/>
          <w:cols w:equalWidth="0" w:num="1">
            <w:col w:w="10139"/>
          </w:cols>
          <w:pgMar w:left="320" w:top="1113"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9"/>
          <w:szCs w:val="19"/>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421640</wp:posOffset>
            </wp:positionV>
            <wp:extent cx="865505" cy="5969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865505" cy="59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August 22,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John Leite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241"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 xml:space="preserve">Congratulations on your promotion! We are thrilled to support you in this next chapter of your career journey as Veracyte’s </w:t>
      </w:r>
      <w:r>
        <w:rPr>
          <w:rFonts w:ascii="Arial" w:cs="Arial" w:eastAsia="Arial" w:hAnsi="Arial"/>
          <w:sz w:val="18"/>
          <w:szCs w:val="18"/>
          <w:b w:val="1"/>
          <w:bCs w:val="1"/>
          <w:color w:val="auto"/>
        </w:rPr>
        <w:t>Chief Commercial</w:t>
      </w:r>
      <w:r>
        <w:rPr>
          <w:rFonts w:ascii="Arial" w:cs="Arial" w:eastAsia="Arial" w:hAnsi="Arial"/>
          <w:sz w:val="18"/>
          <w:szCs w:val="18"/>
          <w:color w:val="auto"/>
        </w:rPr>
        <w:t xml:space="preserve"> </w:t>
      </w:r>
      <w:r>
        <w:rPr>
          <w:rFonts w:ascii="Arial" w:cs="Arial" w:eastAsia="Arial" w:hAnsi="Arial"/>
          <w:sz w:val="18"/>
          <w:szCs w:val="18"/>
          <w:b w:val="1"/>
          <w:bCs w:val="1"/>
          <w:color w:val="auto"/>
        </w:rPr>
        <w:t>Officer, CLIA</w:t>
      </w:r>
      <w:r>
        <w:rPr>
          <w:rFonts w:ascii="Arial" w:cs="Arial" w:eastAsia="Arial" w:hAnsi="Arial"/>
          <w:sz w:val="18"/>
          <w:szCs w:val="18"/>
          <w:color w:val="auto"/>
        </w:rPr>
        <w:t>! In line with your promotion, you will receive adjusted compensation to recognize your new position and responsibilities.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adjustments are as follows:</w:t>
      </w:r>
    </w:p>
    <w:p>
      <w:pPr>
        <w:spacing w:after="0" w:line="176" w:lineRule="exact"/>
        <w:rPr>
          <w:sz w:val="20"/>
          <w:szCs w:val="20"/>
          <w:color w:val="auto"/>
        </w:rPr>
      </w:pPr>
    </w:p>
    <w:p>
      <w:pPr>
        <w:ind w:left="620" w:hanging="308"/>
        <w:spacing w:after="0" w:line="304" w:lineRule="auto"/>
        <w:tabs>
          <w:tab w:leader="none" w:pos="6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 September 1, 2023, you will receive a new base salary of $450,000 per year, less all applicable taxes and withholdings, paid in accordance with the company’s established payroll schedule, presently semi-monthly.</w:t>
      </w:r>
    </w:p>
    <w:p>
      <w:pPr>
        <w:spacing w:after="0" w:line="124" w:lineRule="exact"/>
        <w:rPr>
          <w:rFonts w:ascii="Arial" w:cs="Arial" w:eastAsia="Arial" w:hAnsi="Arial"/>
          <w:sz w:val="18"/>
          <w:szCs w:val="18"/>
          <w:color w:val="auto"/>
        </w:rPr>
      </w:pPr>
    </w:p>
    <w:p>
      <w:pPr>
        <w:ind w:left="620" w:right="100" w:hanging="308"/>
        <w:spacing w:after="0" w:line="304" w:lineRule="auto"/>
        <w:tabs>
          <w:tab w:leader="none" w:pos="68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 September 1, 2023, your new target bonus will be 55% of eligible annual earnings. Payout is dependent on company and individual performance and is not guaranteed.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180" w:type="dxa"/>
            <w:vAlign w:val="bottom"/>
            <w:tcBorders>
              <w:top w:val="single" w:sz="8" w:color="auto"/>
              <w:left w:val="single" w:sz="8" w:color="auto"/>
              <w:right w:val="single" w:sz="8" w:color="auto"/>
            </w:tcBorders>
            <w:shd w:val="clear" w:color="auto" w:fill="F1F1F1"/>
          </w:tcPr>
          <w:p>
            <w:pPr>
              <w:ind w:left="360"/>
              <w:spacing w:after="0"/>
              <w:rPr>
                <w:sz w:val="20"/>
                <w:szCs w:val="20"/>
                <w:color w:val="auto"/>
              </w:rPr>
            </w:pPr>
            <w:r>
              <w:rPr>
                <w:rFonts w:ascii="Arial" w:cs="Arial" w:eastAsia="Arial" w:hAnsi="Arial"/>
                <w:sz w:val="18"/>
                <w:szCs w:val="18"/>
                <w:color w:val="auto"/>
              </w:rPr>
              <w:t>Current Base</w:t>
            </w:r>
          </w:p>
        </w:tc>
        <w:tc>
          <w:tcPr>
            <w:tcW w:w="2200" w:type="dxa"/>
            <w:vAlign w:val="bottom"/>
            <w:tcBorders>
              <w:top w:val="single" w:sz="8" w:color="auto"/>
              <w:right w:val="single" w:sz="8" w:color="auto"/>
            </w:tcBorders>
            <w:shd w:val="clear" w:color="auto" w:fill="F1F1F1"/>
          </w:tcPr>
          <w:p>
            <w:pPr>
              <w:ind w:left="380"/>
              <w:spacing w:after="0"/>
              <w:rPr>
                <w:sz w:val="20"/>
                <w:szCs w:val="20"/>
                <w:color w:val="auto"/>
              </w:rPr>
            </w:pPr>
            <w:r>
              <w:rPr>
                <w:rFonts w:ascii="Arial" w:cs="Arial" w:eastAsia="Arial" w:hAnsi="Arial"/>
                <w:sz w:val="18"/>
                <w:szCs w:val="18"/>
                <w:color w:val="auto"/>
              </w:rPr>
              <w:t>Base Salary Increase</w:t>
            </w:r>
          </w:p>
        </w:tc>
        <w:tc>
          <w:tcPr>
            <w:tcW w:w="2180" w:type="dxa"/>
            <w:vAlign w:val="bottom"/>
            <w:tcBorders>
              <w:top w:val="single" w:sz="8" w:color="auto"/>
              <w:right w:val="single" w:sz="8" w:color="auto"/>
            </w:tcBorders>
            <w:vMerge w:val="restart"/>
            <w:shd w:val="clear" w:color="auto" w:fill="F1F1F1"/>
          </w:tcPr>
          <w:p>
            <w:pPr>
              <w:jc w:val="center"/>
              <w:spacing w:after="0"/>
              <w:rPr>
                <w:sz w:val="20"/>
                <w:szCs w:val="20"/>
                <w:color w:val="auto"/>
              </w:rPr>
            </w:pPr>
            <w:r>
              <w:rPr>
                <w:rFonts w:ascii="Arial" w:cs="Arial" w:eastAsia="Arial" w:hAnsi="Arial"/>
                <w:sz w:val="18"/>
                <w:szCs w:val="18"/>
                <w:color w:val="auto"/>
                <w:w w:val="98"/>
              </w:rPr>
              <w:t>New Base Salary</w:t>
            </w:r>
          </w:p>
        </w:tc>
        <w:tc>
          <w:tcPr>
            <w:tcW w:w="2180" w:type="dxa"/>
            <w:vAlign w:val="bottom"/>
            <w:tcBorders>
              <w:top w:val="single" w:sz="8" w:color="auto"/>
              <w:right w:val="single" w:sz="8" w:color="auto"/>
            </w:tcBorders>
            <w:shd w:val="clear" w:color="auto" w:fill="F1F1F1"/>
          </w:tcPr>
          <w:p>
            <w:pPr>
              <w:jc w:val="center"/>
              <w:ind w:right="432"/>
              <w:spacing w:after="0"/>
              <w:rPr>
                <w:sz w:val="20"/>
                <w:szCs w:val="20"/>
                <w:color w:val="auto"/>
              </w:rPr>
            </w:pPr>
            <w:r>
              <w:rPr>
                <w:rFonts w:ascii="Arial" w:cs="Arial" w:eastAsia="Arial" w:hAnsi="Arial"/>
                <w:sz w:val="18"/>
                <w:szCs w:val="18"/>
                <w:color w:val="auto"/>
                <w:w w:val="97"/>
              </w:rPr>
              <w:t>New Bonus</w:t>
            </w:r>
          </w:p>
        </w:tc>
        <w:tc>
          <w:tcPr>
            <w:tcW w:w="2180" w:type="dxa"/>
            <w:vAlign w:val="bottom"/>
            <w:tcBorders>
              <w:top w:val="single" w:sz="8" w:color="auto"/>
              <w:right w:val="single" w:sz="8" w:color="auto"/>
            </w:tcBorders>
            <w:shd w:val="clear" w:color="auto" w:fill="F1F1F1"/>
          </w:tcPr>
          <w:p>
            <w:pPr>
              <w:jc w:val="right"/>
              <w:ind w:right="332"/>
              <w:spacing w:after="0"/>
              <w:rPr>
                <w:sz w:val="20"/>
                <w:szCs w:val="20"/>
                <w:color w:val="auto"/>
              </w:rPr>
            </w:pPr>
            <w:r>
              <w:rPr>
                <w:rFonts w:ascii="Arial" w:cs="Arial" w:eastAsia="Arial" w:hAnsi="Arial"/>
                <w:sz w:val="18"/>
                <w:szCs w:val="18"/>
                <w:color w:val="auto"/>
              </w:rPr>
              <w:t>Total Target Cash (%</w:t>
            </w:r>
          </w:p>
        </w:tc>
        <w:tc>
          <w:tcPr>
            <w:tcW w:w="0" w:type="dxa"/>
            <w:vAlign w:val="bottom"/>
          </w:tcPr>
          <w:p>
            <w:pPr>
              <w:spacing w:after="0"/>
              <w:rPr>
                <w:sz w:val="1"/>
                <w:szCs w:val="1"/>
                <w:color w:val="auto"/>
              </w:rPr>
            </w:pPr>
          </w:p>
        </w:tc>
      </w:tr>
      <w:tr>
        <w:trPr>
          <w:trHeight w:val="113"/>
        </w:trPr>
        <w:tc>
          <w:tcPr>
            <w:tcW w:w="2180" w:type="dxa"/>
            <w:vAlign w:val="bottom"/>
            <w:tcBorders>
              <w:left w:val="single" w:sz="8" w:color="auto"/>
              <w:right w:val="single" w:sz="8" w:color="auto"/>
            </w:tcBorders>
            <w:vMerge w:val="restart"/>
            <w:shd w:val="clear" w:color="auto" w:fill="F1F1F1"/>
          </w:tcPr>
          <w:p>
            <w:pPr>
              <w:jc w:val="center"/>
              <w:ind w:right="392"/>
              <w:spacing w:after="0"/>
              <w:rPr>
                <w:sz w:val="20"/>
                <w:szCs w:val="20"/>
                <w:color w:val="auto"/>
              </w:rPr>
            </w:pPr>
            <w:r>
              <w:rPr>
                <w:rFonts w:ascii="Arial" w:cs="Arial" w:eastAsia="Arial" w:hAnsi="Arial"/>
                <w:sz w:val="18"/>
                <w:szCs w:val="18"/>
                <w:color w:val="auto"/>
                <w:w w:val="97"/>
              </w:rPr>
              <w:t>Salary</w:t>
            </w:r>
          </w:p>
        </w:tc>
        <w:tc>
          <w:tcPr>
            <w:tcW w:w="2200" w:type="dxa"/>
            <w:vAlign w:val="bottom"/>
            <w:tcBorders>
              <w:right w:val="single" w:sz="8" w:color="auto"/>
            </w:tcBorders>
            <w:vMerge w:val="restart"/>
            <w:shd w:val="clear" w:color="auto" w:fill="F1F1F1"/>
          </w:tcPr>
          <w:p>
            <w:pPr>
              <w:ind w:left="340"/>
              <w:spacing w:after="0"/>
              <w:rPr>
                <w:sz w:val="20"/>
                <w:szCs w:val="20"/>
                <w:color w:val="auto"/>
              </w:rPr>
            </w:pPr>
            <w:r>
              <w:rPr>
                <w:rFonts w:ascii="Arial" w:cs="Arial" w:eastAsia="Arial" w:hAnsi="Arial"/>
                <w:sz w:val="18"/>
                <w:szCs w:val="18"/>
                <w:color w:val="auto"/>
              </w:rPr>
              <w:t>(%)</w:t>
            </w:r>
          </w:p>
        </w:tc>
        <w:tc>
          <w:tcPr>
            <w:tcW w:w="2180" w:type="dxa"/>
            <w:vAlign w:val="bottom"/>
            <w:tcBorders>
              <w:right w:val="single" w:sz="8" w:color="auto"/>
            </w:tcBorders>
            <w:vMerge w:val="continue"/>
            <w:shd w:val="clear" w:color="auto" w:fill="F1F1F1"/>
          </w:tcPr>
          <w:p>
            <w:pPr>
              <w:spacing w:after="0"/>
              <w:rPr>
                <w:sz w:val="9"/>
                <w:szCs w:val="9"/>
                <w:color w:val="auto"/>
              </w:rPr>
            </w:pPr>
          </w:p>
        </w:tc>
        <w:tc>
          <w:tcPr>
            <w:tcW w:w="2180" w:type="dxa"/>
            <w:vAlign w:val="bottom"/>
            <w:tcBorders>
              <w:right w:val="single" w:sz="8" w:color="auto"/>
            </w:tcBorders>
            <w:vMerge w:val="restart"/>
            <w:shd w:val="clear" w:color="auto" w:fill="F1F1F1"/>
          </w:tcPr>
          <w:p>
            <w:pPr>
              <w:jc w:val="center"/>
              <w:ind w:right="452"/>
              <w:spacing w:after="0"/>
              <w:rPr>
                <w:sz w:val="20"/>
                <w:szCs w:val="20"/>
                <w:color w:val="auto"/>
              </w:rPr>
            </w:pPr>
            <w:r>
              <w:rPr>
                <w:rFonts w:ascii="Arial" w:cs="Arial" w:eastAsia="Arial" w:hAnsi="Arial"/>
                <w:sz w:val="18"/>
                <w:szCs w:val="18"/>
                <w:color w:val="auto"/>
                <w:w w:val="92"/>
              </w:rPr>
              <w:t>Target</w:t>
            </w:r>
          </w:p>
        </w:tc>
        <w:tc>
          <w:tcPr>
            <w:tcW w:w="2180" w:type="dxa"/>
            <w:vAlign w:val="bottom"/>
            <w:tcBorders>
              <w:right w:val="single" w:sz="8" w:color="auto"/>
            </w:tcBorders>
            <w:vMerge w:val="restart"/>
            <w:shd w:val="clear" w:color="auto" w:fill="F1F1F1"/>
          </w:tcPr>
          <w:p>
            <w:pPr>
              <w:jc w:val="right"/>
              <w:ind w:right="1032"/>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124"/>
        </w:trPr>
        <w:tc>
          <w:tcPr>
            <w:tcW w:w="2180" w:type="dxa"/>
            <w:vAlign w:val="bottom"/>
            <w:tcBorders>
              <w:left w:val="single" w:sz="8" w:color="auto"/>
              <w:bottom w:val="single" w:sz="8" w:color="auto"/>
              <w:right w:val="single" w:sz="8" w:color="auto"/>
            </w:tcBorders>
            <w:vMerge w:val="continue"/>
            <w:shd w:val="clear" w:color="auto" w:fill="F1F1F1"/>
          </w:tcPr>
          <w:p>
            <w:pPr>
              <w:spacing w:after="0"/>
              <w:rPr>
                <w:sz w:val="10"/>
                <w:szCs w:val="10"/>
                <w:color w:val="auto"/>
              </w:rPr>
            </w:pPr>
          </w:p>
        </w:tc>
        <w:tc>
          <w:tcPr>
            <w:tcW w:w="2200" w:type="dxa"/>
            <w:vAlign w:val="bottom"/>
            <w:tcBorders>
              <w:bottom w:val="single" w:sz="8" w:color="auto"/>
              <w:right w:val="single" w:sz="8" w:color="auto"/>
            </w:tcBorders>
            <w:vMerge w:val="continue"/>
            <w:shd w:val="clear" w:color="auto" w:fill="F1F1F1"/>
          </w:tcPr>
          <w:p>
            <w:pPr>
              <w:spacing w:after="0"/>
              <w:rPr>
                <w:sz w:val="10"/>
                <w:szCs w:val="10"/>
                <w:color w:val="auto"/>
              </w:rPr>
            </w:pPr>
          </w:p>
        </w:tc>
        <w:tc>
          <w:tcPr>
            <w:tcW w:w="2180" w:type="dxa"/>
            <w:vAlign w:val="bottom"/>
            <w:tcBorders>
              <w:bottom w:val="single" w:sz="8" w:color="auto"/>
              <w:right w:val="single" w:sz="8" w:color="auto"/>
            </w:tcBorders>
            <w:shd w:val="clear" w:color="auto" w:fill="F1F1F1"/>
          </w:tcPr>
          <w:p>
            <w:pPr>
              <w:spacing w:after="0"/>
              <w:rPr>
                <w:sz w:val="10"/>
                <w:szCs w:val="10"/>
                <w:color w:val="auto"/>
              </w:rPr>
            </w:pPr>
          </w:p>
        </w:tc>
        <w:tc>
          <w:tcPr>
            <w:tcW w:w="2180" w:type="dxa"/>
            <w:vAlign w:val="bottom"/>
            <w:tcBorders>
              <w:bottom w:val="single" w:sz="8" w:color="auto"/>
              <w:right w:val="single" w:sz="8" w:color="auto"/>
            </w:tcBorders>
            <w:vMerge w:val="continue"/>
            <w:shd w:val="clear" w:color="auto" w:fill="F1F1F1"/>
          </w:tcPr>
          <w:p>
            <w:pPr>
              <w:spacing w:after="0"/>
              <w:rPr>
                <w:sz w:val="10"/>
                <w:szCs w:val="10"/>
                <w:color w:val="auto"/>
              </w:rPr>
            </w:pPr>
          </w:p>
        </w:tc>
        <w:tc>
          <w:tcPr>
            <w:tcW w:w="2180" w:type="dxa"/>
            <w:vAlign w:val="bottom"/>
            <w:tcBorders>
              <w:bottom w:val="single" w:sz="8" w:color="auto"/>
              <w:right w:val="single" w:sz="8" w:color="auto"/>
            </w:tcBorders>
            <w:vMerge w:val="continue"/>
            <w:shd w:val="clear" w:color="auto" w:fill="F1F1F1"/>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180" w:type="dxa"/>
            <w:vAlign w:val="bottom"/>
            <w:tcBorders>
              <w:left w:val="single" w:sz="8" w:color="auto"/>
              <w:bottom w:val="single" w:sz="8" w:color="auto"/>
              <w:right w:val="single" w:sz="8" w:color="auto"/>
            </w:tcBorders>
          </w:tcPr>
          <w:p>
            <w:pPr>
              <w:jc w:val="right"/>
              <w:ind w:right="872"/>
              <w:spacing w:after="0"/>
              <w:rPr>
                <w:sz w:val="20"/>
                <w:szCs w:val="20"/>
                <w:color w:val="auto"/>
              </w:rPr>
            </w:pPr>
            <w:r>
              <w:rPr>
                <w:rFonts w:ascii="Arial" w:cs="Arial" w:eastAsia="Arial" w:hAnsi="Arial"/>
                <w:sz w:val="18"/>
                <w:szCs w:val="18"/>
                <w:color w:val="auto"/>
              </w:rPr>
              <w:t>$406,600</w:t>
            </w:r>
          </w:p>
        </w:tc>
        <w:tc>
          <w:tcPr>
            <w:tcW w:w="2200" w:type="dxa"/>
            <w:vAlign w:val="bottom"/>
            <w:tcBorders>
              <w:bottom w:val="single" w:sz="8" w:color="auto"/>
              <w:right w:val="single" w:sz="8" w:color="auto"/>
            </w:tcBorders>
          </w:tcPr>
          <w:p>
            <w:pPr>
              <w:jc w:val="right"/>
              <w:ind w:right="692"/>
              <w:spacing w:after="0"/>
              <w:rPr>
                <w:sz w:val="20"/>
                <w:szCs w:val="20"/>
                <w:color w:val="auto"/>
              </w:rPr>
            </w:pPr>
            <w:r>
              <w:rPr>
                <w:rFonts w:ascii="Arial" w:cs="Arial" w:eastAsia="Arial" w:hAnsi="Arial"/>
                <w:sz w:val="18"/>
                <w:szCs w:val="18"/>
                <w:color w:val="auto"/>
              </w:rPr>
              <w:t>$43,400 (11%)</w:t>
            </w:r>
          </w:p>
        </w:tc>
        <w:tc>
          <w:tcPr>
            <w:tcW w:w="2180" w:type="dxa"/>
            <w:vAlign w:val="bottom"/>
            <w:tcBorders>
              <w:bottom w:val="single" w:sz="8" w:color="auto"/>
              <w:right w:val="single" w:sz="8" w:color="auto"/>
            </w:tcBorders>
          </w:tcPr>
          <w:p>
            <w:pPr>
              <w:jc w:val="right"/>
              <w:ind w:right="652"/>
              <w:spacing w:after="0"/>
              <w:rPr>
                <w:sz w:val="20"/>
                <w:szCs w:val="20"/>
                <w:color w:val="auto"/>
              </w:rPr>
            </w:pPr>
            <w:r>
              <w:rPr>
                <w:rFonts w:ascii="Arial" w:cs="Arial" w:eastAsia="Arial" w:hAnsi="Arial"/>
                <w:sz w:val="18"/>
                <w:szCs w:val="18"/>
                <w:color w:val="auto"/>
              </w:rPr>
              <w:t>$450,000</w:t>
            </w:r>
          </w:p>
        </w:tc>
        <w:tc>
          <w:tcPr>
            <w:tcW w:w="2180" w:type="dxa"/>
            <w:vAlign w:val="bottom"/>
            <w:tcBorders>
              <w:bottom w:val="single" w:sz="8" w:color="auto"/>
              <w:right w:val="single" w:sz="8" w:color="auto"/>
            </w:tcBorders>
          </w:tcPr>
          <w:p>
            <w:pPr>
              <w:jc w:val="right"/>
              <w:ind w:right="832"/>
              <w:spacing w:after="0"/>
              <w:rPr>
                <w:sz w:val="20"/>
                <w:szCs w:val="20"/>
                <w:color w:val="auto"/>
              </w:rPr>
            </w:pPr>
            <w:r>
              <w:rPr>
                <w:rFonts w:ascii="Arial" w:cs="Arial" w:eastAsia="Arial" w:hAnsi="Arial"/>
                <w:sz w:val="18"/>
                <w:szCs w:val="18"/>
                <w:color w:val="auto"/>
              </w:rPr>
              <w:t>55%</w:t>
            </w:r>
          </w:p>
        </w:tc>
        <w:tc>
          <w:tcPr>
            <w:tcW w:w="2180" w:type="dxa"/>
            <w:vAlign w:val="bottom"/>
            <w:tcBorders>
              <w:bottom w:val="single" w:sz="8" w:color="auto"/>
              <w:right w:val="single" w:sz="8" w:color="auto"/>
            </w:tcBorders>
          </w:tcPr>
          <w:p>
            <w:pPr>
              <w:jc w:val="right"/>
              <w:ind w:right="632"/>
              <w:spacing w:after="0"/>
              <w:rPr>
                <w:sz w:val="20"/>
                <w:szCs w:val="20"/>
                <w:color w:val="auto"/>
              </w:rPr>
            </w:pPr>
            <w:r>
              <w:rPr>
                <w:rFonts w:ascii="Arial" w:cs="Arial" w:eastAsia="Arial" w:hAnsi="Arial"/>
                <w:sz w:val="18"/>
                <w:szCs w:val="18"/>
                <w:color w:val="auto"/>
              </w:rPr>
              <w:t>$697,500 (23%)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20" w:right="320" w:hanging="308"/>
        <w:spacing w:after="0" w:line="216" w:lineRule="auto"/>
        <w:tabs>
          <w:tab w:leader="none" w:pos="6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Board of Directors has also granted you Performance Stock Units (PSUs) in the amount equal to $500,000. The PSUs are subject to the terms and conditions set forth in the Company’s 2023 Stock Incentive Plan and applicable Award Grant Agreements. The number of PSUs will be calculated by dividing the grant value by the 30-day trailing average price, which will be calculated on August 31, 2023. The grant date for your PSUs will be September 10, 2023, consistent with our standard grant dates at the Company.</w:t>
      </w:r>
    </w:p>
    <w:p>
      <w:pPr>
        <w:spacing w:after="0" w:line="180" w:lineRule="exact"/>
        <w:rPr>
          <w:rFonts w:ascii="Arial" w:cs="Arial" w:eastAsia="Arial" w:hAnsi="Arial"/>
          <w:sz w:val="18"/>
          <w:szCs w:val="18"/>
          <w:color w:val="auto"/>
        </w:rPr>
      </w:pPr>
    </w:p>
    <w:p>
      <w:pPr>
        <w:ind w:left="620" w:right="340" w:hanging="308"/>
        <w:spacing w:after="0" w:line="243" w:lineRule="auto"/>
        <w:tabs>
          <w:tab w:leader="none" w:pos="6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Board of Directors has designated you an Executive Officer and Section 16 Officer effective as of September 1, 2023. You will receive training regarding this designation by the General Counsel on or before September 1,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your contributions as we strive to improve the outcomes for patients all over the world – together. Thank you!</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Marc Stapley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Marc Stapley</w:t>
      </w:r>
    </w:p>
    <w:p>
      <w:pPr>
        <w:spacing w:after="0"/>
        <w:rPr>
          <w:sz w:val="20"/>
          <w:szCs w:val="20"/>
          <w:color w:val="auto"/>
        </w:rPr>
      </w:pPr>
      <w:r>
        <w:rPr>
          <w:rFonts w:ascii="Arial" w:cs="Arial" w:eastAsia="Arial" w:hAnsi="Arial"/>
          <w:sz w:val="18"/>
          <w:szCs w:val="18"/>
          <w:color w:val="auto"/>
        </w:rPr>
        <w:t>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Nothing in this Letter creates an employment relationship of definite duration or changes the at-will nature of the employment relationship between you and Veracyte.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6000 Shoreline Court, Suite 300, South San Francisco, CA 94080 | T: 650.243.6300 | F: 650.243.6301</w:t>
      </w:r>
    </w:p>
    <w:p>
      <w:pPr>
        <w:sectPr>
          <w:pgSz w:w="11900" w:h="16838" w:orient="portrait"/>
          <w:cols w:equalWidth="0" w:num="1">
            <w:col w:w="11140"/>
          </w:cols>
          <w:pgMar w:left="420" w:top="104"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9"/>
          <w:szCs w:val="19"/>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VERACYTE,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CHANGE OF CONTROL AND SEVERANCE AGREEMENT</w:t>
      </w:r>
    </w:p>
    <w:p>
      <w:pPr>
        <w:spacing w:after="0" w:line="179" w:lineRule="exact"/>
        <w:rPr>
          <w:sz w:val="20"/>
          <w:szCs w:val="20"/>
          <w:color w:val="auto"/>
        </w:rPr>
      </w:pPr>
    </w:p>
    <w:p>
      <w:pPr>
        <w:ind w:right="860" w:firstLine="635"/>
        <w:spacing w:after="0" w:line="260" w:lineRule="auto"/>
        <w:rPr>
          <w:sz w:val="20"/>
          <w:szCs w:val="20"/>
          <w:color w:val="auto"/>
        </w:rPr>
      </w:pPr>
      <w:r>
        <w:rPr>
          <w:rFonts w:ascii="Times New Roman" w:cs="Times New Roman" w:eastAsia="Times New Roman" w:hAnsi="Times New Roman"/>
          <w:sz w:val="19"/>
          <w:szCs w:val="19"/>
          <w:color w:val="auto"/>
        </w:rPr>
        <w:t>This Change of Control and Severance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and entered into by and between John Leite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 Veracyte,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effective as of September 1, 2023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175" w:lineRule="exact"/>
        <w:rPr>
          <w:sz w:val="20"/>
          <w:szCs w:val="20"/>
          <w:color w:val="auto"/>
        </w:rPr>
      </w:pPr>
    </w:p>
    <w:p>
      <w:pPr>
        <w:ind w:left="980" w:hanging="339"/>
        <w:spacing w:after="0"/>
        <w:tabs>
          <w:tab w:leader="none" w:pos="98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believes that it is in the best interests of the Company and its stockholders</w:t>
      </w:r>
    </w:p>
    <w:p>
      <w:pPr>
        <w:spacing w:after="0" w:line="6" w:lineRule="exact"/>
        <w:rPr>
          <w:rFonts w:ascii="Times New Roman" w:cs="Times New Roman" w:eastAsia="Times New Roman" w:hAnsi="Times New Roman"/>
          <w:sz w:val="19"/>
          <w:szCs w:val="19"/>
          <w:color w:val="auto"/>
        </w:rPr>
      </w:pPr>
    </w:p>
    <w:p>
      <w:pPr>
        <w:ind w:right="480" w:firstLine="6"/>
        <w:spacing w:after="0" w:line="225" w:lineRule="auto"/>
        <w:tabs>
          <w:tab w:leader="none" w:pos="232"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assure that the Company will have the continued dedication and objectivity of Executive, notwithstanding the possibility, threat, or occurrence of a Change of Control and (ii) to provide Executive with an incentive to continue Executive’s employment Lea to a Change of Control and to motivate Executive to maximize the value of the Company upon a Change of Control for the benefit of its stockholders.</w:t>
      </w:r>
    </w:p>
    <w:p>
      <w:pPr>
        <w:spacing w:after="0" w:line="157" w:lineRule="exact"/>
        <w:rPr>
          <w:rFonts w:ascii="Times New Roman" w:cs="Times New Roman" w:eastAsia="Times New Roman" w:hAnsi="Times New Roman"/>
          <w:sz w:val="19"/>
          <w:szCs w:val="19"/>
          <w:color w:val="auto"/>
        </w:rPr>
      </w:pPr>
    </w:p>
    <w:p>
      <w:pPr>
        <w:ind w:right="560" w:firstLine="641"/>
        <w:spacing w:after="0" w:line="233" w:lineRule="auto"/>
        <w:tabs>
          <w:tab w:leader="none" w:pos="971"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57" w:lineRule="exact"/>
        <w:rPr>
          <w:rFonts w:ascii="Times New Roman" w:cs="Times New Roman" w:eastAsia="Times New Roman" w:hAnsi="Times New Roman"/>
          <w:sz w:val="19"/>
          <w:szCs w:val="19"/>
          <w:color w:val="auto"/>
        </w:rPr>
      </w:pPr>
    </w:p>
    <w:p>
      <w:pPr>
        <w:ind w:left="980" w:hanging="339"/>
        <w:spacing w:after="0"/>
        <w:tabs>
          <w:tab w:leader="none" w:pos="98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capitalized terms used in the Agreement are defined in Section 6 below.</w:t>
      </w:r>
    </w:p>
    <w:p>
      <w:pPr>
        <w:spacing w:after="0" w:line="18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u w:val="single" w:color="auto"/>
          <w:color w:val="auto"/>
        </w:rPr>
        <w:t>AGREEME</w:t>
      </w:r>
      <w:r>
        <w:rPr>
          <w:rFonts w:ascii="Times New Roman" w:cs="Times New Roman" w:eastAsia="Times New Roman" w:hAnsi="Times New Roman"/>
          <w:sz w:val="19"/>
          <w:szCs w:val="19"/>
          <w:b w:val="1"/>
          <w:bCs w:val="1"/>
          <w:u w:val="single" w:color="auto"/>
          <w:color w:val="auto"/>
        </w:rPr>
        <w:t>N</w:t>
      </w:r>
      <w:r>
        <w:rPr>
          <w:rFonts w:ascii="Times New Roman" w:cs="Times New Roman" w:eastAsia="Times New Roman" w:hAnsi="Times New Roman"/>
          <w:sz w:val="19"/>
          <w:szCs w:val="19"/>
          <w:u w:val="single" w:color="auto"/>
          <w:color w:val="auto"/>
        </w:rPr>
        <w:t>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NOW, THEREFORE, in consideration of the mutual covenants contained herein, the parties hereto agree as </w:t>
      </w:r>
      <w:r>
        <w:rPr>
          <w:rFonts w:ascii="Times New Roman" w:cs="Times New Roman" w:eastAsia="Times New Roman" w:hAnsi="Times New Roman"/>
          <w:sz w:val="19"/>
          <w:szCs w:val="19"/>
          <w:color w:val="1F1F24"/>
        </w:rPr>
        <w:t>follows:</w:t>
      </w:r>
    </w:p>
    <w:p>
      <w:pPr>
        <w:spacing w:after="0" w:line="188" w:lineRule="exact"/>
        <w:rPr>
          <w:sz w:val="20"/>
          <w:szCs w:val="20"/>
          <w:color w:val="auto"/>
        </w:rPr>
      </w:pPr>
    </w:p>
    <w:p>
      <w:pPr>
        <w:ind w:right="40" w:firstLine="641"/>
        <w:spacing w:after="0" w:line="217" w:lineRule="auto"/>
        <w:tabs>
          <w:tab w:leader="none" w:pos="1270" w:val="left"/>
        </w:tabs>
        <w:numPr>
          <w:ilvl w:val="1"/>
          <w:numId w:val="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 of Agreement</w:t>
      </w:r>
      <w:r>
        <w:rPr>
          <w:rFonts w:ascii="Times New Roman" w:cs="Times New Roman" w:eastAsia="Times New Roman" w:hAnsi="Times New Roman"/>
          <w:sz w:val="19"/>
          <w:szCs w:val="19"/>
          <w:color w:val="auto"/>
        </w:rPr>
        <w:t>. This Agreement will have an initial term of four (4) years commencing on the Effective Date (the “</w:t>
      </w:r>
      <w:r>
        <w:rPr>
          <w:rFonts w:ascii="Times New Roman" w:cs="Times New Roman" w:eastAsia="Times New Roman" w:hAnsi="Times New Roman"/>
          <w:sz w:val="19"/>
          <w:szCs w:val="19"/>
          <w:b w:val="1"/>
          <w:bCs w:val="1"/>
          <w:i w:val="1"/>
          <w:iCs w:val="1"/>
          <w:color w:val="auto"/>
        </w:rPr>
        <w:t>Initial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Term</w:t>
      </w:r>
      <w:r>
        <w:rPr>
          <w:rFonts w:ascii="Times New Roman" w:cs="Times New Roman" w:eastAsia="Times New Roman" w:hAnsi="Times New Roman"/>
          <w:sz w:val="19"/>
          <w:szCs w:val="19"/>
          <w:color w:val="auto"/>
        </w:rPr>
        <w:t>”). On the fourth anniversary of the Effective Date, this Agreement will renew automatically for additional one (1) year terms (each 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Additional Term</w:t>
      </w:r>
      <w:r>
        <w:rPr>
          <w:rFonts w:ascii="Times New Roman" w:cs="Times New Roman" w:eastAsia="Times New Roman" w:hAnsi="Times New Roman"/>
          <w:sz w:val="19"/>
          <w:szCs w:val="19"/>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w:t>
      </w:r>
    </w:p>
    <w:p>
      <w:pPr>
        <w:spacing w:after="0" w:line="3" w:lineRule="exact"/>
        <w:rPr>
          <w:rFonts w:ascii="Times New Roman" w:cs="Times New Roman" w:eastAsia="Times New Roman" w:hAnsi="Times New Roman"/>
          <w:sz w:val="19"/>
          <w:szCs w:val="19"/>
          <w:color w:val="010000"/>
        </w:rPr>
      </w:pPr>
    </w:p>
    <w:p>
      <w:pPr>
        <w:ind w:left="380" w:hanging="374"/>
        <w:spacing w:after="0" w:line="218" w:lineRule="auto"/>
        <w:tabs>
          <w:tab w:leader="none" w:pos="3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remaining during the Initial Term or an Additional Term, the term of this Agreement will extend automatically through the date that</w:t>
      </w:r>
    </w:p>
    <w:p>
      <w:pPr>
        <w:spacing w:after="0" w:line="218" w:lineRule="auto"/>
        <w:rPr>
          <w:sz w:val="20"/>
          <w:szCs w:val="20"/>
          <w:color w:val="auto"/>
        </w:rPr>
      </w:pPr>
      <w:r>
        <w:rPr>
          <w:rFonts w:ascii="Times New Roman" w:cs="Times New Roman" w:eastAsia="Times New Roman" w:hAnsi="Times New Roman"/>
          <w:sz w:val="19"/>
          <w:szCs w:val="19"/>
          <w:color w:val="auto"/>
        </w:rPr>
        <w:t>is twelve (12) months following the effective date of the Change of Control. If Executive becomes entitled to benefits under Section 3 during</w:t>
      </w:r>
    </w:p>
    <w:p>
      <w:pPr>
        <w:ind w:right="400"/>
        <w:spacing w:after="0" w:line="228" w:lineRule="auto"/>
        <w:rPr>
          <w:sz w:val="20"/>
          <w:szCs w:val="20"/>
          <w:color w:val="auto"/>
        </w:rPr>
      </w:pPr>
      <w:r>
        <w:rPr>
          <w:rFonts w:ascii="Times New Roman" w:cs="Times New Roman" w:eastAsia="Times New Roman" w:hAnsi="Times New Roman"/>
          <w:sz w:val="19"/>
          <w:szCs w:val="19"/>
          <w:color w:val="auto"/>
        </w:rPr>
        <w:t>the term of this Agreement, the Agreement will not terminate until all of the obligations of the parties hereto with respect to this Agreement have been satisfied.</w:t>
      </w:r>
    </w:p>
    <w:p>
      <w:pPr>
        <w:spacing w:after="0" w:line="158" w:lineRule="exact"/>
        <w:rPr>
          <w:sz w:val="20"/>
          <w:szCs w:val="20"/>
          <w:color w:val="auto"/>
        </w:rPr>
      </w:pPr>
    </w:p>
    <w:p>
      <w:pPr>
        <w:ind w:right="100" w:firstLine="641"/>
        <w:spacing w:after="0" w:line="233" w:lineRule="auto"/>
        <w:tabs>
          <w:tab w:leader="none" w:pos="1270"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At-Will Employment</w:t>
      </w:r>
      <w:r>
        <w:rPr>
          <w:rFonts w:ascii="Times New Roman" w:cs="Times New Roman" w:eastAsia="Times New Roman" w:hAnsi="Times New Roman"/>
          <w:sz w:val="19"/>
          <w:szCs w:val="19"/>
          <w:color w:val="auto"/>
        </w:rPr>
        <w:t>. The Company and Executive acknowledge that Executive’s employment is and will continue to be at-will, as defined under applicable law</w:t>
      </w:r>
      <w:r>
        <w:rPr>
          <w:rFonts w:ascii="Times New Roman" w:cs="Times New Roman" w:eastAsia="Times New Roman" w:hAnsi="Times New Roman"/>
          <w:sz w:val="19"/>
          <w:szCs w:val="19"/>
          <w:color w:val="4B4B4B"/>
        </w:rPr>
        <w:t>.</w:t>
      </w:r>
      <w:r>
        <w:rPr>
          <w:rFonts w:ascii="Times New Roman" w:cs="Times New Roman" w:eastAsia="Times New Roman" w:hAnsi="Times New Roman"/>
          <w:sz w:val="19"/>
          <w:szCs w:val="19"/>
          <w:color w:val="auto"/>
        </w:rPr>
        <w:t xml:space="preserve"> As an at-will employee, either the Company or the Executive may terminate the employment relationship at any time, with or without Cause.</w:t>
      </w:r>
    </w:p>
    <w:p>
      <w:pPr>
        <w:spacing w:after="0" w:line="157" w:lineRule="exact"/>
        <w:rPr>
          <w:rFonts w:ascii="Times New Roman" w:cs="Times New Roman" w:eastAsia="Times New Roman" w:hAnsi="Times New Roman"/>
          <w:sz w:val="19"/>
          <w:szCs w:val="19"/>
          <w:color w:val="010000"/>
        </w:rPr>
      </w:pPr>
    </w:p>
    <w:p>
      <w:pPr>
        <w:ind w:left="1280" w:hanging="639"/>
        <w:spacing w:after="0"/>
        <w:tabs>
          <w:tab w:leader="none" w:pos="1280" w:val="left"/>
        </w:tabs>
        <w:numPr>
          <w:ilvl w:val="0"/>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Severance Benefits</w:t>
      </w:r>
      <w:r>
        <w:rPr>
          <w:rFonts w:ascii="Times New Roman" w:cs="Times New Roman" w:eastAsia="Times New Roman" w:hAnsi="Times New Roman"/>
          <w:sz w:val="19"/>
          <w:szCs w:val="19"/>
          <w:color w:val="auto"/>
        </w:rPr>
        <w:t>.</w:t>
      </w:r>
    </w:p>
    <w:p>
      <w:pPr>
        <w:spacing w:after="0" w:line="191" w:lineRule="exact"/>
        <w:rPr>
          <w:rFonts w:ascii="Times New Roman" w:cs="Times New Roman" w:eastAsia="Times New Roman" w:hAnsi="Times New Roman"/>
          <w:sz w:val="19"/>
          <w:szCs w:val="19"/>
          <w:color w:val="010000"/>
        </w:rPr>
      </w:pPr>
    </w:p>
    <w:p>
      <w:pPr>
        <w:jc w:val="both"/>
        <w:ind w:right="240" w:firstLine="1276"/>
        <w:spacing w:after="0" w:line="229" w:lineRule="auto"/>
        <w:tabs>
          <w:tab w:leader="none" w:pos="1896" w:val="left"/>
        </w:tabs>
        <w:numPr>
          <w:ilvl w:val="1"/>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Termination without Cause or Resignation for Good Reason Unrelated to a Change of Control</w:t>
      </w:r>
      <w:r>
        <w:rPr>
          <w:rFonts w:ascii="Times New Roman" w:cs="Times New Roman" w:eastAsia="Times New Roman" w:hAnsi="Times New Roman"/>
          <w:sz w:val="19"/>
          <w:szCs w:val="19"/>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45" w:lineRule="exact"/>
        <w:rPr>
          <w:rFonts w:ascii="Times New Roman" w:cs="Times New Roman" w:eastAsia="Times New Roman" w:hAnsi="Times New Roman"/>
          <w:sz w:val="19"/>
          <w:szCs w:val="19"/>
          <w:color w:val="010000"/>
        </w:rPr>
      </w:pPr>
    </w:p>
    <w:p>
      <w:pPr>
        <w:ind w:right="980" w:firstLine="1912"/>
        <w:spacing w:after="0" w:line="255" w:lineRule="auto"/>
        <w:tabs>
          <w:tab w:leader="none" w:pos="2539" w:val="left"/>
        </w:tabs>
        <w:numPr>
          <w:ilvl w:val="2"/>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Accrued Compensation</w:t>
      </w:r>
      <w:r>
        <w:rPr>
          <w:rFonts w:ascii="Times New Roman" w:cs="Times New Roman" w:eastAsia="Times New Roman" w:hAnsi="Times New Roman"/>
          <w:sz w:val="19"/>
          <w:szCs w:val="19"/>
          <w:color w:val="auto"/>
        </w:rPr>
        <w:t>. The Company will pay Executive all accrued but unpaid vacation, expense reimbursements, wages, and other benefits due to Executive under any Company-provided plans, policies, and arrangements.</w:t>
      </w:r>
    </w:p>
    <w:p>
      <w:pPr>
        <w:sectPr>
          <w:pgSz w:w="11900" w:h="16838" w:orient="portrait"/>
          <w:cols w:equalWidth="0" w:num="1">
            <w:col w:w="11240"/>
          </w:cols>
          <w:pgMar w:left="320" w:top="104" w:right="339" w:bottom="1440" w:gutter="0" w:footer="0" w:header="0"/>
        </w:sectPr>
      </w:pPr>
    </w:p>
    <w:bookmarkStart w:id="129" w:name="page130"/>
    <w:bookmarkEnd w:id="129"/>
    <w:p>
      <w:pPr>
        <w:jc w:val="both"/>
        <w:ind w:right="180" w:firstLine="1912"/>
        <w:spacing w:after="0" w:line="233" w:lineRule="auto"/>
        <w:tabs>
          <w:tab w:leader="none" w:pos="2540" w:val="left"/>
        </w:tabs>
        <w:numPr>
          <w:ilvl w:val="2"/>
          <w:numId w:val="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Continuing Severance Payments</w:t>
      </w:r>
      <w:r>
        <w:rPr>
          <w:rFonts w:ascii="Times New Roman" w:cs="Times New Roman" w:eastAsia="Times New Roman" w:hAnsi="Times New Roman"/>
          <w:sz w:val="19"/>
          <w:szCs w:val="19"/>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57" w:lineRule="exact"/>
        <w:rPr>
          <w:rFonts w:ascii="Times New Roman" w:cs="Times New Roman" w:eastAsia="Times New Roman" w:hAnsi="Times New Roman"/>
          <w:sz w:val="19"/>
          <w:szCs w:val="19"/>
          <w:color w:val="010000"/>
        </w:rPr>
      </w:pPr>
    </w:p>
    <w:p>
      <w:pPr>
        <w:ind w:right="220" w:firstLine="1912"/>
        <w:spacing w:after="0" w:line="220" w:lineRule="auto"/>
        <w:tabs>
          <w:tab w:leader="none" w:pos="2541" w:val="left"/>
        </w:tabs>
        <w:numPr>
          <w:ilvl w:val="2"/>
          <w:numId w:val="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Continuation Coverage</w:t>
      </w:r>
      <w:r>
        <w:rPr>
          <w:rFonts w:ascii="Times New Roman" w:cs="Times New Roman" w:eastAsia="Times New Roman" w:hAnsi="Times New Roman"/>
          <w:sz w:val="19"/>
          <w:szCs w:val="19"/>
          <w:color w:val="auto"/>
        </w:rPr>
        <w:t xml:space="preserve">. If Executive elects continuation coverage pursuant to the Consolidated Omnibus Budget Reconciliation Act of 1985, as amended </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xml:space="preserve">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w:t>
      </w:r>
    </w:p>
    <w:p>
      <w:pPr>
        <w:spacing w:after="0" w:line="1" w:lineRule="exact"/>
        <w:rPr>
          <w:rFonts w:ascii="Times New Roman" w:cs="Times New Roman" w:eastAsia="Times New Roman" w:hAnsi="Times New Roman"/>
          <w:sz w:val="19"/>
          <w:szCs w:val="19"/>
          <w:color w:val="010000"/>
        </w:rPr>
      </w:pPr>
    </w:p>
    <w:p>
      <w:pPr>
        <w:ind w:left="320" w:hanging="314"/>
        <w:spacing w:after="0" w:line="203" w:lineRule="auto"/>
        <w:tabs>
          <w:tab w:leader="none" w:pos="32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upon which Executive and/or Executive’s eligible dependents become covered under similar plans. The reimbursements will be</w:t>
      </w:r>
    </w:p>
    <w:p>
      <w:pPr>
        <w:ind w:right="20"/>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44" w:lineRule="exact"/>
        <w:rPr>
          <w:rFonts w:ascii="Times New Roman" w:cs="Times New Roman" w:eastAsia="Times New Roman" w:hAnsi="Times New Roman"/>
          <w:sz w:val="19"/>
          <w:szCs w:val="19"/>
          <w:color w:val="auto"/>
        </w:rPr>
      </w:pPr>
    </w:p>
    <w:p>
      <w:pPr>
        <w:ind w:right="200" w:firstLine="1276"/>
        <w:spacing w:after="0" w:line="229" w:lineRule="auto"/>
        <w:tabs>
          <w:tab w:leader="none" w:pos="1894" w:val="left"/>
        </w:tabs>
        <w:numPr>
          <w:ilvl w:val="1"/>
          <w:numId w:val="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Termination without Cause or Resignation for Good Reason in Connection with a Change of Control</w:t>
      </w:r>
      <w:r>
        <w:rPr>
          <w:rFonts w:ascii="Times New Roman" w:cs="Times New Roman" w:eastAsia="Times New Roman" w:hAnsi="Times New Roman"/>
          <w:sz w:val="19"/>
          <w:szCs w:val="19"/>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r>
        <w:rPr>
          <w:rFonts w:ascii="Times New Roman" w:cs="Times New Roman" w:eastAsia="Times New Roman" w:hAnsi="Times New Roman"/>
          <w:sz w:val="19"/>
          <w:szCs w:val="19"/>
          <w:color w:val="444444"/>
        </w:rPr>
        <w:t>:</w:t>
      </w:r>
    </w:p>
    <w:p>
      <w:pPr>
        <w:spacing w:after="0" w:line="158" w:lineRule="exact"/>
        <w:rPr>
          <w:rFonts w:ascii="Times New Roman" w:cs="Times New Roman" w:eastAsia="Times New Roman" w:hAnsi="Times New Roman"/>
          <w:sz w:val="19"/>
          <w:szCs w:val="19"/>
          <w:color w:val="010000"/>
        </w:rPr>
      </w:pPr>
    </w:p>
    <w:p>
      <w:pPr>
        <w:ind w:right="980" w:firstLine="1912"/>
        <w:spacing w:after="0" w:line="255" w:lineRule="auto"/>
        <w:tabs>
          <w:tab w:leader="none" w:pos="2539" w:val="left"/>
        </w:tabs>
        <w:numPr>
          <w:ilvl w:val="2"/>
          <w:numId w:val="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Accrued Compensation</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auto"/>
        </w:rPr>
        <w:t xml:space="preserve"> The Company will pay Executive all accrued but unpaid vacation, expense reimbursements, wages, and other benefits due to Executive under any Company-provided plans, policies, and arrangements.</w:t>
      </w:r>
    </w:p>
    <w:p>
      <w:pPr>
        <w:spacing w:after="0" w:line="131" w:lineRule="exact"/>
        <w:rPr>
          <w:rFonts w:ascii="Times New Roman" w:cs="Times New Roman" w:eastAsia="Times New Roman" w:hAnsi="Times New Roman"/>
          <w:sz w:val="19"/>
          <w:szCs w:val="19"/>
          <w:color w:val="010000"/>
        </w:rPr>
      </w:pPr>
    </w:p>
    <w:p>
      <w:pPr>
        <w:ind w:firstLine="1912"/>
        <w:spacing w:after="0" w:line="221" w:lineRule="auto"/>
        <w:tabs>
          <w:tab w:leader="none" w:pos="2540" w:val="left"/>
        </w:tabs>
        <w:numPr>
          <w:ilvl w:val="2"/>
          <w:numId w:val="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Severance Payment</w:t>
      </w:r>
      <w:r>
        <w:rPr>
          <w:rFonts w:ascii="Times New Roman" w:cs="Times New Roman" w:eastAsia="Times New Roman" w:hAnsi="Times New Roman"/>
          <w:sz w:val="19"/>
          <w:szCs w:val="19"/>
          <w:color w:val="auto"/>
        </w:rPr>
        <w:t xml:space="preserve">. Executive will receive a lump-sum payment (less applicable withholding taxes) equal to eighteen (18) months of Executive’s annual base salary as in effect immediately prior to Executive’s termination date or, if greater, at the level in effect immediately prior to the Change of Control. For the avoidance of doubt, if (x) Executive </w:t>
      </w:r>
      <w:r>
        <w:rPr>
          <w:rFonts w:ascii="Times New Roman" w:cs="Times New Roman" w:eastAsia="Times New Roman" w:hAnsi="Times New Roman"/>
          <w:sz w:val="19"/>
          <w:szCs w:val="19"/>
          <w:color w:val="343436"/>
        </w:rPr>
        <w:t>incurred</w:t>
      </w:r>
      <w:r>
        <w:rPr>
          <w:rFonts w:ascii="Times New Roman" w:cs="Times New Roman" w:eastAsia="Times New Roman" w:hAnsi="Times New Roman"/>
          <w:sz w:val="19"/>
          <w:szCs w:val="19"/>
          <w:color w:val="auto"/>
        </w:rPr>
        <w:t xml:space="preserve">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less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64" w:lineRule="exact"/>
        <w:rPr>
          <w:rFonts w:ascii="Times New Roman" w:cs="Times New Roman" w:eastAsia="Times New Roman" w:hAnsi="Times New Roman"/>
          <w:sz w:val="19"/>
          <w:szCs w:val="19"/>
          <w:color w:val="010000"/>
        </w:rPr>
      </w:pPr>
    </w:p>
    <w:p>
      <w:pPr>
        <w:ind w:right="20" w:firstLine="1912"/>
        <w:spacing w:after="0" w:line="222" w:lineRule="auto"/>
        <w:tabs>
          <w:tab w:leader="none" w:pos="2541" w:val="left"/>
        </w:tabs>
        <w:numPr>
          <w:ilvl w:val="2"/>
          <w:numId w:val="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Bonus Payment</w:t>
      </w:r>
      <w:r>
        <w:rPr>
          <w:rFonts w:ascii="Times New Roman" w:cs="Times New Roman" w:eastAsia="Times New Roman" w:hAnsi="Times New Roman"/>
          <w:sz w:val="19"/>
          <w:szCs w:val="19"/>
          <w:color w:val="auto"/>
        </w:rPr>
        <w:t>. Executive will receive a lump-sum payment equal to one hundred fifty percent (150%) of the higher of (A)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4" w:right="339" w:bottom="1440" w:gutter="0" w:footer="0" w:header="0"/>
        </w:sectPr>
      </w:pPr>
    </w:p>
    <w:bookmarkStart w:id="130" w:name="page131"/>
    <w:bookmarkEnd w:id="130"/>
    <w:p>
      <w:pPr>
        <w:ind w:left="-40" w:right="20" w:firstLine="1912"/>
        <w:spacing w:after="0" w:line="217" w:lineRule="auto"/>
        <w:tabs>
          <w:tab w:leader="none" w:pos="2490" w:val="left"/>
        </w:tabs>
        <w:numPr>
          <w:ilvl w:val="2"/>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Continuation Coverage</w:t>
      </w:r>
      <w:r>
        <w:rPr>
          <w:rFonts w:ascii="Times New Roman" w:cs="Times New Roman" w:eastAsia="Times New Roman" w:hAnsi="Times New Roman"/>
          <w:sz w:val="19"/>
          <w:szCs w:val="19"/>
          <w:color w:val="595959"/>
        </w:rPr>
        <w:t>.</w:t>
      </w:r>
      <w:r>
        <w:rPr>
          <w:rFonts w:ascii="Times New Roman" w:cs="Times New Roman" w:eastAsia="Times New Roman" w:hAnsi="Times New Roman"/>
          <w:sz w:val="19"/>
          <w:szCs w:val="19"/>
          <w:color w:val="auto"/>
        </w:rPr>
        <w:t xml:space="preserve">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(18)payments. For the avoidance of doubt, the taxable payments in lieu of COBRA reimbursements may be used for any purpose, including, but not limited to continuation coverage under COBRA, and will be subject to all applicable tax withholdings.</w:t>
      </w:r>
    </w:p>
    <w:p>
      <w:pPr>
        <w:spacing w:after="0" w:line="160" w:lineRule="exact"/>
        <w:rPr>
          <w:rFonts w:ascii="Times New Roman" w:cs="Times New Roman" w:eastAsia="Times New Roman" w:hAnsi="Times New Roman"/>
          <w:sz w:val="19"/>
          <w:szCs w:val="19"/>
          <w:color w:val="010000"/>
        </w:rPr>
      </w:pPr>
    </w:p>
    <w:p>
      <w:pPr>
        <w:ind w:left="-40" w:right="140" w:firstLine="1912"/>
        <w:spacing w:after="0" w:line="229" w:lineRule="auto"/>
        <w:tabs>
          <w:tab w:leader="none" w:pos="2489" w:val="left"/>
        </w:tabs>
        <w:numPr>
          <w:ilvl w:val="2"/>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Accelerated Vesting of Equity Awards</w:t>
      </w:r>
      <w:r>
        <w:rPr>
          <w:rFonts w:ascii="Times New Roman" w:cs="Times New Roman" w:eastAsia="Times New Roman" w:hAnsi="Times New Roman"/>
          <w:sz w:val="19"/>
          <w:szCs w:val="19"/>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45" w:lineRule="exact"/>
        <w:rPr>
          <w:rFonts w:ascii="Times New Roman" w:cs="Times New Roman" w:eastAsia="Times New Roman" w:hAnsi="Times New Roman"/>
          <w:sz w:val="19"/>
          <w:szCs w:val="19"/>
          <w:color w:val="010000"/>
        </w:rPr>
      </w:pPr>
    </w:p>
    <w:p>
      <w:pPr>
        <w:ind w:left="-40" w:right="60" w:firstLine="1276"/>
        <w:spacing w:after="0" w:line="229" w:lineRule="auto"/>
        <w:tabs>
          <w:tab w:leader="none" w:pos="1856" w:val="left"/>
        </w:tabs>
        <w:numPr>
          <w:ilvl w:val="1"/>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Voluntary Resignation; Termination for Cause</w:t>
      </w:r>
      <w:r>
        <w:rPr>
          <w:rFonts w:ascii="Times New Roman" w:cs="Times New Roman" w:eastAsia="Times New Roman" w:hAnsi="Times New Roman"/>
          <w:sz w:val="19"/>
          <w:szCs w:val="19"/>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58" w:lineRule="exact"/>
        <w:rPr>
          <w:rFonts w:ascii="Times New Roman" w:cs="Times New Roman" w:eastAsia="Times New Roman" w:hAnsi="Times New Roman"/>
          <w:sz w:val="19"/>
          <w:szCs w:val="19"/>
          <w:color w:val="010000"/>
        </w:rPr>
      </w:pPr>
    </w:p>
    <w:p>
      <w:pPr>
        <w:ind w:left="-40" w:right="580" w:firstLine="1276"/>
        <w:spacing w:after="0" w:line="229" w:lineRule="auto"/>
        <w:tabs>
          <w:tab w:leader="none" w:pos="1854" w:val="left"/>
        </w:tabs>
        <w:numPr>
          <w:ilvl w:val="1"/>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Disability; Death</w:t>
      </w:r>
      <w:r>
        <w:rPr>
          <w:rFonts w:ascii="Times New Roman" w:cs="Times New Roman" w:eastAsia="Times New Roman" w:hAnsi="Times New Roman"/>
          <w:sz w:val="19"/>
          <w:szCs w:val="19"/>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58" w:lineRule="exact"/>
        <w:rPr>
          <w:rFonts w:ascii="Times New Roman" w:cs="Times New Roman" w:eastAsia="Times New Roman" w:hAnsi="Times New Roman"/>
          <w:sz w:val="19"/>
          <w:szCs w:val="19"/>
          <w:color w:val="010000"/>
        </w:rPr>
      </w:pPr>
    </w:p>
    <w:p>
      <w:pPr>
        <w:ind w:left="-40" w:firstLine="1276"/>
        <w:spacing w:after="0" w:line="224" w:lineRule="auto"/>
        <w:tabs>
          <w:tab w:leader="none" w:pos="1856" w:val="left"/>
        </w:tabs>
        <w:numPr>
          <w:ilvl w:val="1"/>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Exclusive Remedy</w:t>
      </w:r>
      <w:r>
        <w:rPr>
          <w:rFonts w:ascii="Times New Roman" w:cs="Times New Roman" w:eastAsia="Times New Roman" w:hAnsi="Times New Roman"/>
          <w:sz w:val="19"/>
          <w:szCs w:val="19"/>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58" w:lineRule="exact"/>
        <w:rPr>
          <w:rFonts w:ascii="Times New Roman" w:cs="Times New Roman" w:eastAsia="Times New Roman" w:hAnsi="Times New Roman"/>
          <w:sz w:val="19"/>
          <w:szCs w:val="19"/>
          <w:color w:val="010000"/>
        </w:rPr>
      </w:pPr>
    </w:p>
    <w:p>
      <w:pPr>
        <w:ind w:left="1240" w:hanging="639"/>
        <w:spacing w:after="0"/>
        <w:tabs>
          <w:tab w:leader="none" w:pos="1240" w:val="left"/>
        </w:tabs>
        <w:numPr>
          <w:ilvl w:val="0"/>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Conditions to Receipt of Severance</w:t>
      </w:r>
    </w:p>
    <w:p>
      <w:pPr>
        <w:spacing w:after="0" w:line="191" w:lineRule="exact"/>
        <w:rPr>
          <w:rFonts w:ascii="Times New Roman" w:cs="Times New Roman" w:eastAsia="Times New Roman" w:hAnsi="Times New Roman"/>
          <w:sz w:val="19"/>
          <w:szCs w:val="19"/>
          <w:color w:val="010000"/>
        </w:rPr>
      </w:pPr>
    </w:p>
    <w:p>
      <w:pPr>
        <w:ind w:left="-40" w:right="200" w:firstLine="1276"/>
        <w:spacing w:after="0" w:line="223" w:lineRule="auto"/>
        <w:tabs>
          <w:tab w:leader="none" w:pos="1856" w:val="left"/>
        </w:tabs>
        <w:numPr>
          <w:ilvl w:val="1"/>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Release of Claims Agreement.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Exhibit A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which must become effective and irrevocable no later than the sixtieth (60th) day following Executive’s termination of employment (the “</w:t>
      </w:r>
      <w:r>
        <w:rPr>
          <w:rFonts w:ascii="Times New Roman" w:cs="Times New Roman" w:eastAsia="Times New Roman" w:hAnsi="Times New Roman"/>
          <w:sz w:val="19"/>
          <w:szCs w:val="19"/>
          <w:b w:val="1"/>
          <w:bCs w:val="1"/>
          <w:i w:val="1"/>
          <w:iCs w:val="1"/>
          <w:color w:val="auto"/>
        </w:rPr>
        <w:t>Release Deadline</w:t>
      </w:r>
      <w:r>
        <w:rPr>
          <w:rFonts w:ascii="Times New Roman" w:cs="Times New Roman" w:eastAsia="Times New Roman" w:hAnsi="Times New Roman"/>
          <w:sz w:val="19"/>
          <w:szCs w:val="19"/>
          <w:color w:val="auto"/>
        </w:rPr>
        <w:t>”). If the Release does not become effective and irrevocable by the Release Deadline, Executive will forfeit any right to severance payments or benefits under this Agreement. In no event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180"/>
          </w:cols>
          <w:pgMar w:left="360" w:top="1374"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9"/>
          <w:szCs w:val="19"/>
          <w:color w:val="auto"/>
        </w:rPr>
        <w:t>severance payments or benefits be paid or provided until the Release actually becomes effective and irrevocable.</w:t>
      </w:r>
    </w:p>
    <w:p>
      <w:pPr>
        <w:spacing w:after="0" w:line="192" w:lineRule="exact"/>
        <w:rPr>
          <w:sz w:val="20"/>
          <w:szCs w:val="20"/>
          <w:color w:val="auto"/>
        </w:rPr>
      </w:pPr>
    </w:p>
    <w:p>
      <w:pPr>
        <w:ind w:right="20" w:firstLine="1276"/>
        <w:spacing w:after="0" w:line="229" w:lineRule="auto"/>
        <w:tabs>
          <w:tab w:leader="none" w:pos="1894" w:val="left"/>
        </w:tabs>
        <w:numPr>
          <w:ilvl w:val="0"/>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Confidential Information and Invention Assignment Agreements</w:t>
      </w:r>
      <w:r>
        <w:rPr>
          <w:rFonts w:ascii="Times New Roman" w:cs="Times New Roman" w:eastAsia="Times New Roman" w:hAnsi="Times New Roman"/>
          <w:sz w:val="19"/>
          <w:szCs w:val="19"/>
          <w:color w:val="auto"/>
        </w:rPr>
        <w:t>. Executive’s receipt of any payments or benefits under Section 3 (other than the accrued benefits set forth in either Sections 3(a)(i) or 3(b)(i)) will be subject to Executive continuing to comply with the terms of the Confidentiality Agreement, dated on or about February 28, 2022, between the Company and Executive, as such agreement may be amended from time to time.</w:t>
      </w:r>
    </w:p>
    <w:p>
      <w:pPr>
        <w:spacing w:after="0" w:line="145" w:lineRule="exact"/>
        <w:rPr>
          <w:rFonts w:ascii="Times New Roman" w:cs="Times New Roman" w:eastAsia="Times New Roman" w:hAnsi="Times New Roman"/>
          <w:sz w:val="19"/>
          <w:szCs w:val="19"/>
          <w:color w:val="010000"/>
        </w:rPr>
      </w:pPr>
    </w:p>
    <w:p>
      <w:pPr>
        <w:ind w:left="1900" w:hanging="624"/>
        <w:spacing w:after="0"/>
        <w:tabs>
          <w:tab w:leader="none" w:pos="1900" w:val="left"/>
        </w:tabs>
        <w:numPr>
          <w:ilvl w:val="0"/>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191" w:lineRule="exact"/>
        <w:rPr>
          <w:rFonts w:ascii="Times New Roman" w:cs="Times New Roman" w:eastAsia="Times New Roman" w:hAnsi="Times New Roman"/>
          <w:sz w:val="19"/>
          <w:szCs w:val="19"/>
          <w:color w:val="010000"/>
        </w:rPr>
      </w:pPr>
    </w:p>
    <w:p>
      <w:pPr>
        <w:ind w:right="100" w:firstLine="1912"/>
        <w:spacing w:after="0" w:line="222" w:lineRule="auto"/>
        <w:tabs>
          <w:tab w:leader="none" w:pos="2539" w:val="left"/>
        </w:tabs>
        <w:numPr>
          <w:ilvl w:val="1"/>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(together, the “</w:t>
      </w:r>
      <w:r>
        <w:rPr>
          <w:rFonts w:ascii="Times New Roman" w:cs="Times New Roman" w:eastAsia="Times New Roman" w:hAnsi="Times New Roman"/>
          <w:sz w:val="19"/>
          <w:szCs w:val="19"/>
          <w:b w:val="1"/>
          <w:bCs w:val="1"/>
          <w:i w:val="1"/>
          <w:iCs w:val="1"/>
          <w:color w:val="auto"/>
        </w:rPr>
        <w:t>Deferred Payments</w:t>
      </w:r>
      <w:r>
        <w:rPr>
          <w:rFonts w:ascii="Times New Roman" w:cs="Times New Roman" w:eastAsia="Times New Roman" w:hAnsi="Times New Roman"/>
          <w:sz w:val="19"/>
          <w:szCs w:val="19"/>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0" w:lineRule="exact"/>
        <w:rPr>
          <w:rFonts w:ascii="Times New Roman" w:cs="Times New Roman" w:eastAsia="Times New Roman" w:hAnsi="Times New Roman"/>
          <w:sz w:val="19"/>
          <w:szCs w:val="19"/>
          <w:color w:val="010000"/>
        </w:rPr>
      </w:pPr>
    </w:p>
    <w:p>
      <w:pPr>
        <w:ind w:firstLine="1912"/>
        <w:spacing w:after="0" w:line="203" w:lineRule="auto"/>
        <w:tabs>
          <w:tab w:leader="none" w:pos="2540" w:val="left"/>
        </w:tabs>
        <w:numPr>
          <w:ilvl w:val="1"/>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It is intended that none of the severance payments under this Agreement will constitute Deferred Payments but rather will be exempt from Section 409A as a payment that would fall within the </w:t>
      </w:r>
      <w:r>
        <w:rPr>
          <w:rFonts w:ascii="Times New Roman" w:cs="Times New Roman" w:eastAsia="Times New Roman" w:hAnsi="Times New Roman"/>
          <w:sz w:val="19"/>
          <w:szCs w:val="19"/>
          <w:color w:val="343436"/>
        </w:rPr>
        <w:t>“short-term</w:t>
      </w:r>
      <w:r>
        <w:rPr>
          <w:rFonts w:ascii="Times New Roman" w:cs="Times New Roman" w:eastAsia="Times New Roman" w:hAnsi="Times New Roman"/>
          <w:sz w:val="19"/>
          <w:szCs w:val="19"/>
          <w:color w:val="auto"/>
        </w:rPr>
        <w:t xml:space="preserve">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day following Executive’s separation from service and the remaining payments will be made as provided in this Agreement.</w:t>
      </w:r>
    </w:p>
    <w:p>
      <w:pPr>
        <w:spacing w:after="0" w:line="165" w:lineRule="exact"/>
        <w:rPr>
          <w:rFonts w:ascii="Times New Roman" w:cs="Times New Roman" w:eastAsia="Times New Roman" w:hAnsi="Times New Roman"/>
          <w:sz w:val="19"/>
          <w:szCs w:val="19"/>
          <w:color w:val="010000"/>
        </w:rPr>
      </w:pPr>
    </w:p>
    <w:p>
      <w:pPr>
        <w:ind w:right="20" w:firstLine="1912"/>
        <w:spacing w:after="0" w:line="219" w:lineRule="auto"/>
        <w:tabs>
          <w:tab w:leader="none" w:pos="2541" w:val="left"/>
        </w:tabs>
        <w:numPr>
          <w:ilvl w:val="1"/>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(I)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50" w:lineRule="exact"/>
        <w:rPr>
          <w:rFonts w:ascii="Times New Roman" w:cs="Times New Roman" w:eastAsia="Times New Roman" w:hAnsi="Times New Roman"/>
          <w:sz w:val="19"/>
          <w:szCs w:val="19"/>
          <w:color w:val="010000"/>
        </w:rPr>
      </w:pPr>
    </w:p>
    <w:p>
      <w:pPr>
        <w:ind w:right="40" w:firstLine="1912"/>
        <w:spacing w:after="0" w:line="255" w:lineRule="auto"/>
        <w:tabs>
          <w:tab w:leader="none" w:pos="2530" w:val="left"/>
        </w:tabs>
        <w:numPr>
          <w:ilvl w:val="1"/>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44" w:lineRule="exact"/>
        <w:rPr>
          <w:rFonts w:ascii="Times New Roman" w:cs="Times New Roman" w:eastAsia="Times New Roman" w:hAnsi="Times New Roman"/>
          <w:sz w:val="19"/>
          <w:szCs w:val="19"/>
          <w:color w:val="010000"/>
        </w:rPr>
      </w:pPr>
    </w:p>
    <w:p>
      <w:pPr>
        <w:ind w:right="340" w:firstLine="1912"/>
        <w:spacing w:after="0" w:line="233" w:lineRule="auto"/>
        <w:tabs>
          <w:tab w:leader="none" w:pos="2529" w:val="left"/>
        </w:tabs>
        <w:numPr>
          <w:ilvl w:val="1"/>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57" w:lineRule="exact"/>
        <w:rPr>
          <w:rFonts w:ascii="Times New Roman" w:cs="Times New Roman" w:eastAsia="Times New Roman" w:hAnsi="Times New Roman"/>
          <w:sz w:val="19"/>
          <w:szCs w:val="19"/>
          <w:color w:val="010000"/>
        </w:rPr>
      </w:pPr>
    </w:p>
    <w:p>
      <w:pPr>
        <w:ind w:right="360" w:firstLine="1912"/>
        <w:spacing w:after="0" w:line="241" w:lineRule="auto"/>
        <w:tabs>
          <w:tab w:leader="none" w:pos="2530" w:val="left"/>
        </w:tabs>
        <w:numPr>
          <w:ilvl w:val="1"/>
          <w:numId w:val="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foregoing provisions are intended to comply with the requirements of Section 409A so that none of the severance payments and benefits to be provided hereunder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20"/>
          </w:cols>
          <w:pgMar w:left="320" w:top="1374"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9"/>
          <w:szCs w:val="19"/>
          <w:color w:val="auto"/>
        </w:rPr>
        <w:t>subject to the additional tax imposed under Section 409A, and any ambiguities herein will be interpreted to so comply. The Company and</w:t>
      </w:r>
    </w:p>
    <w:p>
      <w:pPr>
        <w:spacing w:after="0" w:line="2" w:lineRule="exact"/>
        <w:rPr>
          <w:sz w:val="20"/>
          <w:szCs w:val="20"/>
          <w:color w:val="auto"/>
        </w:rPr>
      </w:pPr>
    </w:p>
    <w:p>
      <w:pPr>
        <w:ind w:right="300"/>
        <w:spacing w:after="0" w:line="210" w:lineRule="auto"/>
        <w:rPr>
          <w:sz w:val="20"/>
          <w:szCs w:val="20"/>
          <w:color w:val="auto"/>
        </w:rPr>
      </w:pPr>
      <w:r>
        <w:rPr>
          <w:rFonts w:ascii="Times New Roman" w:cs="Times New Roman" w:eastAsia="Times New Roman" w:hAnsi="Times New Roman"/>
          <w:sz w:val="19"/>
          <w:szCs w:val="19"/>
          <w:color w:val="auto"/>
        </w:rPr>
        <w:t>Executive agree to work together in good faith to consider amendments to this Agreement and to take such reasonable actions which are necessary, appropriate or desirable to avoid imposition of any additional tax or income recognition before actual payment to Executive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409A.</w:t>
      </w:r>
    </w:p>
    <w:p>
      <w:pPr>
        <w:spacing w:after="0" w:line="170" w:lineRule="exact"/>
        <w:rPr>
          <w:sz w:val="20"/>
          <w:szCs w:val="20"/>
          <w:color w:val="auto"/>
        </w:rPr>
      </w:pPr>
    </w:p>
    <w:p>
      <w:pPr>
        <w:ind w:right="100" w:firstLine="641"/>
        <w:spacing w:after="0" w:line="233" w:lineRule="auto"/>
        <w:tabs>
          <w:tab w:leader="none" w:pos="1270" w:val="left"/>
        </w:tabs>
        <w:numPr>
          <w:ilvl w:val="0"/>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Limitation on Payments</w:t>
      </w:r>
      <w:r>
        <w:rPr>
          <w:rFonts w:ascii="Times New Roman" w:cs="Times New Roman" w:eastAsia="Times New Roman" w:hAnsi="Times New Roman"/>
          <w:sz w:val="19"/>
          <w:szCs w:val="19"/>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57" w:lineRule="exact"/>
        <w:rPr>
          <w:rFonts w:ascii="Times New Roman" w:cs="Times New Roman" w:eastAsia="Times New Roman" w:hAnsi="Times New Roman"/>
          <w:sz w:val="19"/>
          <w:szCs w:val="19"/>
          <w:color w:val="010000"/>
        </w:rPr>
      </w:pPr>
    </w:p>
    <w:p>
      <w:pPr>
        <w:ind w:left="1900" w:hanging="624"/>
        <w:spacing w:after="0"/>
        <w:tabs>
          <w:tab w:leader="none" w:pos="1900" w:val="left"/>
        </w:tabs>
        <w:numPr>
          <w:ilvl w:val="1"/>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delivered in full, or</w:t>
      </w:r>
    </w:p>
    <w:p>
      <w:pPr>
        <w:spacing w:after="0" w:line="178" w:lineRule="exact"/>
        <w:rPr>
          <w:rFonts w:ascii="Times New Roman" w:cs="Times New Roman" w:eastAsia="Times New Roman" w:hAnsi="Times New Roman"/>
          <w:sz w:val="19"/>
          <w:szCs w:val="19"/>
          <w:color w:val="010000"/>
        </w:rPr>
      </w:pPr>
    </w:p>
    <w:p>
      <w:pPr>
        <w:ind w:right="340" w:firstLine="1276"/>
        <w:spacing w:after="0" w:line="255" w:lineRule="auto"/>
        <w:tabs>
          <w:tab w:leader="none" w:pos="1894" w:val="left"/>
        </w:tabs>
        <w:numPr>
          <w:ilvl w:val="1"/>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delivered as to such lesser extent which would result in no portion of such benefits being subject to excise tax under Section 4999 of the Code,</w:t>
      </w:r>
    </w:p>
    <w:p>
      <w:pPr>
        <w:spacing w:after="0" w:line="145" w:lineRule="exact"/>
        <w:rPr>
          <w:sz w:val="20"/>
          <w:szCs w:val="20"/>
          <w:color w:val="auto"/>
        </w:rPr>
      </w:pPr>
    </w:p>
    <w:p>
      <w:pPr>
        <w:ind w:right="460"/>
        <w:spacing w:after="0" w:line="222" w:lineRule="auto"/>
        <w:rPr>
          <w:sz w:val="20"/>
          <w:szCs w:val="20"/>
          <w:color w:val="auto"/>
        </w:rPr>
      </w:pPr>
      <w:r>
        <w:rPr>
          <w:rFonts w:ascii="Times New Roman" w:cs="Times New Roman" w:eastAsia="Times New Roman" w:hAnsi="Times New Roman"/>
          <w:sz w:val="19"/>
          <w:szCs w:val="19"/>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w:t>
      </w:r>
    </w:p>
    <w:p>
      <w:pPr>
        <w:spacing w:after="0" w:line="219" w:lineRule="auto"/>
        <w:rPr>
          <w:sz w:val="20"/>
          <w:szCs w:val="20"/>
          <w:color w:val="auto"/>
        </w:rPr>
      </w:pPr>
      <w:r>
        <w:rPr>
          <w:rFonts w:ascii="Times New Roman" w:cs="Times New Roman" w:eastAsia="Times New Roman" w:hAnsi="Times New Roman"/>
          <w:sz w:val="19"/>
          <w:szCs w:val="19"/>
          <w:color w:val="auto"/>
        </w:rPr>
        <w:t>portion of such benefits may be taxable under Section 4999 of the Code. If a reduction in severance and other benefits constituting “parachute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payments” is necessary so that benefits are delivered to a lesser extent, reduction will occur in the following order: (i) reduction of cash payments; (ii) cancellation of awards granted “contingent on a change in ownership or control” (within the meaning of Code Section 280G), (iii)</w:t>
      </w:r>
    </w:p>
    <w:p>
      <w:pPr>
        <w:spacing w:after="0" w:line="219" w:lineRule="auto"/>
        <w:rPr>
          <w:sz w:val="20"/>
          <w:szCs w:val="20"/>
          <w:color w:val="auto"/>
        </w:rPr>
      </w:pPr>
      <w:r>
        <w:rPr>
          <w:rFonts w:ascii="Times New Roman" w:cs="Times New Roman" w:eastAsia="Times New Roman" w:hAnsi="Times New Roman"/>
          <w:sz w:val="19"/>
          <w:szCs w:val="19"/>
          <w:color w:val="auto"/>
        </w:rPr>
        <w:t>cancellation of accelerated vesting of equity awards; (iv) reduction of employee benefits. In the event that acceleration of vesting of equity</w:t>
      </w:r>
    </w:p>
    <w:p>
      <w:pPr>
        <w:spacing w:after="0" w:line="1" w:lineRule="exact"/>
        <w:rPr>
          <w:sz w:val="20"/>
          <w:szCs w:val="20"/>
          <w:color w:val="auto"/>
        </w:rPr>
      </w:pPr>
    </w:p>
    <w:p>
      <w:pPr>
        <w:ind w:right="500"/>
        <w:spacing w:after="0" w:line="228" w:lineRule="auto"/>
        <w:rPr>
          <w:sz w:val="20"/>
          <w:szCs w:val="20"/>
          <w:color w:val="auto"/>
        </w:rPr>
      </w:pPr>
      <w:r>
        <w:rPr>
          <w:rFonts w:ascii="Times New Roman" w:cs="Times New Roman" w:eastAsia="Times New Roman" w:hAnsi="Times New Roman"/>
          <w:sz w:val="19"/>
          <w:szCs w:val="19"/>
          <w:color w:val="auto"/>
        </w:rPr>
        <w:t>award compensation is to be reduced, such acceleration of vesting will be cancelled in the reverse order of the date of grant of Executive’s equity awards.</w:t>
      </w:r>
    </w:p>
    <w:p>
      <w:pPr>
        <w:spacing w:after="0" w:line="158" w:lineRule="exact"/>
        <w:rPr>
          <w:sz w:val="20"/>
          <w:szCs w:val="20"/>
          <w:color w:val="auto"/>
        </w:rPr>
      </w:pPr>
    </w:p>
    <w:p>
      <w:pPr>
        <w:ind w:right="100" w:firstLine="635"/>
        <w:spacing w:after="0" w:line="222" w:lineRule="auto"/>
        <w:rPr>
          <w:sz w:val="20"/>
          <w:szCs w:val="20"/>
          <w:color w:val="auto"/>
        </w:rPr>
      </w:pPr>
      <w:r>
        <w:rPr>
          <w:rFonts w:ascii="Times New Roman" w:cs="Times New Roman" w:eastAsia="Times New Roman" w:hAnsi="Times New Roman"/>
          <w:sz w:val="19"/>
          <w:szCs w:val="19"/>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w:t>
      </w:r>
    </w:p>
    <w:p>
      <w:pPr>
        <w:spacing w:after="0" w:line="219" w:lineRule="auto"/>
        <w:rPr>
          <w:sz w:val="20"/>
          <w:szCs w:val="20"/>
          <w:color w:val="auto"/>
        </w:rPr>
      </w:pPr>
      <w:r>
        <w:rPr>
          <w:rFonts w:ascii="Times New Roman" w:cs="Times New Roman" w:eastAsia="Times New Roman" w:hAnsi="Times New Roman"/>
          <w:sz w:val="19"/>
          <w:szCs w:val="19"/>
          <w:color w:val="auto"/>
        </w:rPr>
        <w:t>mutually agree (the “</w:t>
      </w:r>
      <w:r>
        <w:rPr>
          <w:rFonts w:ascii="Times New Roman" w:cs="Times New Roman" w:eastAsia="Times New Roman" w:hAnsi="Times New Roman"/>
          <w:sz w:val="19"/>
          <w:szCs w:val="19"/>
          <w:b w:val="1"/>
          <w:bCs w:val="1"/>
          <w:i w:val="1"/>
          <w:iCs w:val="1"/>
          <w:color w:val="auto"/>
        </w:rPr>
        <w:t>Firm</w:t>
      </w:r>
      <w:r>
        <w:rPr>
          <w:rFonts w:ascii="Times New Roman" w:cs="Times New Roman" w:eastAsia="Times New Roman" w:hAnsi="Times New Roman"/>
          <w:sz w:val="19"/>
          <w:szCs w:val="19"/>
          <w:color w:val="auto"/>
        </w:rPr>
        <w:t>”), whose determination will be conclusive and binding upon Executive and the Company. For purposes of making</w:t>
      </w:r>
    </w:p>
    <w:p>
      <w:pPr>
        <w:spacing w:after="0" w:line="1" w:lineRule="exact"/>
        <w:rPr>
          <w:sz w:val="20"/>
          <w:szCs w:val="20"/>
          <w:color w:val="auto"/>
        </w:rPr>
      </w:pPr>
    </w:p>
    <w:p>
      <w:pPr>
        <w:ind w:right="360"/>
        <w:spacing w:after="0" w:line="210" w:lineRule="auto"/>
        <w:rPr>
          <w:sz w:val="20"/>
          <w:szCs w:val="20"/>
          <w:color w:val="auto"/>
        </w:rPr>
      </w:pPr>
      <w:r>
        <w:rPr>
          <w:rFonts w:ascii="Times New Roman" w:cs="Times New Roman" w:eastAsia="Times New Roman" w:hAnsi="Times New Roman"/>
          <w:sz w:val="19"/>
          <w:szCs w:val="19"/>
          <w:color w:val="auto"/>
        </w:rPr>
        <w:t>the calculations required by this Section 5, the Firm may make reasonable assumptions and approximations concerning applicable taxes and may rely on reasonable, good faith interpretations concerning the application of Sections 280G and 4999 of the Code. The Company and</w:t>
      </w:r>
    </w:p>
    <w:p>
      <w:pPr>
        <w:spacing w:after="0" w:line="1"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9"/>
          <w:szCs w:val="19"/>
          <w:color w:val="auto"/>
        </w:rPr>
        <w:t>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46" w:lineRule="exact"/>
        <w:rPr>
          <w:sz w:val="20"/>
          <w:szCs w:val="20"/>
          <w:color w:val="auto"/>
        </w:rPr>
      </w:pPr>
    </w:p>
    <w:p>
      <w:pPr>
        <w:ind w:left="1280" w:hanging="639"/>
        <w:spacing w:after="0"/>
        <w:tabs>
          <w:tab w:leader="none" w:pos="1280" w:val="left"/>
        </w:tabs>
        <w:numPr>
          <w:ilvl w:val="0"/>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Definition of Terms</w:t>
      </w:r>
      <w:r>
        <w:rPr>
          <w:rFonts w:ascii="Times New Roman" w:cs="Times New Roman" w:eastAsia="Times New Roman" w:hAnsi="Times New Roman"/>
          <w:sz w:val="19"/>
          <w:szCs w:val="19"/>
          <w:color w:val="auto"/>
        </w:rPr>
        <w:t>. The following terms referred to in this Agreement will have the following meanings:</w:t>
      </w:r>
    </w:p>
    <w:p>
      <w:pPr>
        <w:spacing w:after="0" w:line="187" w:lineRule="exact"/>
        <w:rPr>
          <w:rFonts w:ascii="Times New Roman" w:cs="Times New Roman" w:eastAsia="Times New Roman" w:hAnsi="Times New Roman"/>
          <w:sz w:val="19"/>
          <w:szCs w:val="19"/>
          <w:color w:val="010000"/>
        </w:rPr>
      </w:pPr>
    </w:p>
    <w:p>
      <w:pPr>
        <w:ind w:left="1900" w:hanging="624"/>
        <w:spacing w:after="0"/>
        <w:tabs>
          <w:tab w:leader="none" w:pos="1900" w:val="left"/>
        </w:tabs>
        <w:numPr>
          <w:ilvl w:val="1"/>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will mean:</w:t>
      </w:r>
    </w:p>
    <w:p>
      <w:pPr>
        <w:spacing w:after="0" w:line="184" w:lineRule="exact"/>
        <w:rPr>
          <w:rFonts w:ascii="Times New Roman" w:cs="Times New Roman" w:eastAsia="Times New Roman" w:hAnsi="Times New Roman"/>
          <w:sz w:val="19"/>
          <w:szCs w:val="19"/>
          <w:color w:val="010000"/>
        </w:rPr>
      </w:pPr>
    </w:p>
    <w:p>
      <w:pPr>
        <w:ind w:left="2540" w:hanging="628"/>
        <w:spacing w:after="0"/>
        <w:tabs>
          <w:tab w:leader="none" w:pos="2540" w:val="left"/>
        </w:tabs>
        <w:numPr>
          <w:ilvl w:val="2"/>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willful or grossly negligent failure of the Executive to substantially perform his or her duties as an</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employee of the Company;</w:t>
      </w:r>
    </w:p>
    <w:p>
      <w:pPr>
        <w:spacing w:after="0" w:line="169" w:lineRule="exact"/>
        <w:rPr>
          <w:rFonts w:ascii="Times New Roman" w:cs="Times New Roman" w:eastAsia="Times New Roman" w:hAnsi="Times New Roman"/>
          <w:sz w:val="19"/>
          <w:szCs w:val="19"/>
          <w:color w:val="010000"/>
        </w:rPr>
      </w:pPr>
    </w:p>
    <w:p>
      <w:pPr>
        <w:ind w:left="2540" w:hanging="628"/>
        <w:spacing w:after="0"/>
        <w:tabs>
          <w:tab w:leader="none" w:pos="2540" w:val="left"/>
        </w:tabs>
        <w:numPr>
          <w:ilvl w:val="2"/>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commission of a gross misconduct which is injurious to the Company;</w:t>
      </w:r>
    </w:p>
    <w:p>
      <w:pPr>
        <w:spacing w:after="0" w:line="191" w:lineRule="exact"/>
        <w:rPr>
          <w:rFonts w:ascii="Times New Roman" w:cs="Times New Roman" w:eastAsia="Times New Roman" w:hAnsi="Times New Roman"/>
          <w:sz w:val="19"/>
          <w:szCs w:val="19"/>
          <w:color w:val="010000"/>
        </w:rPr>
      </w:pPr>
    </w:p>
    <w:p>
      <w:pPr>
        <w:ind w:left="2540" w:hanging="628"/>
        <w:spacing w:after="0"/>
        <w:tabs>
          <w:tab w:leader="none" w:pos="2540" w:val="left"/>
        </w:tabs>
        <w:numPr>
          <w:ilvl w:val="2"/>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breach of a material provision of any agreement between Executive and the Company;</w:t>
      </w:r>
    </w:p>
    <w:p>
      <w:pPr>
        <w:spacing w:after="0" w:line="178" w:lineRule="exact"/>
        <w:rPr>
          <w:rFonts w:ascii="Times New Roman" w:cs="Times New Roman" w:eastAsia="Times New Roman" w:hAnsi="Times New Roman"/>
          <w:sz w:val="19"/>
          <w:szCs w:val="19"/>
          <w:color w:val="010000"/>
        </w:rPr>
      </w:pPr>
    </w:p>
    <w:p>
      <w:pPr>
        <w:ind w:left="2540" w:hanging="628"/>
        <w:spacing w:after="0"/>
        <w:tabs>
          <w:tab w:leader="none" w:pos="2540" w:val="left"/>
        </w:tabs>
        <w:numPr>
          <w:ilvl w:val="2"/>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material and willful violation of a federal or state law or regulation applicable to the business of the</w:t>
      </w:r>
    </w:p>
    <w:p>
      <w:pPr>
        <w:spacing w:after="0" w:line="2"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Company;</w:t>
      </w:r>
    </w:p>
    <w:p>
      <w:pPr>
        <w:spacing w:after="0" w:line="158" w:lineRule="exact"/>
        <w:rPr>
          <w:rFonts w:ascii="Times New Roman" w:cs="Times New Roman" w:eastAsia="Times New Roman" w:hAnsi="Times New Roman"/>
          <w:sz w:val="19"/>
          <w:szCs w:val="19"/>
          <w:color w:val="010000"/>
        </w:rPr>
      </w:pPr>
    </w:p>
    <w:p>
      <w:pPr>
        <w:ind w:left="2540" w:hanging="628"/>
        <w:spacing w:after="0"/>
        <w:tabs>
          <w:tab w:leader="none" w:pos="2540" w:val="left"/>
        </w:tabs>
        <w:numPr>
          <w:ilvl w:val="2"/>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misappropriation or embezzlement of Company funds or Executive’s act of fraud or dishonesty</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upon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74" w:right="339" w:bottom="1440" w:gutter="0" w:footer="0" w:header="0"/>
        </w:sectPr>
      </w:pPr>
    </w:p>
    <w:bookmarkStart w:id="133" w:name="page134"/>
    <w:bookmarkEnd w:id="133"/>
    <w:p>
      <w:pPr>
        <w:ind w:right="180" w:firstLine="1912"/>
        <w:spacing w:after="0" w:line="255" w:lineRule="auto"/>
        <w:tabs>
          <w:tab w:leader="none" w:pos="2530"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Executive’s conviction of, or plea of nolo contendere, to a felony (other than motor vehicle offenses the effect of which do not materially impair Executive’s performance of Executive’s duties for the Company).</w:t>
      </w:r>
    </w:p>
    <w:p>
      <w:pPr>
        <w:spacing w:after="0" w:line="131"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9"/>
          <w:szCs w:val="19"/>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4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9"/>
          <w:szCs w:val="19"/>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w:t>
      </w:r>
    </w:p>
    <w:p>
      <w:pPr>
        <w:ind w:right="40"/>
        <w:spacing w:after="0" w:line="228" w:lineRule="auto"/>
        <w:rPr>
          <w:sz w:val="20"/>
          <w:szCs w:val="20"/>
          <w:color w:val="auto"/>
        </w:rPr>
      </w:pPr>
      <w:r>
        <w:rPr>
          <w:rFonts w:ascii="Times New Roman" w:cs="Times New Roman" w:eastAsia="Times New Roman" w:hAnsi="Times New Roman"/>
          <w:sz w:val="19"/>
          <w:szCs w:val="19"/>
          <w:color w:val="auto"/>
        </w:rPr>
        <w:t>time as provided in Section 2 above, and the term “Company” will be interpreted to include any subsidiary, parent, affiliate or successor thereto, if applicable.</w:t>
      </w:r>
    </w:p>
    <w:p>
      <w:pPr>
        <w:spacing w:after="0" w:line="154" w:lineRule="exact"/>
        <w:rPr>
          <w:sz w:val="20"/>
          <w:szCs w:val="20"/>
          <w:color w:val="auto"/>
        </w:rPr>
      </w:pPr>
    </w:p>
    <w:p>
      <w:pPr>
        <w:ind w:left="1900" w:hanging="624"/>
        <w:spacing w:after="0"/>
        <w:tabs>
          <w:tab w:leader="none" w:pos="1900" w:val="left"/>
        </w:tabs>
        <w:numPr>
          <w:ilvl w:val="0"/>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means the occurrence of any of the following events:</w:t>
      </w:r>
    </w:p>
    <w:p>
      <w:pPr>
        <w:spacing w:after="0" w:line="195" w:lineRule="exact"/>
        <w:rPr>
          <w:rFonts w:ascii="Times New Roman" w:cs="Times New Roman" w:eastAsia="Times New Roman" w:hAnsi="Times New Roman"/>
          <w:sz w:val="19"/>
          <w:szCs w:val="19"/>
          <w:color w:val="010000"/>
        </w:rPr>
      </w:pPr>
    </w:p>
    <w:p>
      <w:pPr>
        <w:ind w:right="340" w:firstLine="1912"/>
        <w:spacing w:after="0" w:line="224" w:lineRule="auto"/>
        <w:tabs>
          <w:tab w:leader="none" w:pos="2539" w:val="left"/>
        </w:tabs>
        <w:numPr>
          <w:ilvl w:val="1"/>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change in the ownership of the Company which occurs on the date that any one person, or more than one person acting as a group (“</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58" w:lineRule="exact"/>
        <w:rPr>
          <w:rFonts w:ascii="Times New Roman" w:cs="Times New Roman" w:eastAsia="Times New Roman" w:hAnsi="Times New Roman"/>
          <w:sz w:val="19"/>
          <w:szCs w:val="19"/>
          <w:color w:val="010000"/>
        </w:rPr>
      </w:pPr>
    </w:p>
    <w:p>
      <w:pPr>
        <w:ind w:right="200" w:firstLine="1912"/>
        <w:spacing w:after="0" w:line="224" w:lineRule="auto"/>
        <w:tabs>
          <w:tab w:leader="none" w:pos="2540" w:val="left"/>
        </w:tabs>
        <w:numPr>
          <w:ilvl w:val="1"/>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58" w:lineRule="exact"/>
        <w:rPr>
          <w:rFonts w:ascii="Times New Roman" w:cs="Times New Roman" w:eastAsia="Times New Roman" w:hAnsi="Times New Roman"/>
          <w:sz w:val="19"/>
          <w:szCs w:val="19"/>
          <w:color w:val="010000"/>
        </w:rPr>
      </w:pPr>
    </w:p>
    <w:p>
      <w:pPr>
        <w:ind w:right="40" w:firstLine="1912"/>
        <w:spacing w:after="0" w:line="218" w:lineRule="auto"/>
        <w:tabs>
          <w:tab w:leader="none" w:pos="2541" w:val="left"/>
        </w:tabs>
        <w:numPr>
          <w:ilvl w:val="1"/>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60" w:lineRule="exact"/>
        <w:rPr>
          <w:sz w:val="20"/>
          <w:szCs w:val="20"/>
          <w:color w:val="auto"/>
        </w:rPr>
      </w:pPr>
    </w:p>
    <w:p>
      <w:pPr>
        <w:ind w:right="220" w:firstLine="635"/>
        <w:spacing w:after="0" w:line="255" w:lineRule="auto"/>
        <w:rPr>
          <w:sz w:val="20"/>
          <w:szCs w:val="20"/>
          <w:color w:val="auto"/>
        </w:rPr>
      </w:pPr>
      <w:r>
        <w:rPr>
          <w:rFonts w:ascii="Times New Roman" w:cs="Times New Roman" w:eastAsia="Times New Roman" w:hAnsi="Times New Roman"/>
          <w:sz w:val="19"/>
          <w:szCs w:val="19"/>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31" w:lineRule="exact"/>
        <w:rPr>
          <w:sz w:val="20"/>
          <w:szCs w:val="20"/>
          <w:color w:val="auto"/>
        </w:rPr>
      </w:pPr>
    </w:p>
    <w:p>
      <w:pPr>
        <w:ind w:right="400" w:firstLine="635"/>
        <w:spacing w:after="0" w:line="237" w:lineRule="auto"/>
        <w:rPr>
          <w:sz w:val="20"/>
          <w:szCs w:val="20"/>
          <w:color w:val="auto"/>
        </w:rPr>
      </w:pPr>
      <w:r>
        <w:rPr>
          <w:rFonts w:ascii="Times New Roman" w:cs="Times New Roman" w:eastAsia="Times New Roman" w:hAnsi="Times New Roman"/>
          <w:sz w:val="19"/>
          <w:szCs w:val="19"/>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7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9"/>
          <w:szCs w:val="19"/>
          <w:color w:val="auto"/>
        </w:rPr>
        <w:t>Revenue Service guidance that has been promulgated or may be promulgated thereunder from time to time.</w:t>
      </w:r>
    </w:p>
    <w:p>
      <w:pPr>
        <w:spacing w:after="0" w:line="192" w:lineRule="exact"/>
        <w:rPr>
          <w:sz w:val="20"/>
          <w:szCs w:val="20"/>
          <w:color w:val="auto"/>
        </w:rPr>
      </w:pPr>
    </w:p>
    <w:p>
      <w:pPr>
        <w:ind w:right="40" w:firstLine="635"/>
        <w:spacing w:after="0" w:line="222" w:lineRule="auto"/>
        <w:rPr>
          <w:sz w:val="20"/>
          <w:szCs w:val="20"/>
          <w:color w:val="auto"/>
        </w:rPr>
      </w:pPr>
      <w:r>
        <w:rPr>
          <w:rFonts w:ascii="Times New Roman" w:cs="Times New Roman" w:eastAsia="Times New Roman" w:hAnsi="Times New Roman"/>
          <w:sz w:val="19"/>
          <w:szCs w:val="19"/>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the persons who held the Company’s securities immediately before such transaction.</w:t>
      </w:r>
    </w:p>
    <w:p>
      <w:pPr>
        <w:spacing w:after="0" w:line="166" w:lineRule="exact"/>
        <w:rPr>
          <w:sz w:val="20"/>
          <w:szCs w:val="20"/>
          <w:color w:val="auto"/>
        </w:rPr>
      </w:pPr>
    </w:p>
    <w:p>
      <w:pPr>
        <w:ind w:right="220" w:firstLine="1276"/>
        <w:spacing w:after="0" w:line="245" w:lineRule="auto"/>
        <w:tabs>
          <w:tab w:leader="none" w:pos="1896"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Change of Control Period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Change of Control Period</w:t>
      </w:r>
      <w:r>
        <w:rPr>
          <w:rFonts w:ascii="Times New Roman" w:cs="Times New Roman" w:eastAsia="Times New Roman" w:hAnsi="Times New Roman"/>
          <w:sz w:val="19"/>
          <w:szCs w:val="19"/>
          <w:color w:val="auto"/>
        </w:rPr>
        <w:t>’’ will mean the period beginning two (2) months prior to, and ending twelve (12) months following, a Change of Control.</w:t>
      </w:r>
    </w:p>
    <w:p>
      <w:pPr>
        <w:spacing w:after="0" w:line="149" w:lineRule="exact"/>
        <w:rPr>
          <w:rFonts w:ascii="Times New Roman" w:cs="Times New Roman" w:eastAsia="Times New Roman" w:hAnsi="Times New Roman"/>
          <w:sz w:val="19"/>
          <w:szCs w:val="19"/>
          <w:color w:val="010000"/>
        </w:rPr>
      </w:pPr>
    </w:p>
    <w:p>
      <w:pPr>
        <w:ind w:left="1940" w:hanging="664"/>
        <w:spacing w:after="0"/>
        <w:tabs>
          <w:tab w:leader="none" w:pos="1940"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will mean the Internal Revenue Code of 1986, as amended.</w:t>
      </w:r>
    </w:p>
    <w:p>
      <w:pPr>
        <w:spacing w:after="0" w:line="191" w:lineRule="exact"/>
        <w:rPr>
          <w:rFonts w:ascii="Times New Roman" w:cs="Times New Roman" w:eastAsia="Times New Roman" w:hAnsi="Times New Roman"/>
          <w:sz w:val="19"/>
          <w:szCs w:val="19"/>
          <w:color w:val="010000"/>
        </w:rPr>
      </w:pPr>
    </w:p>
    <w:p>
      <w:pPr>
        <w:ind w:firstLine="1276"/>
        <w:spacing w:after="0" w:line="223" w:lineRule="auto"/>
        <w:tabs>
          <w:tab w:leader="none" w:pos="1896"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40" w:lineRule="exact"/>
        <w:rPr>
          <w:rFonts w:ascii="Times New Roman" w:cs="Times New Roman" w:eastAsia="Times New Roman" w:hAnsi="Times New Roman"/>
          <w:sz w:val="19"/>
          <w:szCs w:val="19"/>
          <w:color w:val="010000"/>
        </w:rPr>
      </w:pPr>
    </w:p>
    <w:p>
      <w:pPr>
        <w:ind w:right="80" w:firstLine="1276"/>
        <w:spacing w:after="0" w:line="260" w:lineRule="auto"/>
        <w:tabs>
          <w:tab w:leader="none" w:pos="1901"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Equity Awards</w:t>
      </w:r>
      <w:r>
        <w:rPr>
          <w:rFonts w:ascii="Times New Roman" w:cs="Times New Roman" w:eastAsia="Times New Roman" w:hAnsi="Times New Roman"/>
          <w:sz w:val="19"/>
          <w:szCs w:val="19"/>
          <w:color w:val="auto"/>
        </w:rPr>
        <w:t>” will mean Executive’s outstanding stock options, stock appreciation rights, restricted stock units, performance shares, performance stock units and any other Company equity compensation awards.</w:t>
      </w:r>
    </w:p>
    <w:p>
      <w:pPr>
        <w:spacing w:after="0" w:line="135" w:lineRule="exact"/>
        <w:rPr>
          <w:rFonts w:ascii="Times New Roman" w:cs="Times New Roman" w:eastAsia="Times New Roman" w:hAnsi="Times New Roman"/>
          <w:sz w:val="19"/>
          <w:szCs w:val="19"/>
          <w:color w:val="010000"/>
        </w:rPr>
      </w:pPr>
    </w:p>
    <w:p>
      <w:pPr>
        <w:ind w:right="140" w:firstLine="1276"/>
        <w:spacing w:after="0" w:line="234" w:lineRule="auto"/>
        <w:tabs>
          <w:tab w:leader="none" w:pos="1894"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45" w:lineRule="exact"/>
        <w:rPr>
          <w:rFonts w:ascii="Times New Roman" w:cs="Times New Roman" w:eastAsia="Times New Roman" w:hAnsi="Times New Roman"/>
          <w:sz w:val="19"/>
          <w:szCs w:val="19"/>
          <w:color w:val="010000"/>
        </w:rPr>
      </w:pPr>
    </w:p>
    <w:p>
      <w:pPr>
        <w:ind w:right="380" w:firstLine="1912"/>
        <w:spacing w:after="0" w:line="255" w:lineRule="auto"/>
        <w:tabs>
          <w:tab w:leader="none" w:pos="253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material reduction of Executive’s authorities, duties or responsibilities relative to Executive’s authorities, duties or responsibilities in effect immediately prior to such reduction;</w:t>
      </w:r>
    </w:p>
    <w:p>
      <w:pPr>
        <w:spacing w:after="0" w:line="144" w:lineRule="exact"/>
        <w:rPr>
          <w:rFonts w:ascii="Times New Roman" w:cs="Times New Roman" w:eastAsia="Times New Roman" w:hAnsi="Times New Roman"/>
          <w:sz w:val="18"/>
          <w:szCs w:val="18"/>
          <w:color w:val="auto"/>
        </w:rPr>
      </w:pPr>
    </w:p>
    <w:p>
      <w:pPr>
        <w:ind w:right="360" w:firstLine="1912"/>
        <w:spacing w:after="0" w:line="233" w:lineRule="auto"/>
        <w:tabs>
          <w:tab w:leader="none" w:pos="253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146" w:lineRule="exact"/>
        <w:rPr>
          <w:rFonts w:ascii="Times New Roman" w:cs="Times New Roman" w:eastAsia="Times New Roman" w:hAnsi="Times New Roman"/>
          <w:sz w:val="18"/>
          <w:szCs w:val="18"/>
          <w:color w:val="auto"/>
        </w:rPr>
      </w:pPr>
    </w:p>
    <w:p>
      <w:pPr>
        <w:ind w:left="2540" w:hanging="628"/>
        <w:spacing w:after="0"/>
        <w:tabs>
          <w:tab w:leader="none" w:pos="2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relocation of Executive’s principal place of performing his or her duties as an employee of the Company by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more than fifty (50) miles; or</w:t>
      </w:r>
    </w:p>
    <w:p>
      <w:pPr>
        <w:spacing w:after="0" w:line="169" w:lineRule="exact"/>
        <w:rPr>
          <w:rFonts w:ascii="Times New Roman" w:cs="Times New Roman" w:eastAsia="Times New Roman" w:hAnsi="Times New Roman"/>
          <w:sz w:val="18"/>
          <w:szCs w:val="18"/>
          <w:color w:val="auto"/>
        </w:rPr>
      </w:pPr>
    </w:p>
    <w:p>
      <w:pPr>
        <w:ind w:left="2540" w:hanging="628"/>
        <w:spacing w:after="0"/>
        <w:tabs>
          <w:tab w:leader="none" w:pos="2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 successor of the Company as set forth in Section 7(a) hereof does not assume this Agreement.</w:t>
      </w:r>
    </w:p>
    <w:p>
      <w:pPr>
        <w:spacing w:after="0" w:line="192" w:lineRule="exact"/>
        <w:rPr>
          <w:sz w:val="20"/>
          <w:szCs w:val="20"/>
          <w:color w:val="auto"/>
        </w:rPr>
      </w:pPr>
    </w:p>
    <w:p>
      <w:pPr>
        <w:ind w:right="520"/>
        <w:spacing w:after="0" w:line="222" w:lineRule="auto"/>
        <w:rPr>
          <w:sz w:val="20"/>
          <w:szCs w:val="20"/>
          <w:color w:val="auto"/>
        </w:rPr>
      </w:pPr>
      <w:r>
        <w:rPr>
          <w:rFonts w:ascii="Times New Roman" w:cs="Times New Roman" w:eastAsia="Times New Roman" w:hAnsi="Times New Roman"/>
          <w:sz w:val="19"/>
          <w:szCs w:val="19"/>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existence of the grounds for “Good Reason’ and a reasonable cure period of not less than thirty (30) days following the end of such notice.</w:t>
      </w:r>
    </w:p>
    <w:p>
      <w:pPr>
        <w:spacing w:after="0" w:line="170"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9"/>
          <w:szCs w:val="19"/>
          <w:color w:val="auto"/>
        </w:rPr>
        <w:t>For purposes of the “Good Reason” definition, the term “Company” will be interpreted to include any subsidiary, parent, affiliate or successor thereto, if applicable.</w:t>
      </w:r>
    </w:p>
    <w:p>
      <w:pPr>
        <w:spacing w:after="0" w:line="153" w:lineRule="exact"/>
        <w:rPr>
          <w:sz w:val="20"/>
          <w:szCs w:val="20"/>
          <w:color w:val="auto"/>
        </w:rPr>
      </w:pPr>
    </w:p>
    <w:p>
      <w:pPr>
        <w:ind w:right="20" w:firstLine="1276"/>
        <w:spacing w:after="0" w:line="230" w:lineRule="auto"/>
        <w:tabs>
          <w:tab w:leader="none" w:pos="1894" w:val="left"/>
        </w:tabs>
        <w:numPr>
          <w:ilvl w:val="0"/>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Section 409A Limit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Section 409A Limit”</w:t>
      </w:r>
      <w:r>
        <w:rPr>
          <w:rFonts w:ascii="Times New Roman" w:cs="Times New Roman" w:eastAsia="Times New Roman" w:hAnsi="Times New Roman"/>
          <w:sz w:val="19"/>
          <w:szCs w:val="19"/>
          <w:color w:val="auto"/>
        </w:rPr>
        <w:t xml:space="preserve"> will mean two (2) times the lesser of: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1.409A-1(b)(9)(iii)(A)(l) and any Internal Revenue Service guidance issued with respect thereto;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00"/>
          </w:cols>
          <w:pgMar w:left="320" w:top="1374" w:right="379" w:bottom="1440" w:gutter="0" w:footer="0" w:header="0"/>
        </w:sectPr>
      </w:pPr>
    </w:p>
    <w:bookmarkStart w:id="135" w:name="page136"/>
    <w:bookmarkEnd w:id="135"/>
    <w:p>
      <w:pPr>
        <w:ind w:right="300"/>
        <w:spacing w:after="0" w:line="255" w:lineRule="auto"/>
        <w:rPr>
          <w:sz w:val="20"/>
          <w:szCs w:val="20"/>
          <w:color w:val="auto"/>
        </w:rPr>
      </w:pPr>
      <w:r>
        <w:rPr>
          <w:rFonts w:ascii="Times New Roman" w:cs="Times New Roman" w:eastAsia="Times New Roman" w:hAnsi="Times New Roman"/>
          <w:sz w:val="19"/>
          <w:szCs w:val="19"/>
          <w:color w:val="auto"/>
        </w:rPr>
        <w:t>the maximum amount that may be taken into account under a qualified plan pursuant to Section 401(a)(17) of the Code for the year in which Executive’s employment is terminated.</w:t>
      </w:r>
    </w:p>
    <w:p>
      <w:pPr>
        <w:spacing w:after="0" w:line="131" w:lineRule="exact"/>
        <w:rPr>
          <w:sz w:val="20"/>
          <w:szCs w:val="20"/>
          <w:color w:val="auto"/>
        </w:rPr>
      </w:pPr>
    </w:p>
    <w:p>
      <w:pPr>
        <w:ind w:left="1280" w:hanging="639"/>
        <w:spacing w:after="0"/>
        <w:tabs>
          <w:tab w:leader="none" w:pos="1280" w:val="left"/>
        </w:tabs>
        <w:numPr>
          <w:ilvl w:val="1"/>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191" w:lineRule="exact"/>
        <w:rPr>
          <w:rFonts w:ascii="Times New Roman" w:cs="Times New Roman" w:eastAsia="Times New Roman" w:hAnsi="Times New Roman"/>
          <w:sz w:val="19"/>
          <w:szCs w:val="19"/>
          <w:color w:val="010000"/>
        </w:rPr>
      </w:pPr>
    </w:p>
    <w:p>
      <w:pPr>
        <w:ind w:right="260" w:firstLine="1276"/>
        <w:spacing w:after="0" w:line="223" w:lineRule="auto"/>
        <w:tabs>
          <w:tab w:leader="none" w:pos="1896" w:val="left"/>
        </w:tabs>
        <w:numPr>
          <w:ilvl w:val="2"/>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The Company’s Successors</w:t>
      </w:r>
      <w:r>
        <w:rPr>
          <w:rFonts w:ascii="Times New Roman" w:cs="Times New Roman" w:eastAsia="Times New Roman" w:hAnsi="Times New Roman"/>
          <w:sz w:val="19"/>
          <w:szCs w:val="19"/>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58" w:lineRule="exact"/>
        <w:rPr>
          <w:rFonts w:ascii="Times New Roman" w:cs="Times New Roman" w:eastAsia="Times New Roman" w:hAnsi="Times New Roman"/>
          <w:sz w:val="19"/>
          <w:szCs w:val="19"/>
          <w:color w:val="010000"/>
        </w:rPr>
      </w:pPr>
    </w:p>
    <w:p>
      <w:pPr>
        <w:ind w:right="140" w:firstLine="1276"/>
        <w:spacing w:after="0" w:line="233" w:lineRule="auto"/>
        <w:tabs>
          <w:tab w:leader="none" w:pos="1894" w:val="left"/>
        </w:tabs>
        <w:numPr>
          <w:ilvl w:val="2"/>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Executive’s Successors</w:t>
      </w:r>
      <w:r>
        <w:rPr>
          <w:rFonts w:ascii="Times New Roman" w:cs="Times New Roman" w:eastAsia="Times New Roman" w:hAnsi="Times New Roman"/>
          <w:sz w:val="19"/>
          <w:szCs w:val="19"/>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57" w:lineRule="exact"/>
        <w:rPr>
          <w:rFonts w:ascii="Times New Roman" w:cs="Times New Roman" w:eastAsia="Times New Roman" w:hAnsi="Times New Roman"/>
          <w:sz w:val="19"/>
          <w:szCs w:val="19"/>
          <w:color w:val="010000"/>
        </w:rPr>
      </w:pPr>
    </w:p>
    <w:p>
      <w:pPr>
        <w:ind w:left="1280" w:hanging="639"/>
        <w:spacing w:after="0"/>
        <w:tabs>
          <w:tab w:leader="none" w:pos="1280" w:val="left"/>
        </w:tabs>
        <w:numPr>
          <w:ilvl w:val="1"/>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w:t>
      </w:r>
    </w:p>
    <w:p>
      <w:pPr>
        <w:spacing w:after="0" w:line="191" w:lineRule="exact"/>
        <w:rPr>
          <w:rFonts w:ascii="Times New Roman" w:cs="Times New Roman" w:eastAsia="Times New Roman" w:hAnsi="Times New Roman"/>
          <w:sz w:val="19"/>
          <w:szCs w:val="19"/>
          <w:color w:val="010000"/>
        </w:rPr>
      </w:pPr>
    </w:p>
    <w:p>
      <w:pPr>
        <w:ind w:firstLine="1276"/>
        <w:spacing w:after="0" w:line="220" w:lineRule="auto"/>
        <w:tabs>
          <w:tab w:leader="none" w:pos="1896" w:val="left"/>
        </w:tabs>
        <w:numPr>
          <w:ilvl w:val="2"/>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59" w:lineRule="exact"/>
        <w:rPr>
          <w:rFonts w:ascii="Times New Roman" w:cs="Times New Roman" w:eastAsia="Times New Roman" w:hAnsi="Times New Roman"/>
          <w:sz w:val="19"/>
          <w:szCs w:val="19"/>
          <w:color w:val="010000"/>
        </w:rPr>
      </w:pPr>
    </w:p>
    <w:p>
      <w:pPr>
        <w:ind w:right="100" w:firstLine="1276"/>
        <w:spacing w:after="0" w:line="220" w:lineRule="auto"/>
        <w:tabs>
          <w:tab w:leader="none" w:pos="1894" w:val="left"/>
        </w:tabs>
        <w:numPr>
          <w:ilvl w:val="2"/>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 of Termination</w:t>
      </w:r>
      <w:r>
        <w:rPr>
          <w:rFonts w:ascii="Times New Roman" w:cs="Times New Roman" w:eastAsia="Times New Roman" w:hAnsi="Times New Roman"/>
          <w:sz w:val="19"/>
          <w:szCs w:val="19"/>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w:t>
      </w:r>
    </w:p>
    <w:p>
      <w:pPr>
        <w:spacing w:after="0" w:line="1" w:lineRule="exact"/>
        <w:rPr>
          <w:rFonts w:ascii="Times New Roman" w:cs="Times New Roman" w:eastAsia="Times New Roman" w:hAnsi="Times New Roman"/>
          <w:sz w:val="19"/>
          <w:szCs w:val="19"/>
          <w:color w:val="010000"/>
        </w:rPr>
      </w:pPr>
    </w:p>
    <w:p>
      <w:pPr>
        <w:ind w:left="380" w:hanging="374"/>
        <w:spacing w:after="0"/>
        <w:tabs>
          <w:tab w:leader="none" w:pos="3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giving of such notice).</w:t>
      </w:r>
    </w:p>
    <w:p>
      <w:pPr>
        <w:spacing w:after="0" w:line="156" w:lineRule="exact"/>
        <w:rPr>
          <w:rFonts w:ascii="Times New Roman" w:cs="Times New Roman" w:eastAsia="Times New Roman" w:hAnsi="Times New Roman"/>
          <w:sz w:val="19"/>
          <w:szCs w:val="19"/>
          <w:color w:val="auto"/>
        </w:rPr>
      </w:pPr>
    </w:p>
    <w:p>
      <w:pPr>
        <w:jc w:val="both"/>
        <w:ind w:right="60" w:firstLine="641"/>
        <w:spacing w:after="0" w:line="229" w:lineRule="auto"/>
        <w:tabs>
          <w:tab w:leader="none" w:pos="1270" w:val="left"/>
        </w:tabs>
        <w:numPr>
          <w:ilvl w:val="1"/>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Resignation</w:t>
      </w:r>
      <w:r>
        <w:rPr>
          <w:rFonts w:ascii="Times New Roman" w:cs="Times New Roman" w:eastAsia="Times New Roman" w:hAnsi="Times New Roman"/>
          <w:sz w:val="19"/>
          <w:szCs w:val="19"/>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58" w:lineRule="exact"/>
        <w:rPr>
          <w:rFonts w:ascii="Times New Roman" w:cs="Times New Roman" w:eastAsia="Times New Roman" w:hAnsi="Times New Roman"/>
          <w:sz w:val="19"/>
          <w:szCs w:val="19"/>
          <w:color w:val="010000"/>
        </w:rPr>
      </w:pPr>
    </w:p>
    <w:p>
      <w:pPr>
        <w:ind w:left="1260" w:hanging="619"/>
        <w:spacing w:after="0"/>
        <w:tabs>
          <w:tab w:leader="none" w:pos="1260" w:val="left"/>
        </w:tabs>
        <w:numPr>
          <w:ilvl w:val="1"/>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w:t>
      </w:r>
    </w:p>
    <w:p>
      <w:pPr>
        <w:spacing w:after="0" w:line="191" w:lineRule="exact"/>
        <w:rPr>
          <w:rFonts w:ascii="Times New Roman" w:cs="Times New Roman" w:eastAsia="Times New Roman" w:hAnsi="Times New Roman"/>
          <w:sz w:val="19"/>
          <w:szCs w:val="19"/>
          <w:color w:val="010000"/>
        </w:rPr>
      </w:pPr>
    </w:p>
    <w:p>
      <w:pPr>
        <w:ind w:right="80" w:firstLine="1276"/>
        <w:spacing w:after="0" w:line="220" w:lineRule="auto"/>
        <w:tabs>
          <w:tab w:leader="none" w:pos="1896" w:val="left"/>
        </w:tabs>
        <w:numPr>
          <w:ilvl w:val="2"/>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 and pursuant to California law . The Federal Arbitration Act will also apply with full force and effect, notwithstanding the application of procedural rules set forth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20"/>
          </w:cols>
          <w:pgMar w:left="320" w:top="1374" w:right="359" w:bottom="1440" w:gutter="0" w:footer="0" w:header="0"/>
        </w:sectPr>
      </w:pPr>
    </w:p>
    <w:bookmarkStart w:id="136" w:name="page137"/>
    <w:bookmarkEnd w:id="136"/>
    <w:p>
      <w:pPr>
        <w:ind w:left="-40" w:right="80" w:firstLine="1270"/>
        <w:spacing w:after="0" w:line="220" w:lineRule="auto"/>
        <w:tabs>
          <w:tab w:leader="none" w:pos="1840" w:val="left"/>
        </w:tabs>
        <w:numPr>
          <w:ilvl w:val="2"/>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59" w:lineRule="exact"/>
        <w:rPr>
          <w:rFonts w:ascii="Times New Roman" w:cs="Times New Roman" w:eastAsia="Times New Roman" w:hAnsi="Times New Roman"/>
          <w:sz w:val="19"/>
          <w:szCs w:val="19"/>
          <w:color w:val="010000"/>
        </w:rPr>
      </w:pPr>
    </w:p>
    <w:p>
      <w:pPr>
        <w:ind w:left="-60" w:right="20" w:firstLine="1276"/>
        <w:spacing w:after="0" w:line="218" w:lineRule="auto"/>
        <w:tabs>
          <w:tab w:leader="none" w:pos="1836" w:val="left"/>
        </w:tabs>
        <w:numPr>
          <w:ilvl w:val="1"/>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Procedure</w:t>
      </w:r>
      <w:r>
        <w:rPr>
          <w:rFonts w:ascii="Times New Roman" w:cs="Times New Roman" w:eastAsia="Times New Roman" w:hAnsi="Times New Roman"/>
          <w:sz w:val="19"/>
          <w:szCs w:val="19"/>
          <w:color w:val="auto"/>
        </w:rPr>
        <w:t>. Executive agrees that any arbitration will be administered by the Judicial Arbitration &amp; Mediation Services, Inc.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Employment Arbitration Rules &amp; Procedures (the “</w:t>
      </w:r>
      <w:r>
        <w:rPr>
          <w:rFonts w:ascii="Times New Roman" w:cs="Times New Roman" w:eastAsia="Times New Roman" w:hAnsi="Times New Roman"/>
          <w:sz w:val="19"/>
          <w:szCs w:val="19"/>
          <w:b w:val="1"/>
          <w:bCs w:val="1"/>
          <w:i w:val="1"/>
          <w:iCs w:val="1"/>
          <w:color w:val="auto"/>
        </w:rPr>
        <w:t>JAMS Rules</w:t>
      </w:r>
      <w:r>
        <w:rPr>
          <w:rFonts w:ascii="Times New Roman" w:cs="Times New Roman" w:eastAsia="Times New Roman" w:hAnsi="Times New Roman"/>
          <w:sz w:val="19"/>
          <w:szCs w:val="19"/>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59" w:lineRule="exact"/>
        <w:rPr>
          <w:rFonts w:ascii="Times New Roman" w:cs="Times New Roman" w:eastAsia="Times New Roman" w:hAnsi="Times New Roman"/>
          <w:sz w:val="19"/>
          <w:szCs w:val="19"/>
          <w:color w:val="010000"/>
        </w:rPr>
      </w:pPr>
    </w:p>
    <w:p>
      <w:pPr>
        <w:ind w:left="-60" w:right="60" w:firstLine="1276"/>
        <w:spacing w:after="0" w:line="227" w:lineRule="auto"/>
        <w:tabs>
          <w:tab w:leader="none" w:pos="1834" w:val="left"/>
        </w:tabs>
        <w:numPr>
          <w:ilvl w:val="1"/>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Remedy</w:t>
      </w:r>
      <w:r>
        <w:rPr>
          <w:rFonts w:ascii="Times New Roman" w:cs="Times New Roman" w:eastAsia="Times New Roman" w:hAnsi="Times New Roman"/>
          <w:sz w:val="19"/>
          <w:szCs w:val="19"/>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pacing w:after="0" w:line="144" w:lineRule="exact"/>
        <w:rPr>
          <w:rFonts w:ascii="Times New Roman" w:cs="Times New Roman" w:eastAsia="Times New Roman" w:hAnsi="Times New Roman"/>
          <w:sz w:val="19"/>
          <w:szCs w:val="19"/>
          <w:color w:val="010000"/>
        </w:rPr>
      </w:pPr>
    </w:p>
    <w:p>
      <w:pPr>
        <w:ind w:left="-60" w:firstLine="1276"/>
        <w:spacing w:after="0" w:line="229" w:lineRule="auto"/>
        <w:tabs>
          <w:tab w:leader="none" w:pos="1836" w:val="left"/>
        </w:tabs>
        <w:numPr>
          <w:ilvl w:val="1"/>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Administrative Relief</w:t>
      </w:r>
      <w:r>
        <w:rPr>
          <w:rFonts w:ascii="Times New Roman" w:cs="Times New Roman" w:eastAsia="Times New Roman" w:hAnsi="Times New Roman"/>
          <w:sz w:val="19"/>
          <w:szCs w:val="19"/>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58" w:lineRule="exact"/>
        <w:rPr>
          <w:rFonts w:ascii="Times New Roman" w:cs="Times New Roman" w:eastAsia="Times New Roman" w:hAnsi="Times New Roman"/>
          <w:sz w:val="19"/>
          <w:szCs w:val="19"/>
          <w:color w:val="010000"/>
        </w:rPr>
      </w:pPr>
    </w:p>
    <w:p>
      <w:pPr>
        <w:ind w:left="-60" w:right="300" w:firstLine="1276"/>
        <w:spacing w:after="0" w:line="223" w:lineRule="auto"/>
        <w:tabs>
          <w:tab w:leader="none" w:pos="1841" w:val="left"/>
        </w:tabs>
        <w:numPr>
          <w:ilvl w:val="1"/>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Voluntary Nature of Agreement</w:t>
      </w:r>
      <w:r>
        <w:rPr>
          <w:rFonts w:ascii="Times New Roman" w:cs="Times New Roman" w:eastAsia="Times New Roman" w:hAnsi="Times New Roman"/>
          <w:sz w:val="19"/>
          <w:szCs w:val="19"/>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Times New Roman" w:cs="Times New Roman" w:eastAsia="Times New Roman" w:hAnsi="Times New Roman"/>
          <w:sz w:val="19"/>
          <w:szCs w:val="19"/>
          <w:b w:val="1"/>
          <w:bCs w:val="1"/>
          <w:i w:val="1"/>
          <w:iCs w:val="1"/>
          <w:color w:val="auto"/>
        </w:rPr>
        <w:t>EXECUTIVE IS WAIVING EXECUTIVE’S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RIGHT TO A JURY TRIAL</w:t>
      </w:r>
      <w:r>
        <w:rPr>
          <w:rFonts w:ascii="Times New Roman" w:cs="Times New Roman" w:eastAsia="Times New Roman" w:hAnsi="Times New Roman"/>
          <w:sz w:val="19"/>
          <w:szCs w:val="19"/>
          <w:color w:val="auto"/>
        </w:rPr>
        <w:t>. Finally, Executive agrees that Executive has been provided an opportunity to seek the advice of an attorney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Executive’s choice before signing this Agreement.</w:t>
      </w:r>
    </w:p>
    <w:p>
      <w:pPr>
        <w:spacing w:after="0" w:line="158" w:lineRule="exact"/>
        <w:rPr>
          <w:rFonts w:ascii="Times New Roman" w:cs="Times New Roman" w:eastAsia="Times New Roman" w:hAnsi="Times New Roman"/>
          <w:sz w:val="19"/>
          <w:szCs w:val="19"/>
          <w:color w:val="010000"/>
        </w:rPr>
      </w:pPr>
    </w:p>
    <w:p>
      <w:pPr>
        <w:ind w:left="1200" w:hanging="619"/>
        <w:spacing w:after="0"/>
        <w:tabs>
          <w:tab w:leader="none" w:pos="1200" w:val="left"/>
        </w:tabs>
        <w:numPr>
          <w:ilvl w:val="0"/>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191" w:lineRule="exact"/>
        <w:rPr>
          <w:rFonts w:ascii="Times New Roman" w:cs="Times New Roman" w:eastAsia="Times New Roman" w:hAnsi="Times New Roman"/>
          <w:sz w:val="19"/>
          <w:szCs w:val="19"/>
          <w:color w:val="010000"/>
        </w:rPr>
      </w:pPr>
    </w:p>
    <w:p>
      <w:pPr>
        <w:ind w:left="-60" w:right="540" w:firstLine="1276"/>
        <w:spacing w:after="0" w:line="241" w:lineRule="auto"/>
        <w:tabs>
          <w:tab w:leader="none" w:pos="1836"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Duty to Mitigate</w:t>
      </w:r>
      <w:r>
        <w:rPr>
          <w:rFonts w:ascii="Times New Roman" w:cs="Times New Roman" w:eastAsia="Times New Roman" w:hAnsi="Times New Roman"/>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120"/>
          </w:cols>
          <w:pgMar w:left="380" w:top="1387" w:right="399" w:bottom="1440" w:gutter="0" w:footer="0" w:header="0"/>
        </w:sectPr>
      </w:pPr>
    </w:p>
    <w:bookmarkStart w:id="137" w:name="page138"/>
    <w:bookmarkEnd w:id="137"/>
    <w:p>
      <w:pPr>
        <w:ind w:right="20" w:firstLine="1276"/>
        <w:spacing w:after="0" w:line="229" w:lineRule="auto"/>
        <w:tabs>
          <w:tab w:leader="none" w:pos="1894"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47" w:lineRule="exact"/>
        <w:rPr>
          <w:rFonts w:ascii="Times New Roman" w:cs="Times New Roman" w:eastAsia="Times New Roman" w:hAnsi="Times New Roman"/>
          <w:sz w:val="19"/>
          <w:szCs w:val="19"/>
          <w:color w:val="010000"/>
        </w:rPr>
      </w:pPr>
    </w:p>
    <w:p>
      <w:pPr>
        <w:ind w:left="1900" w:hanging="624"/>
        <w:spacing w:after="0"/>
        <w:tabs>
          <w:tab w:leader="none" w:pos="1900"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All captions and section headings used in this Agreement are for convenient reference only and do not form a</w:t>
      </w: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part of this Agreement.</w:t>
      </w:r>
    </w:p>
    <w:p>
      <w:pPr>
        <w:spacing w:after="0" w:line="169" w:lineRule="exact"/>
        <w:rPr>
          <w:rFonts w:ascii="Times New Roman" w:cs="Times New Roman" w:eastAsia="Times New Roman" w:hAnsi="Times New Roman"/>
          <w:sz w:val="19"/>
          <w:szCs w:val="19"/>
          <w:color w:val="010000"/>
        </w:rPr>
      </w:pPr>
    </w:p>
    <w:p>
      <w:pPr>
        <w:ind w:right="40" w:firstLine="1276"/>
        <w:spacing w:after="0" w:line="229" w:lineRule="auto"/>
        <w:tabs>
          <w:tab w:leader="none" w:pos="1894"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58" w:lineRule="exact"/>
        <w:rPr>
          <w:rFonts w:ascii="Times New Roman" w:cs="Times New Roman" w:eastAsia="Times New Roman" w:hAnsi="Times New Roman"/>
          <w:sz w:val="19"/>
          <w:szCs w:val="19"/>
          <w:color w:val="010000"/>
        </w:rPr>
      </w:pPr>
    </w:p>
    <w:p>
      <w:pPr>
        <w:ind w:right="160" w:firstLine="1276"/>
        <w:spacing w:after="0" w:line="224" w:lineRule="auto"/>
        <w:tabs>
          <w:tab w:leader="none" w:pos="1896"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Choice of Law</w:t>
      </w:r>
      <w:r>
        <w:rPr>
          <w:rFonts w:ascii="Times New Roman" w:cs="Times New Roman" w:eastAsia="Times New Roman" w:hAnsi="Times New Roman"/>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8" w:lineRule="exact"/>
        <w:rPr>
          <w:rFonts w:ascii="Times New Roman" w:cs="Times New Roman" w:eastAsia="Times New Roman" w:hAnsi="Times New Roman"/>
          <w:sz w:val="19"/>
          <w:szCs w:val="19"/>
          <w:color w:val="010000"/>
        </w:rPr>
      </w:pPr>
    </w:p>
    <w:p>
      <w:pPr>
        <w:ind w:right="420" w:firstLine="1276"/>
        <w:spacing w:after="0" w:line="255" w:lineRule="auto"/>
        <w:tabs>
          <w:tab w:leader="none" w:pos="1901"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invalidity or unenforceability of any provision or provisions of this Agreement will not affect the validity or enforceability of any other provision hereof, which will remain in full force and effect.</w:t>
      </w:r>
    </w:p>
    <w:p>
      <w:pPr>
        <w:spacing w:after="0" w:line="131" w:lineRule="exact"/>
        <w:rPr>
          <w:rFonts w:ascii="Times New Roman" w:cs="Times New Roman" w:eastAsia="Times New Roman" w:hAnsi="Times New Roman"/>
          <w:sz w:val="19"/>
          <w:szCs w:val="19"/>
          <w:color w:val="010000"/>
        </w:rPr>
      </w:pPr>
    </w:p>
    <w:p>
      <w:pPr>
        <w:ind w:right="520" w:firstLine="1276"/>
        <w:spacing w:after="0" w:line="255" w:lineRule="auto"/>
        <w:tabs>
          <w:tab w:leader="none" w:pos="1894"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All payments made pursuant to this Agreement will be subject to withholding of applicable income, employment and other taxes.</w:t>
      </w:r>
    </w:p>
    <w:p>
      <w:pPr>
        <w:spacing w:after="0" w:line="131" w:lineRule="exact"/>
        <w:rPr>
          <w:rFonts w:ascii="Times New Roman" w:cs="Times New Roman" w:eastAsia="Times New Roman" w:hAnsi="Times New Roman"/>
          <w:sz w:val="19"/>
          <w:szCs w:val="19"/>
          <w:color w:val="010000"/>
        </w:rPr>
      </w:pPr>
    </w:p>
    <w:p>
      <w:pPr>
        <w:ind w:right="320" w:firstLine="1276"/>
        <w:spacing w:after="0" w:line="255" w:lineRule="auto"/>
        <w:tabs>
          <w:tab w:leader="none" w:pos="1894" w:val="left"/>
        </w:tabs>
        <w:numPr>
          <w:ilvl w:val="0"/>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374" w:right="339" w:bottom="1440" w:gutter="0" w:footer="0" w:header="0"/>
        </w:sectPr>
      </w:pPr>
    </w:p>
    <w:bookmarkStart w:id="138" w:name="page139"/>
    <w:bookmarkEnd w:id="138"/>
    <w:p>
      <w:pPr>
        <w:ind w:firstLine="635"/>
        <w:spacing w:after="0" w:line="255" w:lineRule="auto"/>
        <w:rPr>
          <w:sz w:val="20"/>
          <w:szCs w:val="20"/>
          <w:color w:val="auto"/>
        </w:rPr>
      </w:pPr>
      <w:r>
        <w:rPr>
          <w:rFonts w:ascii="Times New Roman" w:cs="Times New Roman" w:eastAsia="Times New Roman" w:hAnsi="Times New Roman"/>
          <w:sz w:val="19"/>
          <w:szCs w:val="19"/>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42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COMPANY</w:t>
            </w:r>
          </w:p>
        </w:tc>
        <w:tc>
          <w:tcPr>
            <w:tcW w:w="5040" w:type="dxa"/>
            <w:vAlign w:val="bottom"/>
            <w:gridSpan w:val="2"/>
          </w:tcPr>
          <w:p>
            <w:pPr>
              <w:ind w:left="980"/>
              <w:spacing w:after="0"/>
              <w:rPr>
                <w:sz w:val="20"/>
                <w:szCs w:val="20"/>
                <w:color w:val="auto"/>
              </w:rPr>
            </w:pPr>
            <w:r>
              <w:rPr>
                <w:rFonts w:ascii="Times New Roman" w:cs="Times New Roman" w:eastAsia="Times New Roman" w:hAnsi="Times New Roman"/>
                <w:sz w:val="19"/>
                <w:szCs w:val="19"/>
                <w:color w:val="auto"/>
              </w:rPr>
              <w:t>VERACYTE, INC.</w:t>
            </w:r>
          </w:p>
        </w:tc>
        <w:tc>
          <w:tcPr>
            <w:tcW w:w="0" w:type="dxa"/>
            <w:vAlign w:val="bottom"/>
          </w:tcPr>
          <w:p>
            <w:pPr>
              <w:spacing w:after="0"/>
              <w:rPr>
                <w:sz w:val="1"/>
                <w:szCs w:val="1"/>
                <w:color w:val="auto"/>
              </w:rPr>
            </w:pPr>
          </w:p>
        </w:tc>
      </w:tr>
      <w:tr>
        <w:trPr>
          <w:trHeight w:val="414"/>
        </w:trPr>
        <w:tc>
          <w:tcPr>
            <w:tcW w:w="2080" w:type="dxa"/>
            <w:vAlign w:val="bottom"/>
          </w:tcPr>
          <w:p>
            <w:pPr>
              <w:spacing w:after="0"/>
              <w:rPr>
                <w:sz w:val="24"/>
                <w:szCs w:val="24"/>
                <w:color w:val="auto"/>
              </w:rPr>
            </w:pPr>
          </w:p>
        </w:tc>
        <w:tc>
          <w:tcPr>
            <w:tcW w:w="16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By:</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 Marc Stapley</w:t>
            </w:r>
          </w:p>
        </w:tc>
        <w:tc>
          <w:tcPr>
            <w:tcW w:w="0" w:type="dxa"/>
            <w:vAlign w:val="bottom"/>
          </w:tcPr>
          <w:p>
            <w:pPr>
              <w:spacing w:after="0"/>
              <w:rPr>
                <w:sz w:val="1"/>
                <w:szCs w:val="1"/>
                <w:color w:val="auto"/>
              </w:rPr>
            </w:pPr>
          </w:p>
        </w:tc>
      </w:tr>
      <w:tr>
        <w:trPr>
          <w:trHeight w:val="390"/>
        </w:trPr>
        <w:tc>
          <w:tcPr>
            <w:tcW w:w="2080" w:type="dxa"/>
            <w:vAlign w:val="bottom"/>
          </w:tcPr>
          <w:p>
            <w:pPr>
              <w:spacing w:after="0"/>
              <w:rPr>
                <w:sz w:val="24"/>
                <w:szCs w:val="24"/>
                <w:color w:val="auto"/>
              </w:rPr>
            </w:pPr>
          </w:p>
        </w:tc>
        <w:tc>
          <w:tcPr>
            <w:tcW w:w="16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Title:</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Chief Executive Officer</w:t>
            </w:r>
          </w:p>
        </w:tc>
        <w:tc>
          <w:tcPr>
            <w:tcW w:w="0" w:type="dxa"/>
            <w:vAlign w:val="bottom"/>
          </w:tcPr>
          <w:p>
            <w:pPr>
              <w:spacing w:after="0"/>
              <w:rPr>
                <w:sz w:val="1"/>
                <w:szCs w:val="1"/>
                <w:color w:val="auto"/>
              </w:rPr>
            </w:pPr>
          </w:p>
        </w:tc>
      </w:tr>
      <w:tr>
        <w:trPr>
          <w:trHeight w:val="390"/>
        </w:trPr>
        <w:tc>
          <w:tcPr>
            <w:tcW w:w="2080" w:type="dxa"/>
            <w:vAlign w:val="bottom"/>
          </w:tcPr>
          <w:p>
            <w:pPr>
              <w:spacing w:after="0"/>
              <w:rPr>
                <w:sz w:val="24"/>
                <w:szCs w:val="24"/>
                <w:color w:val="auto"/>
              </w:rPr>
            </w:pPr>
          </w:p>
        </w:tc>
        <w:tc>
          <w:tcPr>
            <w:tcW w:w="16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Date:</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2/26/2024</w:t>
            </w:r>
          </w:p>
        </w:tc>
        <w:tc>
          <w:tcPr>
            <w:tcW w:w="0" w:type="dxa"/>
            <w:vAlign w:val="bottom"/>
          </w:tcPr>
          <w:p>
            <w:pPr>
              <w:spacing w:after="0"/>
              <w:rPr>
                <w:sz w:val="1"/>
                <w:szCs w:val="1"/>
                <w:color w:val="auto"/>
              </w:rPr>
            </w:pPr>
          </w:p>
        </w:tc>
      </w:tr>
      <w:tr>
        <w:trPr>
          <w:trHeight w:val="691"/>
        </w:trPr>
        <w:tc>
          <w:tcPr>
            <w:tcW w:w="2080" w:type="dxa"/>
            <w:vAlign w:val="bottom"/>
          </w:tcPr>
          <w:p>
            <w:pPr>
              <w:spacing w:after="0"/>
              <w:rPr>
                <w:sz w:val="20"/>
                <w:szCs w:val="20"/>
                <w:color w:val="auto"/>
              </w:rPr>
            </w:pPr>
            <w:r>
              <w:rPr>
                <w:rFonts w:ascii="Times New Roman" w:cs="Times New Roman" w:eastAsia="Times New Roman" w:hAnsi="Times New Roman"/>
                <w:sz w:val="19"/>
                <w:szCs w:val="19"/>
                <w:color w:val="auto"/>
              </w:rPr>
              <w:t>EXECUTIVE</w:t>
            </w:r>
          </w:p>
        </w:tc>
        <w:tc>
          <w:tcPr>
            <w:tcW w:w="1680" w:type="dxa"/>
            <w:vAlign w:val="bottom"/>
            <w:vMerge w:val="restart"/>
          </w:tcPr>
          <w:p>
            <w:pPr>
              <w:ind w:left="980"/>
              <w:spacing w:after="0"/>
              <w:rPr>
                <w:sz w:val="20"/>
                <w:szCs w:val="20"/>
                <w:color w:val="auto"/>
              </w:rPr>
            </w:pPr>
            <w:r>
              <w:rPr>
                <w:rFonts w:ascii="Times New Roman" w:cs="Times New Roman" w:eastAsia="Times New Roman" w:hAnsi="Times New Roman"/>
                <w:sz w:val="19"/>
                <w:szCs w:val="19"/>
                <w:color w:val="auto"/>
              </w:rPr>
              <w:t>By:</w:t>
            </w:r>
          </w:p>
        </w:tc>
        <w:tc>
          <w:tcPr>
            <w:tcW w:w="3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 John Leite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080" w:type="dxa"/>
            <w:vAlign w:val="bottom"/>
          </w:tcPr>
          <w:p>
            <w:pPr>
              <w:spacing w:after="0"/>
              <w:rPr>
                <w:sz w:val="24"/>
                <w:szCs w:val="24"/>
                <w:color w:val="auto"/>
              </w:rPr>
            </w:pPr>
          </w:p>
        </w:tc>
        <w:tc>
          <w:tcPr>
            <w:tcW w:w="16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Title:</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Chief Commercial Officer, CLIA</w:t>
            </w:r>
          </w:p>
        </w:tc>
        <w:tc>
          <w:tcPr>
            <w:tcW w:w="0" w:type="dxa"/>
            <w:vAlign w:val="bottom"/>
          </w:tcPr>
          <w:p>
            <w:pPr>
              <w:spacing w:after="0"/>
              <w:rPr>
                <w:sz w:val="1"/>
                <w:szCs w:val="1"/>
                <w:color w:val="auto"/>
              </w:rPr>
            </w:pPr>
          </w:p>
        </w:tc>
      </w:tr>
      <w:tr>
        <w:trPr>
          <w:trHeight w:val="337"/>
        </w:trPr>
        <w:tc>
          <w:tcPr>
            <w:tcW w:w="2080" w:type="dxa"/>
            <w:vAlign w:val="bottom"/>
          </w:tcPr>
          <w:p>
            <w:pPr>
              <w:spacing w:after="0"/>
              <w:rPr>
                <w:sz w:val="24"/>
                <w:szCs w:val="24"/>
                <w:color w:val="auto"/>
              </w:rPr>
            </w:pPr>
          </w:p>
        </w:tc>
        <w:tc>
          <w:tcPr>
            <w:tcW w:w="1680" w:type="dxa"/>
            <w:vAlign w:val="bottom"/>
          </w:tcPr>
          <w:p>
            <w:pPr>
              <w:ind w:left="980"/>
              <w:spacing w:after="0"/>
              <w:rPr>
                <w:sz w:val="20"/>
                <w:szCs w:val="20"/>
                <w:color w:val="auto"/>
              </w:rPr>
            </w:pPr>
            <w:r>
              <w:rPr>
                <w:rFonts w:ascii="Times New Roman" w:cs="Times New Roman" w:eastAsia="Times New Roman" w:hAnsi="Times New Roman"/>
                <w:sz w:val="19"/>
                <w:szCs w:val="19"/>
                <w:color w:val="auto"/>
              </w:rPr>
              <w:t>Date:</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2/25/2024</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color w:val="1F1D23"/>
        </w:rPr>
        <w:t>[</w:t>
      </w:r>
      <w:r>
        <w:rPr>
          <w:rFonts w:ascii="Times New Roman" w:cs="Times New Roman" w:eastAsia="Times New Roman" w:hAnsi="Times New Roman"/>
          <w:sz w:val="19"/>
          <w:szCs w:val="19"/>
          <w:b w:val="1"/>
          <w:bCs w:val="1"/>
          <w:i w:val="1"/>
          <w:iCs w:val="1"/>
          <w:color w:val="1F1D23"/>
        </w:rPr>
        <w:t>signature page of the Change of Control and Severance Agreement]</w:t>
      </w:r>
    </w:p>
    <w:p>
      <w:pPr>
        <w:sectPr>
          <w:pgSz w:w="11900" w:h="16838" w:orient="portrait"/>
          <w:cols w:equalWidth="0" w:num="1">
            <w:col w:w="11060"/>
          </w:cols>
          <w:pgMar w:left="320" w:top="1374" w:right="519" w:bottom="1440" w:gutter="0" w:footer="0" w:header="0"/>
        </w:sectPr>
      </w:pPr>
    </w:p>
    <w:bookmarkStart w:id="139" w:name="page140"/>
    <w:bookmarkEnd w:id="139"/>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OF RELEASE OF CLAIMS</w:t>
      </w:r>
    </w:p>
    <w:p>
      <w:pPr>
        <w:spacing w:after="0" w:line="179" w:lineRule="exact"/>
        <w:rPr>
          <w:sz w:val="20"/>
          <w:szCs w:val="20"/>
          <w:color w:val="auto"/>
        </w:rPr>
      </w:pPr>
    </w:p>
    <w:p>
      <w:pPr>
        <w:ind w:right="500" w:firstLine="635"/>
        <w:spacing w:after="0" w:line="260" w:lineRule="auto"/>
        <w:rPr>
          <w:sz w:val="20"/>
          <w:szCs w:val="20"/>
          <w:color w:val="auto"/>
        </w:rPr>
      </w:pPr>
      <w:r>
        <w:rPr>
          <w:rFonts w:ascii="Times New Roman" w:cs="Times New Roman" w:eastAsia="Times New Roman" w:hAnsi="Times New Roman"/>
          <w:sz w:val="19"/>
          <w:szCs w:val="19"/>
          <w:color w:val="auto"/>
        </w:rPr>
        <w:t>This release of claims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by and between Veracyte,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Name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The Company and Executive are sometimes collectively referred to herein as the “</w:t>
      </w:r>
      <w:r>
        <w:rPr>
          <w:rFonts w:ascii="Times New Roman" w:cs="Times New Roman" w:eastAsia="Times New Roman" w:hAnsi="Times New Roman"/>
          <w:sz w:val="19"/>
          <w:szCs w:val="19"/>
          <w:b w:val="1"/>
          <w:bCs w:val="1"/>
          <w:i w:val="1"/>
          <w:iCs w:val="1"/>
          <w:color w:val="auto"/>
        </w:rPr>
        <w:t>Parties</w:t>
      </w:r>
      <w:r>
        <w:rPr>
          <w:rFonts w:ascii="Times New Roman" w:cs="Times New Roman" w:eastAsia="Times New Roman" w:hAnsi="Times New Roman"/>
          <w:sz w:val="19"/>
          <w:szCs w:val="19"/>
          <w:color w:val="auto"/>
        </w:rPr>
        <w:t>” and individually referred to as a “</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signed a [Confidential Information and Invention Assignment Agreement] with the Company on Date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Confidentiality Agreement</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signed a Change of Control and Severance Agreement with the company on ________________ (the</w:t>
      </w:r>
    </w:p>
    <w:p>
      <w:pPr>
        <w:ind w:right="100"/>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Severance Agreement</w:t>
      </w:r>
      <w:r>
        <w:rPr>
          <w:rFonts w:ascii="Times New Roman" w:cs="Times New Roman" w:eastAsia="Times New Roman" w:hAnsi="Times New Roman"/>
          <w:sz w:val="19"/>
          <w:szCs w:val="19"/>
          <w:color w:val="auto"/>
        </w:rPr>
        <w:t>”), which, among other things, provides for certain severance benefits to be paid to Executive by the Company upon the termination of Executive’s employment;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was employed by the Company until __________________, when Executive’s employment was terminated</w:t>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Termination Date</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in accordance with Section 4 of the Severance Agreement between the Company and Executive, Executive has agreed to</w:t>
      </w:r>
    </w:p>
    <w:p>
      <w:pPr>
        <w:spacing w:after="0" w:line="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enter into and not revoke a standard release of claims in favor of the Company as a condition to receiving the severance benefits described in the Severance Agreement; and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Parties wish to resolve any and all disputes, claims, complaints, grievances, charges, actions, petitions and demands</w:t>
      </w:r>
    </w:p>
    <w:p>
      <w:pPr>
        <w:spacing w:after="0" w:line="6" w:lineRule="exact"/>
        <w:rPr>
          <w:sz w:val="20"/>
          <w:szCs w:val="20"/>
          <w:color w:val="auto"/>
        </w:rPr>
      </w:pPr>
    </w:p>
    <w:p>
      <w:pPr>
        <w:ind w:right="380"/>
        <w:spacing w:after="0" w:line="228" w:lineRule="auto"/>
        <w:rPr>
          <w:sz w:val="20"/>
          <w:szCs w:val="20"/>
          <w:color w:val="auto"/>
        </w:rPr>
      </w:pPr>
      <w:r>
        <w:rPr>
          <w:rFonts w:ascii="Times New Roman" w:cs="Times New Roman" w:eastAsia="Times New Roman" w:hAnsi="Times New Roman"/>
          <w:sz w:val="19"/>
          <w:szCs w:val="19"/>
          <w:color w:val="auto"/>
        </w:rPr>
        <w:t>that Executive 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54" w:lineRule="exact"/>
        <w:rPr>
          <w:sz w:val="20"/>
          <w:szCs w:val="20"/>
          <w:color w:val="auto"/>
        </w:rPr>
      </w:pPr>
    </w:p>
    <w:p>
      <w:pPr>
        <w:ind w:right="200" w:firstLine="635"/>
        <w:spacing w:after="0" w:line="245"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for good and valuable consideration, including the mutual promises and covenants made herein,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Executive hereby agree as follows: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196" w:lineRule="exact"/>
        <w:rPr>
          <w:sz w:val="20"/>
          <w:szCs w:val="20"/>
          <w:color w:val="auto"/>
        </w:rPr>
      </w:pPr>
    </w:p>
    <w:p>
      <w:pPr>
        <w:ind w:left="1280" w:hanging="639"/>
        <w:spacing w:after="0"/>
        <w:tabs>
          <w:tab w:leader="none" w:pos="1280" w:val="left"/>
        </w:tabs>
        <w:numPr>
          <w:ilvl w:val="0"/>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Executive’s employment with the Company terminated on the Termination Date.</w:t>
      </w:r>
    </w:p>
    <w:p>
      <w:pPr>
        <w:spacing w:after="0" w:line="178" w:lineRule="exact"/>
        <w:rPr>
          <w:rFonts w:ascii="Times New Roman" w:cs="Times New Roman" w:eastAsia="Times New Roman" w:hAnsi="Times New Roman"/>
          <w:sz w:val="19"/>
          <w:szCs w:val="19"/>
          <w:color w:val="010000"/>
        </w:rPr>
      </w:pPr>
    </w:p>
    <w:p>
      <w:pPr>
        <w:ind w:right="120" w:firstLine="641"/>
        <w:spacing w:after="0" w:line="227" w:lineRule="auto"/>
        <w:tabs>
          <w:tab w:leader="none" w:pos="1270" w:val="left"/>
        </w:tabs>
        <w:numPr>
          <w:ilvl w:val="0"/>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 of Salary and Receipt of All Benefits</w:t>
      </w:r>
      <w:r>
        <w:rPr>
          <w:rFonts w:ascii="Times New Roman" w:cs="Times New Roman" w:eastAsia="Times New Roman" w:hAnsi="Times New Roman"/>
          <w:sz w:val="19"/>
          <w:szCs w:val="19"/>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57" w:lineRule="exact"/>
        <w:rPr>
          <w:rFonts w:ascii="Times New Roman" w:cs="Times New Roman" w:eastAsia="Times New Roman" w:hAnsi="Times New Roman"/>
          <w:sz w:val="19"/>
          <w:szCs w:val="19"/>
          <w:color w:val="010000"/>
        </w:rPr>
      </w:pPr>
    </w:p>
    <w:p>
      <w:pPr>
        <w:ind w:right="100" w:firstLine="641"/>
        <w:spacing w:after="0" w:line="222" w:lineRule="auto"/>
        <w:tabs>
          <w:tab w:leader="none" w:pos="1270" w:val="left"/>
        </w:tabs>
        <w:numPr>
          <w:ilvl w:val="0"/>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1F1D23"/>
        </w:rPr>
        <w:t>A-1</w:t>
      </w:r>
    </w:p>
    <w:p>
      <w:pPr>
        <w:sectPr>
          <w:pgSz w:w="11900" w:h="16838" w:orient="portrait"/>
          <w:cols w:equalWidth="0" w:num="1">
            <w:col w:w="11220"/>
          </w:cols>
          <w:pgMar w:left="320" w:top="1440"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9"/>
          <w:szCs w:val="19"/>
          <w:color w:val="auto"/>
        </w:rPr>
        <w:t>whether presently known or unknown, suspected or unsuspected, that Executive may possess against any of the Releasees arising from any</w:t>
      </w:r>
    </w:p>
    <w:p>
      <w:pPr>
        <w:spacing w:after="0" w:line="2"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9"/>
          <w:szCs w:val="19"/>
          <w:color w:val="auto"/>
        </w:rPr>
        <w:t>omissions, acts, facts, or damages that have occurred up until and including the Effective Date of this Agreement, including, without limitation the following:</w:t>
      </w:r>
    </w:p>
    <w:p>
      <w:pPr>
        <w:spacing w:after="0" w:line="158" w:lineRule="exact"/>
        <w:rPr>
          <w:sz w:val="20"/>
          <w:szCs w:val="20"/>
          <w:color w:val="auto"/>
        </w:rPr>
      </w:pPr>
    </w:p>
    <w:p>
      <w:pPr>
        <w:ind w:right="800" w:firstLine="1276"/>
        <w:spacing w:after="0" w:line="255" w:lineRule="auto"/>
        <w:tabs>
          <w:tab w:leader="none" w:pos="1896"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relating to or arising from Executive’s employment relationship with the Company and the termination of that relationship;</w:t>
      </w:r>
    </w:p>
    <w:p>
      <w:pPr>
        <w:spacing w:after="0" w:line="131" w:lineRule="exact"/>
        <w:rPr>
          <w:rFonts w:ascii="Times New Roman" w:cs="Times New Roman" w:eastAsia="Times New Roman" w:hAnsi="Times New Roman"/>
          <w:sz w:val="19"/>
          <w:szCs w:val="19"/>
          <w:color w:val="010000"/>
        </w:rPr>
      </w:pPr>
    </w:p>
    <w:p>
      <w:pPr>
        <w:jc w:val="both"/>
        <w:ind w:right="20" w:firstLine="1276"/>
        <w:spacing w:after="0" w:line="237" w:lineRule="auto"/>
        <w:tabs>
          <w:tab w:leader="none" w:pos="1894"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46" w:lineRule="exact"/>
        <w:rPr>
          <w:rFonts w:ascii="Times New Roman" w:cs="Times New Roman" w:eastAsia="Times New Roman" w:hAnsi="Times New Roman"/>
          <w:sz w:val="19"/>
          <w:szCs w:val="19"/>
          <w:color w:val="010000"/>
        </w:rPr>
      </w:pPr>
    </w:p>
    <w:p>
      <w:pPr>
        <w:ind w:right="360" w:firstLine="1276"/>
        <w:spacing w:after="0" w:line="227" w:lineRule="auto"/>
        <w:tabs>
          <w:tab w:leader="none" w:pos="1896"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7" w:lineRule="exact"/>
        <w:rPr>
          <w:rFonts w:ascii="Times New Roman" w:cs="Times New Roman" w:eastAsia="Times New Roman" w:hAnsi="Times New Roman"/>
          <w:sz w:val="19"/>
          <w:szCs w:val="19"/>
          <w:color w:val="010000"/>
        </w:rPr>
      </w:pPr>
    </w:p>
    <w:p>
      <w:pPr>
        <w:ind w:right="120" w:firstLine="1276"/>
        <w:spacing w:after="0" w:line="226" w:lineRule="auto"/>
        <w:tabs>
          <w:tab w:leader="none" w:pos="1894"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of2002; [the California Family Rights Act]; [the California Labor Code]; [the California Workers’ Compensation Act]; and [the California Fair Employment and Housing Act];</w:t>
      </w:r>
      <w:r>
        <w:rPr>
          <w:rFonts w:ascii="Times New Roman" w:cs="Times New Roman" w:eastAsia="Times New Roman" w:hAnsi="Times New Roman"/>
          <w:sz w:val="25"/>
          <w:szCs w:val="25"/>
          <w:color w:val="auto"/>
          <w:vertAlign w:val="superscript"/>
        </w:rPr>
        <w:t>1</w:t>
      </w:r>
    </w:p>
    <w:p>
      <w:pPr>
        <w:spacing w:after="0" w:line="63" w:lineRule="exact"/>
        <w:rPr>
          <w:rFonts w:ascii="Times New Roman" w:cs="Times New Roman" w:eastAsia="Times New Roman" w:hAnsi="Times New Roman"/>
          <w:sz w:val="19"/>
          <w:szCs w:val="19"/>
          <w:color w:val="010000"/>
        </w:rPr>
      </w:pPr>
    </w:p>
    <w:p>
      <w:pPr>
        <w:ind w:left="1900" w:hanging="624"/>
        <w:spacing w:after="0"/>
        <w:tabs>
          <w:tab w:leader="none" w:pos="1900"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for violation of the federal, or any state, constitution;</w:t>
      </w:r>
    </w:p>
    <w:p>
      <w:pPr>
        <w:spacing w:after="0" w:line="191" w:lineRule="exact"/>
        <w:rPr>
          <w:rFonts w:ascii="Times New Roman" w:cs="Times New Roman" w:eastAsia="Times New Roman" w:hAnsi="Times New Roman"/>
          <w:sz w:val="19"/>
          <w:szCs w:val="19"/>
          <w:color w:val="010000"/>
        </w:rPr>
      </w:pPr>
    </w:p>
    <w:p>
      <w:pPr>
        <w:ind w:left="1900" w:hanging="624"/>
        <w:spacing w:after="0"/>
        <w:tabs>
          <w:tab w:leader="none" w:pos="1900"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arising out of any other laws and regulations relating to employment or employment discrimination;</w:t>
      </w:r>
    </w:p>
    <w:p>
      <w:pPr>
        <w:spacing w:after="0" w:line="191" w:lineRule="exact"/>
        <w:rPr>
          <w:rFonts w:ascii="Times New Roman" w:cs="Times New Roman" w:eastAsia="Times New Roman" w:hAnsi="Times New Roman"/>
          <w:sz w:val="19"/>
          <w:szCs w:val="19"/>
          <w:color w:val="010000"/>
        </w:rPr>
      </w:pPr>
    </w:p>
    <w:p>
      <w:pPr>
        <w:ind w:right="520" w:firstLine="1276"/>
        <w:spacing w:after="0" w:line="241" w:lineRule="auto"/>
        <w:tabs>
          <w:tab w:leader="none" w:pos="1894"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claim for any loss, cost, damage, or expense arising out of any dispute over the non- withholding or other tax treatment of any of the proceeds received by Executive as a result of this Agreement; and</w:t>
      </w:r>
    </w:p>
    <w:p>
      <w:pPr>
        <w:spacing w:after="0" w:line="156" w:lineRule="exact"/>
        <w:rPr>
          <w:rFonts w:ascii="Times New Roman" w:cs="Times New Roman" w:eastAsia="Times New Roman" w:hAnsi="Times New Roman"/>
          <w:sz w:val="19"/>
          <w:szCs w:val="19"/>
          <w:color w:val="010000"/>
        </w:rPr>
      </w:pPr>
    </w:p>
    <w:p>
      <w:pPr>
        <w:ind w:left="1900" w:hanging="624"/>
        <w:spacing w:after="0"/>
        <w:tabs>
          <w:tab w:leader="none" w:pos="1900"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and all claims for attorneys’ fees and costs.</w:t>
      </w:r>
    </w:p>
    <w:p>
      <w:pPr>
        <w:spacing w:after="0" w:line="18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 xml:space="preserve">Executive agrees that the release set forth in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will be and remain in effect in all respects as a complete general release as to the matters released. The Release does not extend to any severance obligations due Executive under the Severance Agreement. The</w:t>
      </w:r>
    </w:p>
    <w:p>
      <w:pPr>
        <w:spacing w:after="0" w:line="218" w:lineRule="auto"/>
        <w:rPr>
          <w:sz w:val="20"/>
          <w:szCs w:val="20"/>
          <w:color w:val="auto"/>
        </w:rPr>
      </w:pPr>
      <w:r>
        <w:rPr>
          <w:rFonts w:ascii="Times New Roman" w:cs="Times New Roman" w:eastAsia="Times New Roman" w:hAnsi="Times New Roman"/>
          <w:sz w:val="19"/>
          <w:szCs w:val="19"/>
          <w:color w:val="auto"/>
        </w:rPr>
        <w:t>Release does not release claims that cannot be released as a matter of law. Executive represents that Executive has made no assignment or</w:t>
      </w:r>
    </w:p>
    <w:p>
      <w:pPr>
        <w:ind w:right="80"/>
        <w:spacing w:after="0" w:line="210" w:lineRule="auto"/>
        <w:rPr>
          <w:sz w:val="20"/>
          <w:szCs w:val="20"/>
          <w:color w:val="auto"/>
        </w:rPr>
      </w:pPr>
      <w:r>
        <w:rPr>
          <w:rFonts w:ascii="Times New Roman" w:cs="Times New Roman" w:eastAsia="Times New Roman" w:hAnsi="Times New Roman"/>
          <w:sz w:val="19"/>
          <w:szCs w:val="19"/>
          <w:color w:val="auto"/>
        </w:rPr>
        <w:t>transfer of any right, claim, complaint, charge, duty, obligation, demand, cause of action, or other matter waived or released by this Section 3. Nothing in this Agreement waives Executive’s rights to indemnification or any payments under any fiduciary insurance policy, if any, provided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any act or agreement of the Company, state or federal law or policy of insurance.</w:t>
      </w:r>
    </w:p>
    <w:p>
      <w:pPr>
        <w:spacing w:after="0" w:line="170" w:lineRule="exact"/>
        <w:rPr>
          <w:sz w:val="20"/>
          <w:szCs w:val="20"/>
          <w:color w:val="auto"/>
        </w:rPr>
      </w:pPr>
    </w:p>
    <w:p>
      <w:pPr>
        <w:ind w:right="80" w:firstLine="641"/>
        <w:spacing w:after="0" w:line="229" w:lineRule="auto"/>
        <w:tabs>
          <w:tab w:leader="none" w:pos="975"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Rights</w:t>
      </w:r>
      <w:r>
        <w:rPr>
          <w:rFonts w:ascii="Times New Roman" w:cs="Times New Roman" w:eastAsia="Times New Roman" w:hAnsi="Times New Roman"/>
          <w:sz w:val="19"/>
          <w:szCs w:val="19"/>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19"/>
          <w:szCs w:val="19"/>
          <w:b w:val="1"/>
          <w:bCs w:val="1"/>
          <w:i w:val="1"/>
          <w:iCs w:val="1"/>
          <w:color w:val="auto"/>
        </w:rPr>
        <w:t>Government Agencies</w:t>
      </w:r>
      <w:r>
        <w:rPr>
          <w:rFonts w:ascii="Times New Roman" w:cs="Times New Roman" w:eastAsia="Times New Roman" w:hAnsi="Times New Roman"/>
          <w:sz w:val="19"/>
          <w:szCs w:val="19"/>
          <w:color w:val="auto"/>
        </w:rPr>
        <w:t>”). Executive further understands that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16808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36" w:lineRule="exact"/>
        <w:rPr>
          <w:sz w:val="20"/>
          <w:szCs w:val="20"/>
          <w:color w:val="auto"/>
        </w:rPr>
      </w:pPr>
    </w:p>
    <w:p>
      <w:pPr>
        <w:ind w:right="120" w:firstLine="6"/>
        <w:spacing w:after="0" w:line="210" w:lineRule="auto"/>
        <w:tabs>
          <w:tab w:leader="none" w:pos="101"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11200"/>
          </w:cols>
          <w:pgMar w:left="320" w:top="1374"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9"/>
          <w:szCs w:val="19"/>
          <w:color w:val="auto"/>
        </w:rPr>
        <w:t>does not limit Executive’s ability to communicate with any Government Agencies or otherwise participate in any investigation or proceeding</w:t>
      </w:r>
    </w:p>
    <w:p>
      <w:pPr>
        <w:spacing w:after="0" w:line="2"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9"/>
          <w:szCs w:val="19"/>
          <w:color w:val="auto"/>
        </w:rPr>
        <w:t>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58" w:lineRule="exact"/>
        <w:rPr>
          <w:sz w:val="20"/>
          <w:szCs w:val="20"/>
          <w:color w:val="auto"/>
        </w:rPr>
      </w:pPr>
    </w:p>
    <w:p>
      <w:pPr>
        <w:ind w:firstLine="641"/>
        <w:spacing w:after="0" w:line="217" w:lineRule="auto"/>
        <w:tabs>
          <w:tab w:leader="none" w:pos="975"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Acknowledgment of Waiver of Claims under ADEA</w:t>
      </w:r>
      <w:r>
        <w:rPr>
          <w:rFonts w:ascii="Times New Roman" w:cs="Times New Roman" w:eastAsia="Times New Roman" w:hAnsi="Times New Roman"/>
          <w:sz w:val="19"/>
          <w:szCs w:val="19"/>
          <w:color w:val="auto"/>
        </w:rPr>
        <w:t>. Executive acknowledges that Executive is waiving and releasing any rights Executive may have under the Age Discrimination in Employment Act of 1967 (“</w:t>
      </w:r>
      <w:r>
        <w:rPr>
          <w:rFonts w:ascii="Times New Roman" w:cs="Times New Roman" w:eastAsia="Times New Roman" w:hAnsi="Times New Roman"/>
          <w:sz w:val="19"/>
          <w:szCs w:val="19"/>
          <w:b w:val="1"/>
          <w:bCs w:val="1"/>
          <w:i w:val="1"/>
          <w:iCs w:val="1"/>
          <w:color w:val="auto"/>
        </w:rPr>
        <w:t>ADEA</w:t>
      </w:r>
      <w:r>
        <w:rPr>
          <w:rFonts w:ascii="Times New Roman" w:cs="Times New Roman" w:eastAsia="Times New Roman" w:hAnsi="Times New Roman"/>
          <w:sz w:val="19"/>
          <w:szCs w:val="19"/>
          <w:color w:val="auto"/>
        </w:rPr>
        <w:t>”)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w:t>
      </w:r>
    </w:p>
    <w:p>
      <w:pPr>
        <w:ind w:left="260" w:hanging="254"/>
        <w:spacing w:after="0" w:line="218" w:lineRule="auto"/>
        <w:tabs>
          <w:tab w:leader="none" w:pos="26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Executive should consult with an attorney </w:t>
      </w:r>
      <w:r>
        <w:rPr>
          <w:rFonts w:ascii="Times New Roman" w:cs="Times New Roman" w:eastAsia="Times New Roman" w:hAnsi="Times New Roman"/>
          <w:sz w:val="19"/>
          <w:szCs w:val="19"/>
          <w:b w:val="1"/>
          <w:bCs w:val="1"/>
          <w:i w:val="1"/>
          <w:iCs w:val="1"/>
          <w:color w:val="auto"/>
        </w:rPr>
        <w:t>prior</w:t>
      </w:r>
      <w:r>
        <w:rPr>
          <w:rFonts w:ascii="Times New Roman" w:cs="Times New Roman" w:eastAsia="Times New Roman" w:hAnsi="Times New Roman"/>
          <w:sz w:val="19"/>
          <w:szCs w:val="19"/>
          <w:color w:val="auto"/>
        </w:rPr>
        <w:t xml:space="preserve"> to executing this Agreement; (b) Executive has at least 21 days within which to consider this</w:t>
      </w:r>
    </w:p>
    <w:p>
      <w:pPr>
        <w:spacing w:after="0" w:line="218" w:lineRule="auto"/>
        <w:rPr>
          <w:sz w:val="20"/>
          <w:szCs w:val="20"/>
          <w:color w:val="auto"/>
        </w:rPr>
      </w:pPr>
      <w:r>
        <w:rPr>
          <w:rFonts w:ascii="Times New Roman" w:cs="Times New Roman" w:eastAsia="Times New Roman" w:hAnsi="Times New Roman"/>
          <w:sz w:val="19"/>
          <w:szCs w:val="19"/>
          <w:color w:val="auto"/>
        </w:rPr>
        <w:t>Agreement; (c) Executive has 7 days following the execution of this Agreement by the parties to revoke the Agreement; (d) this Agreement will</w:t>
      </w:r>
    </w:p>
    <w:p>
      <w:pPr>
        <w:ind w:right="140"/>
        <w:spacing w:after="0" w:line="210" w:lineRule="auto"/>
        <w:rPr>
          <w:sz w:val="20"/>
          <w:szCs w:val="20"/>
          <w:color w:val="auto"/>
        </w:rPr>
      </w:pPr>
      <w:r>
        <w:rPr>
          <w:rFonts w:ascii="Times New Roman" w:cs="Times New Roman" w:eastAsia="Times New Roman" w:hAnsi="Times New Roman"/>
          <w:sz w:val="19"/>
          <w:szCs w:val="19"/>
          <w:color w:val="auto"/>
        </w:rPr>
        <w:t>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w:t>
      </w:r>
    </w:p>
    <w:p>
      <w:pPr>
        <w:spacing w:after="0" w:line="219" w:lineRule="auto"/>
        <w:rPr>
          <w:sz w:val="20"/>
          <w:szCs w:val="20"/>
          <w:color w:val="auto"/>
        </w:rPr>
      </w:pPr>
      <w:r>
        <w:rPr>
          <w:rFonts w:ascii="Times New Roman" w:cs="Times New Roman" w:eastAsia="Times New Roman" w:hAnsi="Times New Roman"/>
          <w:sz w:val="19"/>
          <w:szCs w:val="19"/>
          <w:color w:val="auto"/>
        </w:rPr>
        <w:t>costs for doing so, unless specifically authorized by federal law. In the event Executive signs this Agreement and delivers it to the Company in</w:t>
      </w:r>
    </w:p>
    <w:p>
      <w:pPr>
        <w:spacing w:after="0" w:line="1" w:lineRule="exact"/>
        <w:rPr>
          <w:sz w:val="20"/>
          <w:szCs w:val="20"/>
          <w:color w:val="auto"/>
        </w:rPr>
      </w:pPr>
    </w:p>
    <w:p>
      <w:pPr>
        <w:ind w:right="60"/>
        <w:spacing w:after="0" w:line="207" w:lineRule="auto"/>
        <w:rPr>
          <w:sz w:val="20"/>
          <w:szCs w:val="20"/>
          <w:color w:val="auto"/>
        </w:rPr>
      </w:pPr>
      <w:r>
        <w:rPr>
          <w:rFonts w:ascii="Times New Roman" w:cs="Times New Roman" w:eastAsia="Times New Roman" w:hAnsi="Times New Roman"/>
          <w:sz w:val="19"/>
          <w:szCs w:val="19"/>
          <w:color w:val="auto"/>
        </w:rPr>
        <w:t>less than the 21-day period identified above, Executive hereby acknowledges that Executive has freely and voluntarily chosen to waive the time period allotted for considering this Agreement. Executive acknowledges and understands that revocation must be accomplished by a written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notification to the Chief Executive Officer of the Company that is received prior to the Effective Date.]</w:t>
      </w:r>
      <w:r>
        <w:rPr>
          <w:rFonts w:ascii="Times New Roman" w:cs="Times New Roman" w:eastAsia="Times New Roman" w:hAnsi="Times New Roman"/>
          <w:sz w:val="25"/>
          <w:szCs w:val="25"/>
          <w:color w:val="auto"/>
          <w:vertAlign w:val="superscript"/>
        </w:rPr>
        <w:t>2</w:t>
      </w:r>
    </w:p>
    <w:p>
      <w:pPr>
        <w:spacing w:after="0" w:line="106" w:lineRule="exact"/>
        <w:rPr>
          <w:sz w:val="20"/>
          <w:szCs w:val="20"/>
          <w:color w:val="auto"/>
        </w:rPr>
      </w:pPr>
    </w:p>
    <w:p>
      <w:pPr>
        <w:ind w:right="120" w:firstLine="641"/>
        <w:spacing w:after="0" w:line="233" w:lineRule="auto"/>
        <w:tabs>
          <w:tab w:leader="none" w:pos="975"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California Civil Code Section 1542</w:t>
      </w:r>
      <w:r>
        <w:rPr>
          <w:rFonts w:ascii="Times New Roman" w:cs="Times New Roman" w:eastAsia="Times New Roman" w:hAnsi="Times New Roman"/>
          <w:sz w:val="19"/>
          <w:szCs w:val="19"/>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45" w:lineRule="exact"/>
        <w:rPr>
          <w:sz w:val="20"/>
          <w:szCs w:val="20"/>
          <w:color w:val="auto"/>
        </w:rPr>
      </w:pPr>
    </w:p>
    <w:p>
      <w:pPr>
        <w:ind w:left="1280" w:right="60"/>
        <w:spacing w:after="0" w:line="237" w:lineRule="auto"/>
        <w:rPr>
          <w:sz w:val="20"/>
          <w:szCs w:val="20"/>
          <w:color w:val="auto"/>
        </w:rPr>
      </w:pPr>
      <w:r>
        <w:rPr>
          <w:rFonts w:ascii="Times New Roman" w:cs="Times New Roman" w:eastAsia="Times New Roman" w:hAnsi="Times New Roman"/>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color w:val="auto"/>
        </w:rPr>
        <w:t>Executive, being aware of California Civil Code Section 1542, agrees to expressly waive any rights Executive may have thereunder, as well as under any other statute or common law principles of similar effect.</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i w:val="1"/>
          <w:iCs w:val="1"/>
          <w:color w:val="auto"/>
        </w:rPr>
        <w:t>OR</w:t>
      </w:r>
    </w:p>
    <w:p>
      <w:pPr>
        <w:spacing w:after="0" w:line="183"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9"/>
          <w:szCs w:val="19"/>
          <w:u w:val="single" w:color="auto"/>
          <w:color w:val="auto"/>
        </w:rPr>
        <w:t>Unknown Claims</w:t>
      </w:r>
      <w:r>
        <w:rPr>
          <w:rFonts w:ascii="Times New Roman" w:cs="Times New Roman" w:eastAsia="Times New Roman" w:hAnsi="Times New Roman"/>
          <w:sz w:val="19"/>
          <w:szCs w:val="19"/>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w:t>
      </w:r>
    </w:p>
    <w:p>
      <w:pPr>
        <w:spacing w:after="0" w:line="207" w:lineRule="auto"/>
        <w:rPr>
          <w:sz w:val="20"/>
          <w:szCs w:val="20"/>
          <w:color w:val="auto"/>
        </w:rPr>
      </w:pPr>
      <w:r>
        <w:rPr>
          <w:rFonts w:ascii="Times New Roman" w:cs="Times New Roman" w:eastAsia="Times New Roman" w:hAnsi="Times New Roman"/>
          <w:sz w:val="19"/>
          <w:szCs w:val="19"/>
          <w:color w:val="auto"/>
        </w:rPr>
        <w:t>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principles of similar effect.]</w:t>
      </w:r>
      <w:r>
        <w:rPr>
          <w:rFonts w:ascii="Times New Roman" w:cs="Times New Roman" w:eastAsia="Times New Roman" w:hAnsi="Times New Roman"/>
          <w:sz w:val="25"/>
          <w:szCs w:val="25"/>
          <w:color w:val="auto"/>
          <w:vertAlign w:val="superscript"/>
        </w:rPr>
        <w:t>3</w:t>
      </w:r>
    </w:p>
    <w:p>
      <w:pPr>
        <w:spacing w:after="0" w:line="106" w:lineRule="exact"/>
        <w:rPr>
          <w:sz w:val="20"/>
          <w:szCs w:val="20"/>
          <w:color w:val="auto"/>
        </w:rPr>
      </w:pPr>
    </w:p>
    <w:p>
      <w:pPr>
        <w:ind w:right="280" w:firstLine="641"/>
        <w:spacing w:after="0" w:line="233" w:lineRule="auto"/>
        <w:tabs>
          <w:tab w:leader="none" w:pos="975"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Pending or Future Lawsuits</w:t>
      </w:r>
      <w:r>
        <w:rPr>
          <w:rFonts w:ascii="Times New Roman" w:cs="Times New Roman" w:eastAsia="Times New Roman" w:hAnsi="Times New Roman"/>
          <w:sz w:val="19"/>
          <w:szCs w:val="19"/>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16808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165" w:lineRule="exact"/>
        <w:rPr>
          <w:sz w:val="20"/>
          <w:szCs w:val="20"/>
          <w:color w:val="auto"/>
        </w:rPr>
      </w:pPr>
    </w:p>
    <w:p>
      <w:pPr>
        <w:ind w:left="100" w:hanging="94"/>
        <w:spacing w:after="0"/>
        <w:tabs>
          <w:tab w:leader="none" w:pos="100"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provision will only be included in this Agreement if Executive is age 40 or older at the time Executive’s employment relationship is terminated.</w:t>
      </w:r>
    </w:p>
    <w:p>
      <w:pPr>
        <w:ind w:right="120" w:firstLine="6"/>
        <w:spacing w:after="0" w:line="199" w:lineRule="auto"/>
        <w:tabs>
          <w:tab w:leader="none" w:pos="101"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Executive resides in California at the time Executive’s employment relationship is terminated, the first provision - “</w:t>
      </w:r>
      <w:r>
        <w:rPr>
          <w:rFonts w:ascii="Times New Roman" w:cs="Times New Roman" w:eastAsia="Times New Roman" w:hAnsi="Times New Roman"/>
          <w:sz w:val="18"/>
          <w:szCs w:val="18"/>
          <w:i w:val="1"/>
          <w:iCs w:val="1"/>
          <w:color w:val="auto"/>
        </w:rPr>
        <w:t>California Civil Code Section 1542</w:t>
      </w:r>
      <w:r>
        <w:rPr>
          <w:rFonts w:ascii="Times New Roman" w:cs="Times New Roman" w:eastAsia="Times New Roman" w:hAnsi="Times New Roman"/>
          <w:sz w:val="18"/>
          <w:szCs w:val="18"/>
          <w:color w:val="auto"/>
        </w:rPr>
        <w:t>” - will be included in this Agreement, otherwise the second provision - “</w:t>
      </w:r>
      <w:r>
        <w:rPr>
          <w:rFonts w:ascii="Times New Roman" w:cs="Times New Roman" w:eastAsia="Times New Roman" w:hAnsi="Times New Roman"/>
          <w:sz w:val="18"/>
          <w:szCs w:val="18"/>
          <w:i w:val="1"/>
          <w:iCs w:val="1"/>
          <w:color w:val="auto"/>
        </w:rPr>
        <w:t>Unknown Claims</w:t>
      </w:r>
      <w:r>
        <w:rPr>
          <w:rFonts w:ascii="Times New Roman" w:cs="Times New Roman" w:eastAsia="Times New Roman" w:hAnsi="Times New Roman"/>
          <w:sz w:val="18"/>
          <w:szCs w:val="18"/>
          <w:color w:val="auto"/>
        </w:rPr>
        <w:t>” - will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A-3</w:t>
      </w:r>
    </w:p>
    <w:p>
      <w:pPr>
        <w:sectPr>
          <w:pgSz w:w="11900" w:h="16838" w:orient="portrait"/>
          <w:cols w:equalWidth="0" w:num="1">
            <w:col w:w="11240"/>
          </w:cols>
          <w:pgMar w:left="320" w:top="137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9"/>
          <w:szCs w:val="19"/>
          <w:color w:val="auto"/>
        </w:rPr>
        <w:t>any claims on Executive’s own behalf or on behalf of any other person or entity against the Company or any of the other Releasees.</w:t>
      </w:r>
    </w:p>
    <w:p>
      <w:pPr>
        <w:spacing w:after="0" w:line="192" w:lineRule="exact"/>
        <w:rPr>
          <w:sz w:val="20"/>
          <w:szCs w:val="20"/>
          <w:color w:val="auto"/>
        </w:rPr>
      </w:pPr>
    </w:p>
    <w:p>
      <w:pPr>
        <w:ind w:right="820" w:firstLine="641"/>
        <w:spacing w:after="0" w:line="241" w:lineRule="auto"/>
        <w:tabs>
          <w:tab w:leader="none" w:pos="975"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Sufficiency of Consideration</w:t>
      </w:r>
      <w:r>
        <w:rPr>
          <w:rFonts w:ascii="Times New Roman" w:cs="Times New Roman" w:eastAsia="Times New Roman" w:hAnsi="Times New Roman"/>
          <w:sz w:val="19"/>
          <w:szCs w:val="19"/>
          <w:color w:val="auto"/>
        </w:rPr>
        <w:t>. Executive hereby acknowledges and agrees that Executive has received good and sufficient consideration for every promise, duty, release, obligation, agreement and right contained in this Release.</w:t>
      </w:r>
    </w:p>
    <w:p>
      <w:pPr>
        <w:spacing w:after="0" w:line="156" w:lineRule="exact"/>
        <w:rPr>
          <w:rFonts w:ascii="Times New Roman" w:cs="Times New Roman" w:eastAsia="Times New Roman" w:hAnsi="Times New Roman"/>
          <w:sz w:val="19"/>
          <w:szCs w:val="19"/>
          <w:color w:val="auto"/>
        </w:rPr>
      </w:pPr>
    </w:p>
    <w:p>
      <w:pPr>
        <w:ind w:right="80" w:firstLine="641"/>
        <w:spacing w:after="0" w:line="223" w:lineRule="auto"/>
        <w:tabs>
          <w:tab w:leader="none" w:pos="975"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58" w:lineRule="exact"/>
        <w:rPr>
          <w:rFonts w:ascii="Times New Roman" w:cs="Times New Roman" w:eastAsia="Times New Roman" w:hAnsi="Times New Roman"/>
          <w:sz w:val="19"/>
          <w:szCs w:val="19"/>
          <w:color w:val="auto"/>
        </w:rPr>
      </w:pPr>
    </w:p>
    <w:p>
      <w:pPr>
        <w:ind w:right="140" w:firstLine="641"/>
        <w:spacing w:after="0" w:line="221" w:lineRule="auto"/>
        <w:tabs>
          <w:tab w:leader="none" w:pos="107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 Passwords and Password-protected Documents</w:t>
      </w:r>
      <w:r>
        <w:rPr>
          <w:rFonts w:ascii="Times New Roman" w:cs="Times New Roman" w:eastAsia="Times New Roman" w:hAnsi="Times New Roman"/>
          <w:sz w:val="19"/>
          <w:szCs w:val="19"/>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50" w:lineRule="exact"/>
        <w:rPr>
          <w:rFonts w:ascii="Times New Roman" w:cs="Times New Roman" w:eastAsia="Times New Roman" w:hAnsi="Times New Roman"/>
          <w:sz w:val="19"/>
          <w:szCs w:val="19"/>
          <w:color w:val="auto"/>
        </w:rPr>
      </w:pPr>
    </w:p>
    <w:p>
      <w:pPr>
        <w:ind w:right="80" w:firstLine="641"/>
        <w:spacing w:after="0" w:line="227" w:lineRule="auto"/>
        <w:tabs>
          <w:tab w:leader="none" w:pos="106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Cooperation</w:t>
      </w:r>
      <w:r>
        <w:rPr>
          <w:rFonts w:ascii="Times New Roman" w:cs="Times New Roman" w:eastAsia="Times New Roman" w:hAnsi="Times New Roman"/>
          <w:sz w:val="19"/>
          <w:szCs w:val="19"/>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44" w:lineRule="exact"/>
        <w:rPr>
          <w:rFonts w:ascii="Times New Roman" w:cs="Times New Roman" w:eastAsia="Times New Roman" w:hAnsi="Times New Roman"/>
          <w:sz w:val="19"/>
          <w:szCs w:val="19"/>
          <w:color w:val="auto"/>
        </w:rPr>
      </w:pPr>
    </w:p>
    <w:p>
      <w:pPr>
        <w:ind w:right="440" w:firstLine="641"/>
        <w:spacing w:after="0" w:line="255" w:lineRule="auto"/>
        <w:tabs>
          <w:tab w:leader="none" w:pos="107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44" w:lineRule="exact"/>
        <w:rPr>
          <w:rFonts w:ascii="Times New Roman" w:cs="Times New Roman" w:eastAsia="Times New Roman" w:hAnsi="Times New Roman"/>
          <w:sz w:val="19"/>
          <w:szCs w:val="19"/>
          <w:color w:val="auto"/>
        </w:rPr>
      </w:pPr>
    </w:p>
    <w:p>
      <w:pPr>
        <w:ind w:firstLine="641"/>
        <w:spacing w:after="0" w:line="229" w:lineRule="auto"/>
        <w:tabs>
          <w:tab w:leader="none" w:pos="107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Admission of Liability</w:t>
      </w:r>
      <w:r>
        <w:rPr>
          <w:rFonts w:ascii="Times New Roman" w:cs="Times New Roman" w:eastAsia="Times New Roman" w:hAnsi="Times New Roman"/>
          <w:sz w:val="19"/>
          <w:szCs w:val="19"/>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45" w:lineRule="exact"/>
        <w:rPr>
          <w:rFonts w:ascii="Times New Roman" w:cs="Times New Roman" w:eastAsia="Times New Roman" w:hAnsi="Times New Roman"/>
          <w:sz w:val="19"/>
          <w:szCs w:val="19"/>
          <w:color w:val="auto"/>
        </w:rPr>
      </w:pPr>
    </w:p>
    <w:p>
      <w:pPr>
        <w:ind w:right="120" w:firstLine="641"/>
        <w:spacing w:after="0" w:line="229" w:lineRule="auto"/>
        <w:tabs>
          <w:tab w:leader="none" w:pos="107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Solicitation of Employees</w:t>
      </w:r>
      <w:r>
        <w:rPr>
          <w:rFonts w:ascii="Times New Roman" w:cs="Times New Roman" w:eastAsia="Times New Roman" w:hAnsi="Times New Roman"/>
          <w:sz w:val="19"/>
          <w:szCs w:val="19"/>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58" w:lineRule="exact"/>
        <w:rPr>
          <w:rFonts w:ascii="Times New Roman" w:cs="Times New Roman" w:eastAsia="Times New Roman" w:hAnsi="Times New Roman"/>
          <w:sz w:val="19"/>
          <w:szCs w:val="19"/>
          <w:color w:val="auto"/>
        </w:rPr>
      </w:pPr>
    </w:p>
    <w:p>
      <w:pPr>
        <w:ind w:left="1080" w:hanging="439"/>
        <w:spacing w:after="0"/>
        <w:tabs>
          <w:tab w:leader="none" w:pos="108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w:t>
      </w:r>
      <w:r>
        <w:rPr>
          <w:rFonts w:ascii="Times New Roman" w:cs="Times New Roman" w:eastAsia="Times New Roman" w:hAnsi="Times New Roman"/>
          <w:sz w:val="19"/>
          <w:szCs w:val="19"/>
          <w:color w:val="auto"/>
        </w:rPr>
        <w:t>. The Parties will each bear their own costs, attorneys’ fees and other fees incurred in connection with the preparation of this</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A-4</w:t>
      </w:r>
    </w:p>
    <w:p>
      <w:pPr>
        <w:sectPr>
          <w:pgSz w:w="11900" w:h="16838" w:orient="portrait"/>
          <w:cols w:equalWidth="0" w:num="1">
            <w:col w:w="11220"/>
          </w:cols>
          <w:pgMar w:left="320" w:top="1374" w:right="359" w:bottom="1440" w:gutter="0" w:footer="0" w:header="0"/>
        </w:sectPr>
      </w:pPr>
    </w:p>
    <w:bookmarkStart w:id="143" w:name="page144"/>
    <w:bookmarkEnd w:id="143"/>
    <w:p>
      <w:pPr>
        <w:ind w:right="40" w:firstLine="641"/>
        <w:spacing w:after="0" w:line="217" w:lineRule="auto"/>
        <w:tabs>
          <w:tab w:leader="none" w:pos="107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EMPLOYMENT ARBITRATION RULES &amp; PROCEDURES (“</w:t>
      </w:r>
      <w:r>
        <w:rPr>
          <w:rFonts w:ascii="Times New Roman" w:cs="Times New Roman" w:eastAsia="Times New Roman" w:hAnsi="Times New Roman"/>
          <w:sz w:val="19"/>
          <w:szCs w:val="19"/>
          <w:b w:val="1"/>
          <w:bCs w:val="1"/>
          <w:i w:val="1"/>
          <w:iCs w:val="1"/>
          <w:color w:val="auto"/>
        </w:rPr>
        <w:t>JAMS RULES</w:t>
      </w:r>
      <w:r>
        <w:rPr>
          <w:rFonts w:ascii="Times New Roman" w:cs="Times New Roman" w:eastAsia="Times New Roman" w:hAnsi="Times New Roman"/>
          <w:sz w:val="19"/>
          <w:szCs w:val="19"/>
          <w:color w:val="auto"/>
        </w:rPr>
        <w:t xml:space="preserve">”).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 </w:t>
      </w:r>
      <w:r>
        <w:rPr>
          <w:rFonts w:ascii="Times New Roman" w:cs="Times New Roman" w:eastAsia="Times New Roman" w:hAnsi="Times New Roman"/>
          <w:sz w:val="25"/>
          <w:szCs w:val="25"/>
          <w:color w:val="auto"/>
          <w:vertAlign w:val="superscript"/>
        </w:rPr>
        <w:t>4</w:t>
      </w:r>
    </w:p>
    <w:p>
      <w:pPr>
        <w:spacing w:after="0" w:line="65" w:lineRule="exact"/>
        <w:rPr>
          <w:rFonts w:ascii="Times New Roman" w:cs="Times New Roman" w:eastAsia="Times New Roman" w:hAnsi="Times New Roman"/>
          <w:sz w:val="19"/>
          <w:szCs w:val="19"/>
          <w:color w:val="auto"/>
        </w:rPr>
      </w:pPr>
    </w:p>
    <w:p>
      <w:pPr>
        <w:ind w:right="100" w:firstLine="641"/>
        <w:spacing w:after="0" w:line="227" w:lineRule="auto"/>
        <w:tabs>
          <w:tab w:leader="none" w:pos="107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57" w:lineRule="exact"/>
        <w:rPr>
          <w:rFonts w:ascii="Times New Roman" w:cs="Times New Roman" w:eastAsia="Times New Roman" w:hAnsi="Times New Roman"/>
          <w:sz w:val="19"/>
          <w:szCs w:val="19"/>
          <w:color w:val="auto"/>
        </w:rPr>
      </w:pPr>
    </w:p>
    <w:p>
      <w:pPr>
        <w:ind w:firstLine="641"/>
        <w:spacing w:after="0" w:line="233" w:lineRule="auto"/>
        <w:tabs>
          <w:tab w:leader="none" w:pos="107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Representations</w:t>
      </w:r>
      <w:r>
        <w:rPr>
          <w:rFonts w:ascii="Times New Roman" w:cs="Times New Roman" w:eastAsia="Times New Roman" w:hAnsi="Times New Roman"/>
          <w:sz w:val="19"/>
          <w:szCs w:val="19"/>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57" w:lineRule="exact"/>
        <w:rPr>
          <w:rFonts w:ascii="Times New Roman" w:cs="Times New Roman" w:eastAsia="Times New Roman" w:hAnsi="Times New Roman"/>
          <w:sz w:val="19"/>
          <w:szCs w:val="19"/>
          <w:color w:val="auto"/>
        </w:rPr>
      </w:pPr>
    </w:p>
    <w:p>
      <w:pPr>
        <w:ind w:right="80" w:firstLine="641"/>
        <w:spacing w:after="0" w:line="233" w:lineRule="auto"/>
        <w:tabs>
          <w:tab w:leader="none" w:pos="107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57" w:lineRule="exact"/>
        <w:rPr>
          <w:rFonts w:ascii="Times New Roman" w:cs="Times New Roman" w:eastAsia="Times New Roman" w:hAnsi="Times New Roman"/>
          <w:sz w:val="19"/>
          <w:szCs w:val="19"/>
          <w:color w:val="auto"/>
        </w:rPr>
      </w:pPr>
    </w:p>
    <w:p>
      <w:pPr>
        <w:ind w:right="100" w:firstLine="641"/>
        <w:spacing w:after="0" w:line="229" w:lineRule="auto"/>
        <w:tabs>
          <w:tab w:leader="none" w:pos="107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1680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36" w:lineRule="exact"/>
        <w:rPr>
          <w:sz w:val="20"/>
          <w:szCs w:val="20"/>
          <w:color w:val="auto"/>
        </w:rPr>
      </w:pPr>
    </w:p>
    <w:p>
      <w:pPr>
        <w:ind w:right="560" w:firstLine="6"/>
        <w:spacing w:after="0" w:line="210" w:lineRule="auto"/>
        <w:tabs>
          <w:tab w:leader="none" w:pos="101" w:val="left"/>
        </w:tabs>
        <w:numPr>
          <w:ilvl w:val="0"/>
          <w:numId w:val="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References to California will only be included in this Agreement if Executive resides in California at the time Executive’s employment relationship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A-5</w:t>
      </w:r>
    </w:p>
    <w:p>
      <w:pPr>
        <w:sectPr>
          <w:pgSz w:w="11900" w:h="16838" w:orient="portrait"/>
          <w:cols w:equalWidth="0" w:num="1">
            <w:col w:w="11240"/>
          </w:cols>
          <w:pgMar w:left="320" w:top="137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color w:val="auto"/>
        </w:rPr>
        <w:t>the Severance Agreement, the Confidentiality Agreement, and Executive’s written equity compensation agreements with the Company.</w:t>
      </w:r>
    </w:p>
    <w:p>
      <w:pPr>
        <w:spacing w:after="0" w:line="192" w:lineRule="exact"/>
        <w:rPr>
          <w:sz w:val="20"/>
          <w:szCs w:val="20"/>
          <w:color w:val="auto"/>
        </w:rPr>
      </w:pPr>
    </w:p>
    <w:p>
      <w:pPr>
        <w:ind w:right="280" w:firstLine="641"/>
        <w:spacing w:after="0" w:line="241" w:lineRule="auto"/>
        <w:tabs>
          <w:tab w:leader="none" w:pos="107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Oral Modification</w:t>
      </w:r>
      <w:r>
        <w:rPr>
          <w:rFonts w:ascii="Times New Roman" w:cs="Times New Roman" w:eastAsia="Times New Roman" w:hAnsi="Times New Roman"/>
          <w:sz w:val="19"/>
          <w:szCs w:val="19"/>
          <w:color w:val="auto"/>
        </w:rPr>
        <w:t>. This Agreement may only be amended in writing signed by Executive and the Chairman of the Board of Directors of the Company.</w:t>
      </w:r>
    </w:p>
    <w:p>
      <w:pPr>
        <w:spacing w:after="0" w:line="156" w:lineRule="exact"/>
        <w:rPr>
          <w:rFonts w:ascii="Times New Roman" w:cs="Times New Roman" w:eastAsia="Times New Roman" w:hAnsi="Times New Roman"/>
          <w:sz w:val="19"/>
          <w:szCs w:val="19"/>
          <w:color w:val="auto"/>
        </w:rPr>
      </w:pPr>
    </w:p>
    <w:p>
      <w:pPr>
        <w:ind w:right="700" w:firstLine="641"/>
        <w:spacing w:after="0" w:line="263" w:lineRule="auto"/>
        <w:tabs>
          <w:tab w:leader="none" w:pos="107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This Agreement will be governed by the laws of the State of California, without regard for choice-of-law provisions. Executive consents to personal and exclusive jurisdiction and venue in the State of California. </w:t>
      </w:r>
      <w:r>
        <w:rPr>
          <w:rFonts w:ascii="Times New Roman" w:cs="Times New Roman" w:eastAsia="Times New Roman" w:hAnsi="Times New Roman"/>
          <w:sz w:val="25"/>
          <w:szCs w:val="25"/>
          <w:color w:val="auto"/>
          <w:vertAlign w:val="superscript"/>
        </w:rPr>
        <w:t>5</w:t>
      </w:r>
    </w:p>
    <w:p>
      <w:pPr>
        <w:spacing w:after="0" w:line="41" w:lineRule="exact"/>
        <w:rPr>
          <w:rFonts w:ascii="Times New Roman" w:cs="Times New Roman" w:eastAsia="Times New Roman" w:hAnsi="Times New Roman"/>
          <w:sz w:val="19"/>
          <w:szCs w:val="19"/>
          <w:color w:val="auto"/>
        </w:rPr>
      </w:pPr>
    </w:p>
    <w:p>
      <w:pPr>
        <w:ind w:right="120" w:firstLine="641"/>
        <w:spacing w:after="0" w:line="217" w:lineRule="auto"/>
        <w:tabs>
          <w:tab w:leader="none" w:pos="107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day after Executive signed this Agreement, so long as it has been signed by the Parties and has not been revoked by either Party before that date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OR</w:t>
      </w:r>
      <w:r>
        <w:rPr>
          <w:rFonts w:ascii="Times New Roman" w:cs="Times New Roman" w:eastAsia="Times New Roman" w:hAnsi="Times New Roman"/>
          <w:sz w:val="19"/>
          <w:szCs w:val="19"/>
          <w:color w:val="auto"/>
        </w:rPr>
        <w:t xml:space="preserve"> [This Agreement will be effective after it has been signed or executed by both Parties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r>
        <w:rPr>
          <w:rFonts w:ascii="Times New Roman" w:cs="Times New Roman" w:eastAsia="Times New Roman" w:hAnsi="Times New Roman"/>
          <w:sz w:val="25"/>
          <w:szCs w:val="25"/>
          <w:color w:val="auto"/>
          <w:vertAlign w:val="superscript"/>
        </w:rPr>
        <w:t>7</w:t>
      </w:r>
    </w:p>
    <w:p>
      <w:pPr>
        <w:spacing w:after="0" w:line="77" w:lineRule="exact"/>
        <w:rPr>
          <w:rFonts w:ascii="Times New Roman" w:cs="Times New Roman" w:eastAsia="Times New Roman" w:hAnsi="Times New Roman"/>
          <w:sz w:val="19"/>
          <w:szCs w:val="19"/>
          <w:color w:val="auto"/>
        </w:rPr>
      </w:pPr>
    </w:p>
    <w:p>
      <w:pPr>
        <w:ind w:right="60" w:firstLine="641"/>
        <w:spacing w:after="0" w:line="255" w:lineRule="auto"/>
        <w:tabs>
          <w:tab w:leader="none" w:pos="107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31" w:lineRule="exact"/>
        <w:rPr>
          <w:rFonts w:ascii="Times New Roman" w:cs="Times New Roman" w:eastAsia="Times New Roman" w:hAnsi="Times New Roman"/>
          <w:sz w:val="19"/>
          <w:szCs w:val="19"/>
          <w:color w:val="auto"/>
        </w:rPr>
      </w:pPr>
    </w:p>
    <w:p>
      <w:pPr>
        <w:ind w:firstLine="641"/>
        <w:spacing w:after="0" w:line="237" w:lineRule="auto"/>
        <w:tabs>
          <w:tab w:leader="none" w:pos="107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46" w:lineRule="exact"/>
        <w:rPr>
          <w:rFonts w:ascii="Times New Roman" w:cs="Times New Roman" w:eastAsia="Times New Roman" w:hAnsi="Times New Roman"/>
          <w:sz w:val="19"/>
          <w:szCs w:val="19"/>
          <w:color w:val="auto"/>
        </w:rPr>
      </w:pPr>
    </w:p>
    <w:p>
      <w:pPr>
        <w:ind w:left="1680" w:hanging="404"/>
        <w:spacing w:after="0"/>
        <w:tabs>
          <w:tab w:leader="none" w:pos="168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read this Agreement;</w:t>
      </w:r>
    </w:p>
    <w:p>
      <w:pPr>
        <w:spacing w:after="0" w:line="191" w:lineRule="exact"/>
        <w:rPr>
          <w:rFonts w:ascii="Times New Roman" w:cs="Times New Roman" w:eastAsia="Times New Roman" w:hAnsi="Times New Roman"/>
          <w:sz w:val="19"/>
          <w:szCs w:val="19"/>
          <w:color w:val="auto"/>
        </w:rPr>
      </w:pPr>
    </w:p>
    <w:p>
      <w:pPr>
        <w:ind w:left="1920" w:right="580" w:hanging="644"/>
        <w:spacing w:after="0" w:line="255" w:lineRule="auto"/>
        <w:tabs>
          <w:tab w:leader="none" w:pos="1705"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been represented in the preparation, negotiation, and execution of this Agreement by legal counsel of Executive’s own choice or has elected not to retain legal counsel;</w:t>
      </w:r>
    </w:p>
    <w:p>
      <w:pPr>
        <w:spacing w:after="0" w:line="131" w:lineRule="exact"/>
        <w:rPr>
          <w:rFonts w:ascii="Times New Roman" w:cs="Times New Roman" w:eastAsia="Times New Roman" w:hAnsi="Times New Roman"/>
          <w:sz w:val="19"/>
          <w:szCs w:val="19"/>
          <w:color w:val="auto"/>
        </w:rPr>
      </w:pPr>
    </w:p>
    <w:p>
      <w:pPr>
        <w:ind w:left="1680" w:hanging="404"/>
        <w:spacing w:after="0"/>
        <w:tabs>
          <w:tab w:leader="none" w:pos="168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understands the terms and consequences of this Agreement and of the releases it contains; and</w:t>
      </w:r>
    </w:p>
    <w:p>
      <w:pPr>
        <w:spacing w:after="0" w:line="191" w:lineRule="exact"/>
        <w:rPr>
          <w:rFonts w:ascii="Times New Roman" w:cs="Times New Roman" w:eastAsia="Times New Roman" w:hAnsi="Times New Roman"/>
          <w:sz w:val="19"/>
          <w:szCs w:val="19"/>
          <w:color w:val="auto"/>
        </w:rPr>
      </w:pPr>
    </w:p>
    <w:p>
      <w:pPr>
        <w:ind w:left="1700" w:hanging="424"/>
        <w:spacing w:after="0"/>
        <w:tabs>
          <w:tab w:leader="none" w:pos="170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is fully aware of the legal and binding effect of this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 * * * *</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399415</wp:posOffset>
            </wp:positionV>
            <wp:extent cx="16808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60" w:firstLine="6"/>
        <w:spacing w:after="0" w:line="185" w:lineRule="auto"/>
        <w:tabs>
          <w:tab w:leader="none" w:pos="101" w:val="left"/>
        </w:tabs>
        <w:numPr>
          <w:ilvl w:val="0"/>
          <w:numId w:val="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References to California will only be included in this Agreement if Executive resides in California at the time Executive’s employment relationship is terminated.</w:t>
      </w:r>
    </w:p>
    <w:p>
      <w:pPr>
        <w:spacing w:after="0" w:line="184"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7"/>
          <w:szCs w:val="17"/>
          <w:color w:val="auto"/>
        </w:rPr>
        <w:t xml:space="preserve"> This provision will only be included in this Agreement if Executive is age 40 or older at the time Executive’s employment relationship is terminated.</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8"/>
          <w:szCs w:val="18"/>
          <w:color w:val="auto"/>
        </w:rPr>
        <w:t xml:space="preserve"> This provision will only be included in this Agreement if Executive is under the age of 40 at the time Executive’s employment relationship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A-6</w:t>
      </w:r>
    </w:p>
    <w:p>
      <w:pPr>
        <w:sectPr>
          <w:pgSz w:w="11900" w:h="16838" w:orient="portrait"/>
          <w:cols w:equalWidth="0" w:num="1">
            <w:col w:w="11240"/>
          </w:cols>
          <w:pgMar w:left="320" w:top="137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700" w:type="dxa"/>
        <w:tblCellMar>
          <w:top w:w="0" w:type="dxa"/>
          <w:left w:w="0" w:type="dxa"/>
          <w:bottom w:w="0" w:type="dxa"/>
          <w:right w:w="0" w:type="dxa"/>
        </w:tblCellMar>
      </w:tblPr>
      <w:tr>
        <w:trPr>
          <w:trHeight w:val="255"/>
        </w:trPr>
        <w:tc>
          <w:tcPr>
            <w:tcW w:w="28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COMPANY</w:t>
            </w:r>
          </w:p>
        </w:tc>
        <w:tc>
          <w:tcPr>
            <w:tcW w:w="7120" w:type="dxa"/>
            <w:vAlign w:val="bottom"/>
            <w:gridSpan w:val="2"/>
          </w:tcPr>
          <w:p>
            <w:pPr>
              <w:ind w:left="1620"/>
              <w:spacing w:after="0"/>
              <w:rPr>
                <w:sz w:val="20"/>
                <w:szCs w:val="20"/>
                <w:color w:val="auto"/>
              </w:rPr>
            </w:pPr>
            <w:r>
              <w:rPr>
                <w:rFonts w:ascii="Times New Roman" w:cs="Times New Roman" w:eastAsia="Times New Roman" w:hAnsi="Times New Roman"/>
                <w:sz w:val="19"/>
                <w:szCs w:val="19"/>
                <w:b w:val="1"/>
                <w:bCs w:val="1"/>
                <w:color w:val="auto"/>
              </w:rPr>
              <w:t>VERACYTE, INC.</w:t>
            </w:r>
          </w:p>
        </w:tc>
        <w:tc>
          <w:tcPr>
            <w:tcW w:w="0" w:type="dxa"/>
            <w:vAlign w:val="bottom"/>
          </w:tcPr>
          <w:p>
            <w:pPr>
              <w:spacing w:after="0"/>
              <w:rPr>
                <w:sz w:val="1"/>
                <w:szCs w:val="1"/>
                <w:color w:val="auto"/>
              </w:rPr>
            </w:pPr>
          </w:p>
        </w:tc>
      </w:tr>
      <w:tr>
        <w:trPr>
          <w:trHeight w:val="254"/>
        </w:trPr>
        <w:tc>
          <w:tcPr>
            <w:tcW w:w="2800" w:type="dxa"/>
            <w:vAlign w:val="bottom"/>
          </w:tcPr>
          <w:p>
            <w:pPr>
              <w:spacing w:after="0"/>
              <w:rPr>
                <w:sz w:val="22"/>
                <w:szCs w:val="22"/>
                <w:color w:val="auto"/>
              </w:rPr>
            </w:pPr>
          </w:p>
        </w:tc>
        <w:tc>
          <w:tcPr>
            <w:tcW w:w="7120" w:type="dxa"/>
            <w:vAlign w:val="bottom"/>
            <w:gridSpan w:val="2"/>
          </w:tcPr>
          <w:p>
            <w:pPr>
              <w:ind w:left="1620"/>
              <w:spacing w:after="0"/>
              <w:rPr>
                <w:sz w:val="20"/>
                <w:szCs w:val="20"/>
                <w:color w:val="auto"/>
              </w:rPr>
            </w:pPr>
            <w:r>
              <w:rPr>
                <w:rFonts w:ascii="Times New Roman" w:cs="Times New Roman" w:eastAsia="Times New Roman" w:hAnsi="Times New Roman"/>
                <w:sz w:val="19"/>
                <w:szCs w:val="19"/>
                <w:color w:val="auto"/>
              </w:rPr>
              <w:t>By:</w:t>
            </w:r>
          </w:p>
        </w:tc>
        <w:tc>
          <w:tcPr>
            <w:tcW w:w="0" w:type="dxa"/>
            <w:vAlign w:val="bottom"/>
          </w:tcPr>
          <w:p>
            <w:pPr>
              <w:spacing w:after="0"/>
              <w:rPr>
                <w:sz w:val="1"/>
                <w:szCs w:val="1"/>
                <w:color w:val="auto"/>
              </w:rPr>
            </w:pPr>
          </w:p>
        </w:tc>
      </w:tr>
      <w:tr>
        <w:trPr>
          <w:trHeight w:val="231"/>
        </w:trPr>
        <w:tc>
          <w:tcPr>
            <w:tcW w:w="2800" w:type="dxa"/>
            <w:vAlign w:val="bottom"/>
          </w:tcPr>
          <w:p>
            <w:pPr>
              <w:spacing w:after="0"/>
              <w:rPr>
                <w:sz w:val="20"/>
                <w:szCs w:val="20"/>
                <w:color w:val="auto"/>
              </w:rPr>
            </w:pPr>
          </w:p>
        </w:tc>
        <w:tc>
          <w:tcPr>
            <w:tcW w:w="2520" w:type="dxa"/>
            <w:vAlign w:val="bottom"/>
          </w:tcPr>
          <w:p>
            <w:pPr>
              <w:ind w:left="1620"/>
              <w:spacing w:after="0"/>
              <w:rPr>
                <w:sz w:val="20"/>
                <w:szCs w:val="20"/>
                <w:color w:val="auto"/>
              </w:rPr>
            </w:pPr>
            <w:r>
              <w:rPr>
                <w:rFonts w:ascii="Times New Roman" w:cs="Times New Roman" w:eastAsia="Times New Roman" w:hAnsi="Times New Roman"/>
                <w:sz w:val="19"/>
                <w:szCs w:val="19"/>
                <w:color w:val="auto"/>
              </w:rPr>
              <w:t>Name:</w:t>
            </w:r>
          </w:p>
        </w:tc>
        <w:tc>
          <w:tcPr>
            <w:tcW w:w="46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800" w:type="dxa"/>
            <w:vAlign w:val="bottom"/>
          </w:tcPr>
          <w:p>
            <w:pPr>
              <w:spacing w:after="0"/>
              <w:rPr>
                <w:sz w:val="20"/>
                <w:szCs w:val="20"/>
                <w:color w:val="auto"/>
              </w:rPr>
            </w:pPr>
          </w:p>
        </w:tc>
        <w:tc>
          <w:tcPr>
            <w:tcW w:w="2520" w:type="dxa"/>
            <w:vAlign w:val="bottom"/>
          </w:tcPr>
          <w:p>
            <w:pPr>
              <w:ind w:left="1620"/>
              <w:spacing w:after="0"/>
              <w:rPr>
                <w:sz w:val="20"/>
                <w:szCs w:val="20"/>
                <w:color w:val="auto"/>
              </w:rPr>
            </w:pPr>
            <w:r>
              <w:rPr>
                <w:rFonts w:ascii="Times New Roman" w:cs="Times New Roman" w:eastAsia="Times New Roman" w:hAnsi="Times New Roman"/>
                <w:sz w:val="19"/>
                <w:szCs w:val="19"/>
                <w:color w:val="auto"/>
              </w:rPr>
              <w:t>Title:</w:t>
            </w:r>
          </w:p>
        </w:tc>
        <w:tc>
          <w:tcPr>
            <w:tcW w:w="4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EXECUTIVE</w:t>
            </w:r>
          </w:p>
        </w:tc>
        <w:tc>
          <w:tcPr>
            <w:tcW w:w="2520" w:type="dxa"/>
            <w:vAlign w:val="bottom"/>
          </w:tcPr>
          <w:p>
            <w:pPr>
              <w:ind w:left="1620"/>
              <w:spacing w:after="0"/>
              <w:rPr>
                <w:sz w:val="20"/>
                <w:szCs w:val="20"/>
                <w:color w:val="auto"/>
              </w:rPr>
            </w:pPr>
            <w:r>
              <w:rPr>
                <w:rFonts w:ascii="Times New Roman" w:cs="Times New Roman" w:eastAsia="Times New Roman" w:hAnsi="Times New Roman"/>
                <w:sz w:val="19"/>
                <w:szCs w:val="19"/>
                <w:color w:val="auto"/>
              </w:rPr>
              <w:t>Date:</w:t>
            </w:r>
          </w:p>
        </w:tc>
        <w:tc>
          <w:tcPr>
            <w:tcW w:w="4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93"/>
        </w:trPr>
        <w:tc>
          <w:tcPr>
            <w:tcW w:w="2800" w:type="dxa"/>
            <w:vAlign w:val="bottom"/>
            <w:vMerge w:val="continue"/>
          </w:tcPr>
          <w:p>
            <w:pPr>
              <w:spacing w:after="0"/>
              <w:rPr>
                <w:sz w:val="24"/>
                <w:szCs w:val="24"/>
                <w:color w:val="auto"/>
              </w:rPr>
            </w:pPr>
          </w:p>
        </w:tc>
        <w:tc>
          <w:tcPr>
            <w:tcW w:w="7120" w:type="dxa"/>
            <w:vAlign w:val="bottom"/>
            <w:gridSpan w:val="2"/>
          </w:tcPr>
          <w:p>
            <w:pPr>
              <w:ind w:left="1620"/>
              <w:spacing w:after="0"/>
              <w:rPr>
                <w:sz w:val="20"/>
                <w:szCs w:val="20"/>
                <w:color w:val="auto"/>
              </w:rPr>
            </w:pPr>
            <w:r>
              <w:rPr>
                <w:rFonts w:ascii="Times New Roman" w:cs="Times New Roman" w:eastAsia="Times New Roman" w:hAnsi="Times New Roman"/>
                <w:sz w:val="19"/>
                <w:szCs w:val="19"/>
                <w:color w:val="auto"/>
              </w:rPr>
              <w:t>By:</w:t>
            </w:r>
          </w:p>
        </w:tc>
        <w:tc>
          <w:tcPr>
            <w:tcW w:w="0" w:type="dxa"/>
            <w:vAlign w:val="bottom"/>
          </w:tcPr>
          <w:p>
            <w:pPr>
              <w:spacing w:after="0"/>
              <w:rPr>
                <w:sz w:val="1"/>
                <w:szCs w:val="1"/>
                <w:color w:val="auto"/>
              </w:rPr>
            </w:pPr>
          </w:p>
        </w:tc>
      </w:tr>
      <w:tr>
        <w:trPr>
          <w:trHeight w:val="239"/>
        </w:trPr>
        <w:tc>
          <w:tcPr>
            <w:tcW w:w="2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6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(Signature)</w:t>
            </w:r>
          </w:p>
        </w:tc>
        <w:tc>
          <w:tcPr>
            <w:tcW w:w="0" w:type="dxa"/>
            <w:vAlign w:val="bottom"/>
          </w:tcPr>
          <w:p>
            <w:pPr>
              <w:spacing w:after="0"/>
              <w:rPr>
                <w:sz w:val="1"/>
                <w:szCs w:val="1"/>
                <w:color w:val="auto"/>
              </w:rPr>
            </w:pPr>
          </w:p>
        </w:tc>
      </w:tr>
      <w:tr>
        <w:trPr>
          <w:trHeight w:val="254"/>
        </w:trPr>
        <w:tc>
          <w:tcPr>
            <w:tcW w:w="2800" w:type="dxa"/>
            <w:vAlign w:val="bottom"/>
          </w:tcPr>
          <w:p>
            <w:pPr>
              <w:spacing w:after="0"/>
              <w:rPr>
                <w:sz w:val="22"/>
                <w:szCs w:val="22"/>
                <w:color w:val="auto"/>
              </w:rPr>
            </w:pPr>
          </w:p>
        </w:tc>
        <w:tc>
          <w:tcPr>
            <w:tcW w:w="7120" w:type="dxa"/>
            <w:vAlign w:val="bottom"/>
            <w:gridSpan w:val="2"/>
          </w:tcPr>
          <w:p>
            <w:pPr>
              <w:ind w:left="1620"/>
              <w:spacing w:after="0"/>
              <w:rPr>
                <w:sz w:val="20"/>
                <w:szCs w:val="20"/>
                <w:color w:val="auto"/>
              </w:rPr>
            </w:pPr>
            <w:r>
              <w:rPr>
                <w:rFonts w:ascii="Times New Roman" w:cs="Times New Roman" w:eastAsia="Times New Roman" w:hAnsi="Times New Roman"/>
                <w:sz w:val="19"/>
                <w:szCs w:val="19"/>
                <w:color w:val="auto"/>
              </w:rPr>
              <w:t>Title:</w:t>
            </w: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p>
        </w:tc>
        <w:tc>
          <w:tcPr>
            <w:tcW w:w="2520" w:type="dxa"/>
            <w:vAlign w:val="bottom"/>
          </w:tcPr>
          <w:p>
            <w:pPr>
              <w:ind w:left="1620"/>
              <w:spacing w:after="0"/>
              <w:rPr>
                <w:sz w:val="20"/>
                <w:szCs w:val="20"/>
                <w:color w:val="auto"/>
              </w:rPr>
            </w:pPr>
            <w:r>
              <w:rPr>
                <w:rFonts w:ascii="Times New Roman" w:cs="Times New Roman" w:eastAsia="Times New Roman" w:hAnsi="Times New Roman"/>
                <w:sz w:val="19"/>
                <w:szCs w:val="19"/>
                <w:color w:val="auto"/>
              </w:rPr>
              <w:t>Date:</w:t>
            </w:r>
          </w:p>
        </w:tc>
        <w:tc>
          <w:tcPr>
            <w:tcW w:w="46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A-7</w:t>
      </w:r>
    </w:p>
    <w:p>
      <w:pPr>
        <w:sectPr>
          <w:pgSz w:w="11900" w:h="16838" w:orient="portrait"/>
          <w:cols w:equalWidth="0" w:num="1">
            <w:col w:w="10620"/>
          </w:cols>
          <w:pgMar w:left="320" w:top="1374" w:right="95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9"/>
          <w:szCs w:val="19"/>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169545</wp:posOffset>
            </wp:positionV>
            <wp:extent cx="941070" cy="6889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94107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Phil Febbo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Dear Phil,</w:t>
      </w:r>
    </w:p>
    <w:p>
      <w:pPr>
        <w:spacing w:after="0" w:line="203" w:lineRule="exact"/>
        <w:rPr>
          <w:sz w:val="20"/>
          <w:szCs w:val="20"/>
          <w:color w:val="auto"/>
        </w:rPr>
      </w:pPr>
    </w:p>
    <w:p>
      <w:pPr>
        <w:jc w:val="both"/>
        <w:ind w:right="100"/>
        <w:spacing w:after="0" w:line="210" w:lineRule="auto"/>
        <w:rPr>
          <w:sz w:val="20"/>
          <w:szCs w:val="20"/>
          <w:color w:val="auto"/>
        </w:rPr>
      </w:pPr>
      <w:r>
        <w:rPr>
          <w:rFonts w:ascii="Arial" w:cs="Arial" w:eastAsia="Arial" w:hAnsi="Arial"/>
          <w:sz w:val="18"/>
          <w:szCs w:val="18"/>
          <w:color w:val="auto"/>
        </w:rPr>
        <w:t>On behalf of Veracyte (Nasdaq: VCYT)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very pleased to offer you the position of Chief Medical Officer &amp; Chief Scientific Officer pursuant to the terms of this letter (this “</w:t>
      </w:r>
      <w:r>
        <w:rPr>
          <w:rFonts w:ascii="Arial" w:cs="Arial" w:eastAsia="Arial" w:hAnsi="Arial"/>
          <w:sz w:val="18"/>
          <w:szCs w:val="18"/>
          <w:b w:val="1"/>
          <w:bCs w:val="1"/>
          <w:i w:val="1"/>
          <w:iCs w:val="1"/>
          <w:color w:val="auto"/>
        </w:rPr>
        <w:t>Offer Letter</w:t>
      </w:r>
      <w:r>
        <w:rPr>
          <w:rFonts w:ascii="Arial" w:cs="Arial" w:eastAsia="Arial" w:hAnsi="Arial"/>
          <w:sz w:val="18"/>
          <w:szCs w:val="18"/>
          <w:color w:val="auto"/>
        </w:rPr>
        <w:t>”). This position reports to Marc Stapley, Chief Executive Officer. This is a full-time exempt position. Your anticipated start date will be October 2, 2023 (such date on which you start your employment the “</w:t>
      </w:r>
      <w:r>
        <w:rPr>
          <w:rFonts w:ascii="Arial" w:cs="Arial" w:eastAsia="Arial" w:hAnsi="Arial"/>
          <w:sz w:val="18"/>
          <w:szCs w:val="18"/>
          <w:b w:val="1"/>
          <w:bCs w:val="1"/>
          <w:i w:val="1"/>
          <w:iCs w:val="1"/>
          <w:color w:val="auto"/>
        </w:rPr>
        <w:t>Start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offer and the benefits currently provided by the Company are as follows:</w:t>
      </w:r>
    </w:p>
    <w:p>
      <w:pPr>
        <w:spacing w:after="0" w:line="200" w:lineRule="exact"/>
        <w:rPr>
          <w:sz w:val="20"/>
          <w:szCs w:val="20"/>
          <w:color w:val="auto"/>
        </w:rPr>
      </w:pPr>
    </w:p>
    <w:p>
      <w:pPr>
        <w:spacing w:after="0" w:line="308" w:lineRule="exact"/>
        <w:rPr>
          <w:sz w:val="20"/>
          <w:szCs w:val="20"/>
          <w:color w:val="auto"/>
        </w:rPr>
      </w:pPr>
    </w:p>
    <w:p>
      <w:pPr>
        <w:jc w:val="both"/>
        <w:ind w:left="620" w:right="100" w:hanging="308"/>
        <w:spacing w:after="0" w:line="213" w:lineRule="auto"/>
        <w:tabs>
          <w:tab w:leader="none" w:pos="7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While rendering services to the Company, you will not engage in any other employment, consulting, or other business activity (whether full-time or part-time) that would create a conflict of interest with the Company. While you render services to the Company, you will not engage in any other employment, consulting or other business activity (whether full-time or part-time) that would create a conflict of interest with the Company nor will you assist any other person or organization in competing with the Company or in preparing to engage in competition with the business or proposed business of the Company. By signing this letter, you confirm to the Company that you have no contractual commitments or other legal obligations that would prohibit you from performing your duties to the Company.</w:t>
      </w:r>
    </w:p>
    <w:p>
      <w:pPr>
        <w:spacing w:after="0" w:line="143" w:lineRule="exact"/>
        <w:rPr>
          <w:rFonts w:ascii="Arial" w:cs="Arial" w:eastAsia="Arial" w:hAnsi="Arial"/>
          <w:sz w:val="18"/>
          <w:szCs w:val="18"/>
          <w:color w:val="auto"/>
        </w:rPr>
      </w:pPr>
    </w:p>
    <w:p>
      <w:pPr>
        <w:jc w:val="both"/>
        <w:ind w:left="620" w:hanging="308"/>
        <w:spacing w:after="0" w:line="220" w:lineRule="auto"/>
        <w:tabs>
          <w:tab w:leader="none" w:pos="699" w:val="left"/>
        </w:tabs>
        <w:numPr>
          <w:ilvl w:val="0"/>
          <w:numId w:val="83"/>
        </w:numPr>
        <w:rPr>
          <w:rFonts w:ascii="Arial" w:cs="Arial" w:eastAsia="Arial" w:hAnsi="Arial"/>
          <w:sz w:val="18"/>
          <w:szCs w:val="18"/>
          <w:color w:val="auto"/>
        </w:rPr>
      </w:pPr>
      <w:r>
        <w:rPr>
          <w:rFonts w:ascii="Arial" w:cs="Arial" w:eastAsia="Arial" w:hAnsi="Arial"/>
          <w:sz w:val="18"/>
          <w:szCs w:val="18"/>
          <w:color w:val="auto"/>
        </w:rPr>
        <w:t>You will receive a base salary of $550,000 per year, less all applicable taxes and withholdings. You will be paid in accordance with Veracyte’s established payroll schedule, which is presently semi- monthly and is subject to change. This salary is intended to apply through 2024 and you will therefore not be eligible for a salary increase for 2024. You will first be eligible for a salary increase in connection with the Company’s annual merit cycle, if any, beginning in or around March 2025.</w:t>
      </w:r>
    </w:p>
    <w:p>
      <w:pPr>
        <w:spacing w:after="0" w:line="194" w:lineRule="exact"/>
        <w:rPr>
          <w:sz w:val="20"/>
          <w:szCs w:val="20"/>
          <w:color w:val="auto"/>
        </w:rPr>
      </w:pPr>
    </w:p>
    <w:p>
      <w:pPr>
        <w:jc w:val="both"/>
        <w:ind w:left="620" w:right="100"/>
        <w:spacing w:after="0" w:line="210" w:lineRule="auto"/>
        <w:rPr>
          <w:sz w:val="20"/>
          <w:szCs w:val="20"/>
          <w:color w:val="auto"/>
        </w:rPr>
      </w:pPr>
      <w:r>
        <w:rPr>
          <w:rFonts w:ascii="Arial" w:cs="Arial" w:eastAsia="Arial" w:hAnsi="Arial"/>
          <w:sz w:val="18"/>
          <w:szCs w:val="18"/>
          <w:color w:val="auto"/>
        </w:rPr>
        <w:t>In addition, you will initially be eligible for an annual target bonus of 55% of your base salary under the Company’s incentive bonus plan (“</w:t>
      </w:r>
      <w:r>
        <w:rPr>
          <w:rFonts w:ascii="Arial" w:cs="Arial" w:eastAsia="Arial" w:hAnsi="Arial"/>
          <w:sz w:val="18"/>
          <w:szCs w:val="18"/>
          <w:b w:val="1"/>
          <w:bCs w:val="1"/>
          <w:i w:val="1"/>
          <w:iCs w:val="1"/>
          <w:color w:val="auto"/>
        </w:rPr>
        <w:t>Target Bonus</w:t>
      </w:r>
      <w:r>
        <w:rPr>
          <w:rFonts w:ascii="Arial" w:cs="Arial" w:eastAsia="Arial" w:hAnsi="Arial"/>
          <w:sz w:val="18"/>
          <w:szCs w:val="18"/>
          <w:color w:val="auto"/>
        </w:rPr>
        <w:t>” and the Company’s incentive bonus plan, the “</w:t>
      </w:r>
      <w:r>
        <w:rPr>
          <w:rFonts w:ascii="Arial" w:cs="Arial" w:eastAsia="Arial" w:hAnsi="Arial"/>
          <w:sz w:val="18"/>
          <w:szCs w:val="18"/>
          <w:b w:val="1"/>
          <w:bCs w:val="1"/>
          <w:i w:val="1"/>
          <w:iCs w:val="1"/>
          <w:color w:val="auto"/>
        </w:rPr>
        <w:t>Company Incentive Plan</w:t>
      </w:r>
      <w:r>
        <w:rPr>
          <w:rFonts w:ascii="Arial" w:cs="Arial" w:eastAsia="Arial" w:hAnsi="Arial"/>
          <w:sz w:val="18"/>
          <w:szCs w:val="18"/>
          <w:color w:val="auto"/>
        </w:rPr>
        <w:t>”), with the actual bonus amount awarded to you (the “</w:t>
      </w:r>
      <w:r>
        <w:rPr>
          <w:rFonts w:ascii="Arial" w:cs="Arial" w:eastAsia="Arial" w:hAnsi="Arial"/>
          <w:sz w:val="18"/>
          <w:szCs w:val="18"/>
          <w:b w:val="1"/>
          <w:bCs w:val="1"/>
          <w:i w:val="1"/>
          <w:iCs w:val="1"/>
          <w:color w:val="auto"/>
        </w:rPr>
        <w:t>Actual Bonus</w:t>
      </w:r>
      <w:r>
        <w:rPr>
          <w:rFonts w:ascii="Arial" w:cs="Arial" w:eastAsia="Arial" w:hAnsi="Arial"/>
          <w:sz w:val="18"/>
          <w:szCs w:val="18"/>
          <w:color w:val="auto"/>
        </w:rPr>
        <w:t>”) based upon the achievement of Company and individual performance objectives established</w:t>
      </w:r>
    </w:p>
    <w:p>
      <w:pPr>
        <w:spacing w:after="0" w:line="2" w:lineRule="exact"/>
        <w:rPr>
          <w:sz w:val="20"/>
          <w:szCs w:val="20"/>
          <w:color w:val="auto"/>
        </w:rPr>
      </w:pPr>
    </w:p>
    <w:p>
      <w:pPr>
        <w:jc w:val="both"/>
        <w:ind w:left="620" w:right="100"/>
        <w:spacing w:after="0" w:line="216" w:lineRule="auto"/>
        <w:rPr>
          <w:sz w:val="20"/>
          <w:szCs w:val="20"/>
          <w:color w:val="auto"/>
        </w:rPr>
      </w:pPr>
      <w:r>
        <w:rPr>
          <w:rFonts w:ascii="Arial" w:cs="Arial" w:eastAsia="Arial" w:hAnsi="Arial"/>
          <w:sz w:val="18"/>
          <w:szCs w:val="18"/>
          <w:color w:val="auto"/>
        </w:rPr>
        <w:t>by the Compensation Committee of the Board or the Board. Your Actual Bonus for fiscal year 2023 will be pro-rated based upon the number of days you are employed during such year. To receive payment of any Actual Bonus, you must be employed by the Company on the last day of the period to which such bonus relates and at the time bonuses are paid.</w:t>
      </w:r>
    </w:p>
    <w:p>
      <w:pPr>
        <w:spacing w:after="0" w:line="193" w:lineRule="exact"/>
        <w:rPr>
          <w:sz w:val="20"/>
          <w:szCs w:val="20"/>
          <w:color w:val="auto"/>
        </w:rPr>
      </w:pPr>
    </w:p>
    <w:p>
      <w:pPr>
        <w:jc w:val="both"/>
        <w:ind w:left="620" w:right="120"/>
        <w:spacing w:after="0" w:line="234" w:lineRule="auto"/>
        <w:rPr>
          <w:sz w:val="20"/>
          <w:szCs w:val="20"/>
          <w:color w:val="auto"/>
        </w:rPr>
      </w:pPr>
      <w:r>
        <w:rPr>
          <w:rFonts w:ascii="Arial" w:cs="Arial" w:eastAsia="Arial" w:hAnsi="Arial"/>
          <w:sz w:val="18"/>
          <w:szCs w:val="18"/>
          <w:color w:val="auto"/>
        </w:rPr>
        <w:t>The Company reserves the right to change or otherwise modify, in its sole discretion, the preceding terms of compensation, job titles and reporting relationships.</w:t>
      </w:r>
    </w:p>
    <w:p>
      <w:pPr>
        <w:spacing w:after="0" w:line="377" w:lineRule="exact"/>
        <w:rPr>
          <w:sz w:val="20"/>
          <w:szCs w:val="20"/>
          <w:color w:val="auto"/>
        </w:rPr>
      </w:pPr>
    </w:p>
    <w:p>
      <w:pPr>
        <w:jc w:val="both"/>
        <w:ind w:left="620" w:right="100" w:hanging="308"/>
        <w:spacing w:after="0" w:line="227" w:lineRule="auto"/>
        <w:tabs>
          <w:tab w:leader="none" w:pos="6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Option Grant: Subject to the approval of the Committee, you will be granted an option to purchase shares of Veracyte Common Stock in an amount equal to approximately $1,360,000 (“</w:t>
      </w:r>
      <w:r>
        <w:rPr>
          <w:rFonts w:ascii="Arial" w:cs="Arial" w:eastAsia="Arial" w:hAnsi="Arial"/>
          <w:sz w:val="18"/>
          <w:szCs w:val="18"/>
          <w:b w:val="1"/>
          <w:bCs w:val="1"/>
          <w:i w:val="1"/>
          <w:iCs w:val="1"/>
          <w:color w:val="auto"/>
        </w:rPr>
        <w:t>Option Value</w:t>
      </w:r>
      <w:r>
        <w:rPr>
          <w:rFonts w:ascii="Arial" w:cs="Arial" w:eastAsia="Arial" w:hAnsi="Arial"/>
          <w:sz w:val="18"/>
          <w:szCs w:val="18"/>
          <w:color w:val="auto"/>
        </w:rPr>
        <w:t>”). The number of shares of Common Stock subject to your Option will be calculated by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6000 Shoreline Court, Suite 300, South San Francisco, CA 94080 | T: 650.243.6300 | F: 650.243.6301</w:t>
      </w:r>
    </w:p>
    <w:p>
      <w:pPr>
        <w:sectPr>
          <w:pgSz w:w="11900" w:h="16838" w:orient="portrait"/>
          <w:cols w:equalWidth="0" w:num="1">
            <w:col w:w="11140"/>
          </w:cols>
          <w:pgMar w:left="420" w:top="104" w:right="339" w:bottom="1440" w:gutter="0" w:footer="0" w:header="0"/>
        </w:sectPr>
      </w:pPr>
    </w:p>
    <w:bookmarkStart w:id="147" w:name="page148"/>
    <w:bookmarkEnd w:id="147"/>
    <w:p>
      <w:pPr>
        <w:ind w:left="308"/>
        <w:spacing w:after="0"/>
        <w:rPr>
          <w:sz w:val="20"/>
          <w:szCs w:val="20"/>
          <w:color w:val="auto"/>
        </w:rPr>
      </w:pPr>
      <w:r>
        <w:rPr>
          <w:rFonts w:ascii="Arial" w:cs="Arial" w:eastAsia="Arial" w:hAnsi="Arial"/>
          <w:sz w:val="17"/>
          <w:szCs w:val="17"/>
          <w:color w:val="auto"/>
        </w:rPr>
        <w:t>dividing the Option Value by the Black-Scholes value as calculated by the Company on the last day of the month prior to the month in</w:t>
      </w:r>
    </w:p>
    <w:p>
      <w:pPr>
        <w:spacing w:after="0" w:line="6" w:lineRule="exact"/>
        <w:rPr>
          <w:sz w:val="20"/>
          <w:szCs w:val="20"/>
          <w:color w:val="auto"/>
        </w:rPr>
      </w:pPr>
    </w:p>
    <w:p>
      <w:pPr>
        <w:jc w:val="both"/>
        <w:ind w:left="308"/>
        <w:spacing w:after="0" w:line="216" w:lineRule="auto"/>
        <w:rPr>
          <w:sz w:val="20"/>
          <w:szCs w:val="20"/>
          <w:color w:val="auto"/>
        </w:rPr>
      </w:pPr>
      <w:r>
        <w:rPr>
          <w:rFonts w:ascii="Arial" w:cs="Arial" w:eastAsia="Arial" w:hAnsi="Arial"/>
          <w:sz w:val="17"/>
          <w:szCs w:val="17"/>
          <w:color w:val="auto"/>
        </w:rPr>
        <w:t>which you start your employment with Veracyte, rounded down to the nearest whole share. The exercise price per share will be equal to the closing price of Veracyte Common Stock on the Nasdaq Global Market on the grant date. The Option will vest as to 1/4 of the shares subject to the Option on the first anniversary of your Start Date, and then 1/48 of the shares subject to the Option each month</w:t>
      </w:r>
    </w:p>
    <w:p>
      <w:pPr>
        <w:spacing w:after="0" w:line="2" w:lineRule="exact"/>
        <w:rPr>
          <w:sz w:val="20"/>
          <w:szCs w:val="20"/>
          <w:color w:val="auto"/>
        </w:rPr>
      </w:pPr>
    </w:p>
    <w:p>
      <w:pPr>
        <w:jc w:val="both"/>
        <w:ind w:left="308"/>
        <w:spacing w:after="0" w:line="224" w:lineRule="auto"/>
        <w:rPr>
          <w:sz w:val="20"/>
          <w:szCs w:val="20"/>
          <w:color w:val="auto"/>
        </w:rPr>
      </w:pPr>
      <w:r>
        <w:rPr>
          <w:rFonts w:ascii="Arial" w:cs="Arial" w:eastAsia="Arial" w:hAnsi="Arial"/>
          <w:sz w:val="18"/>
          <w:szCs w:val="18"/>
          <w:color w:val="auto"/>
        </w:rPr>
        <w:t>thereafter for the next 36 months, subject to your continued Service (as defined in the Plan (as defined below)) on each such vesting date except as may be provided in the Severance Agreement (as defined below).</w:t>
      </w:r>
    </w:p>
    <w:p>
      <w:pPr>
        <w:spacing w:after="0" w:line="193" w:lineRule="exact"/>
        <w:rPr>
          <w:sz w:val="20"/>
          <w:szCs w:val="20"/>
          <w:color w:val="auto"/>
        </w:rPr>
      </w:pPr>
    </w:p>
    <w:p>
      <w:pPr>
        <w:jc w:val="both"/>
        <w:ind w:left="308"/>
        <w:spacing w:after="0" w:line="223" w:lineRule="auto"/>
        <w:rPr>
          <w:sz w:val="20"/>
          <w:szCs w:val="20"/>
          <w:color w:val="auto"/>
        </w:rPr>
      </w:pPr>
      <w:r>
        <w:rPr>
          <w:rFonts w:ascii="Arial" w:cs="Arial" w:eastAsia="Arial" w:hAnsi="Arial"/>
          <w:sz w:val="17"/>
          <w:szCs w:val="17"/>
          <w:color w:val="auto"/>
        </w:rPr>
        <w:t>Restricted Stock Unit (RSU) Grant: Subject to the approval of the Committee, you will be granted RSUs in an amount equal to approximately $ 1,320,000 (“</w:t>
      </w:r>
      <w:r>
        <w:rPr>
          <w:rFonts w:ascii="Arial" w:cs="Arial" w:eastAsia="Arial" w:hAnsi="Arial"/>
          <w:sz w:val="17"/>
          <w:szCs w:val="17"/>
          <w:b w:val="1"/>
          <w:bCs w:val="1"/>
          <w:i w:val="1"/>
          <w:iCs w:val="1"/>
          <w:color w:val="auto"/>
        </w:rPr>
        <w:t>RSU Value</w:t>
      </w:r>
      <w:r>
        <w:rPr>
          <w:rFonts w:ascii="Arial" w:cs="Arial" w:eastAsia="Arial" w:hAnsi="Arial"/>
          <w:sz w:val="17"/>
          <w:szCs w:val="17"/>
          <w:color w:val="auto"/>
        </w:rPr>
        <w:t>”). The number of RSUs will be calculated by dividing the RSU Value by the 30- trading day trailing average price ending on the last day of the month prior to your Start Date, rounded down to the nearest whole share. The</w:t>
      </w:r>
    </w:p>
    <w:p>
      <w:pPr>
        <w:spacing w:after="0" w:line="1" w:lineRule="exact"/>
        <w:rPr>
          <w:sz w:val="20"/>
          <w:szCs w:val="20"/>
          <w:color w:val="auto"/>
        </w:rPr>
      </w:pPr>
    </w:p>
    <w:p>
      <w:pPr>
        <w:jc w:val="both"/>
        <w:ind w:left="308"/>
        <w:spacing w:after="0" w:line="216" w:lineRule="auto"/>
        <w:rPr>
          <w:sz w:val="20"/>
          <w:szCs w:val="20"/>
          <w:color w:val="auto"/>
        </w:rPr>
      </w:pPr>
      <w:r>
        <w:rPr>
          <w:rFonts w:ascii="Arial" w:cs="Arial" w:eastAsia="Arial" w:hAnsi="Arial"/>
          <w:sz w:val="17"/>
          <w:szCs w:val="17"/>
          <w:color w:val="auto"/>
        </w:rPr>
        <w:t>RSUs will vest over four years, with the first 1/4th of the RSUs vesting on the first annual anniversary of the Designated Quarterly Vesting date (as defined below) that coincides with, or immediately follows, your Start Date and an additional 1/16th of the RSUs vesting on each subsequent Designated Quarterly Vesting Date thereafter, so long as you remain in Service (as defined in the Plan)</w:t>
      </w:r>
    </w:p>
    <w:p>
      <w:pPr>
        <w:spacing w:after="0" w:line="2" w:lineRule="exact"/>
        <w:rPr>
          <w:sz w:val="20"/>
          <w:szCs w:val="20"/>
          <w:color w:val="auto"/>
        </w:rPr>
      </w:pPr>
    </w:p>
    <w:p>
      <w:pPr>
        <w:jc w:val="both"/>
        <w:ind w:left="308"/>
        <w:spacing w:after="0" w:line="230" w:lineRule="auto"/>
        <w:rPr>
          <w:sz w:val="20"/>
          <w:szCs w:val="20"/>
          <w:color w:val="auto"/>
        </w:rPr>
      </w:pPr>
      <w:r>
        <w:rPr>
          <w:rFonts w:ascii="Arial" w:cs="Arial" w:eastAsia="Arial" w:hAnsi="Arial"/>
          <w:sz w:val="18"/>
          <w:szCs w:val="18"/>
          <w:color w:val="auto"/>
        </w:rPr>
        <w:t>on each vesting date except as may be provided in the Severance Agreement. The Company’s “</w:t>
      </w:r>
      <w:r>
        <w:rPr>
          <w:rFonts w:ascii="Arial" w:cs="Arial" w:eastAsia="Arial" w:hAnsi="Arial"/>
          <w:sz w:val="18"/>
          <w:szCs w:val="18"/>
          <w:b w:val="1"/>
          <w:bCs w:val="1"/>
          <w:i w:val="1"/>
          <w:iCs w:val="1"/>
          <w:color w:val="auto"/>
        </w:rPr>
        <w:t>Designated Quarterly 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Dates</w:t>
      </w:r>
      <w:r>
        <w:rPr>
          <w:rFonts w:ascii="Arial" w:cs="Arial" w:eastAsia="Arial" w:hAnsi="Arial"/>
          <w:sz w:val="18"/>
          <w:szCs w:val="18"/>
          <w:color w:val="auto"/>
        </w:rPr>
        <w:t>” are March 2, June 2, September 2, and December 2.</w:t>
      </w:r>
    </w:p>
    <w:p>
      <w:pPr>
        <w:spacing w:after="0" w:line="164" w:lineRule="exact"/>
        <w:rPr>
          <w:sz w:val="20"/>
          <w:szCs w:val="20"/>
          <w:color w:val="auto"/>
        </w:rPr>
      </w:pPr>
    </w:p>
    <w:p>
      <w:pPr>
        <w:ind w:left="308"/>
        <w:spacing w:after="0"/>
        <w:rPr>
          <w:sz w:val="20"/>
          <w:szCs w:val="20"/>
          <w:color w:val="auto"/>
        </w:rPr>
      </w:pPr>
      <w:r>
        <w:rPr>
          <w:rFonts w:ascii="Arial" w:cs="Arial" w:eastAsia="Arial" w:hAnsi="Arial"/>
          <w:sz w:val="18"/>
          <w:szCs w:val="18"/>
          <w:color w:val="auto"/>
        </w:rPr>
        <w:t>Performance Restricted Stock Unit (PSU) Grant: Subject to the approval of the Committee, you will be granted PSUs in an amount</w:t>
      </w:r>
    </w:p>
    <w:p>
      <w:pPr>
        <w:jc w:val="both"/>
        <w:ind w:left="308"/>
        <w:spacing w:after="0" w:line="216" w:lineRule="auto"/>
        <w:rPr>
          <w:sz w:val="20"/>
          <w:szCs w:val="20"/>
          <w:color w:val="auto"/>
        </w:rPr>
      </w:pPr>
      <w:r>
        <w:rPr>
          <w:rFonts w:ascii="Arial" w:cs="Arial" w:eastAsia="Arial" w:hAnsi="Arial"/>
          <w:sz w:val="17"/>
          <w:szCs w:val="17"/>
          <w:color w:val="auto"/>
        </w:rPr>
        <w:t>equal to $1,320,000 at “target” level achievement (“</w:t>
      </w:r>
      <w:r>
        <w:rPr>
          <w:rFonts w:ascii="Arial" w:cs="Arial" w:eastAsia="Arial" w:hAnsi="Arial"/>
          <w:sz w:val="17"/>
          <w:szCs w:val="17"/>
          <w:b w:val="1"/>
          <w:bCs w:val="1"/>
          <w:i w:val="1"/>
          <w:iCs w:val="1"/>
          <w:color w:val="auto"/>
        </w:rPr>
        <w:t>PSU Value</w:t>
      </w:r>
      <w:r>
        <w:rPr>
          <w:rFonts w:ascii="Arial" w:cs="Arial" w:eastAsia="Arial" w:hAnsi="Arial"/>
          <w:sz w:val="17"/>
          <w:szCs w:val="17"/>
          <w:color w:val="auto"/>
        </w:rPr>
        <w:t>”). The number of PSUs will be calculated by dividing the PSU Value by the 30-[trading or calendar?] day trailing average price ending on the last day of the month prior to your Start Date, rounded down to the nearest whole share. The PSU will be subject to the same terms and conditions, including performance metrics and vesting</w:t>
      </w:r>
    </w:p>
    <w:p>
      <w:pPr>
        <w:spacing w:after="0" w:line="2" w:lineRule="exact"/>
        <w:rPr>
          <w:sz w:val="20"/>
          <w:szCs w:val="20"/>
          <w:color w:val="auto"/>
        </w:rPr>
      </w:pPr>
    </w:p>
    <w:p>
      <w:pPr>
        <w:jc w:val="both"/>
        <w:ind w:left="308"/>
        <w:spacing w:after="0" w:line="204" w:lineRule="auto"/>
        <w:rPr>
          <w:sz w:val="20"/>
          <w:szCs w:val="20"/>
          <w:color w:val="auto"/>
        </w:rPr>
      </w:pPr>
      <w:r>
        <w:rPr>
          <w:rFonts w:ascii="Arial" w:cs="Arial" w:eastAsia="Arial" w:hAnsi="Arial"/>
          <w:sz w:val="18"/>
          <w:szCs w:val="18"/>
          <w:color w:val="auto"/>
        </w:rPr>
        <w:t>requirements, as the PSUs granted to certain of the Company’s executive officers in February 2023 (the “</w:t>
      </w:r>
      <w:r>
        <w:rPr>
          <w:rFonts w:ascii="Arial" w:cs="Arial" w:eastAsia="Arial" w:hAnsi="Arial"/>
          <w:sz w:val="18"/>
          <w:szCs w:val="18"/>
          <w:b w:val="1"/>
          <w:bCs w:val="1"/>
          <w:i w:val="1"/>
          <w:iCs w:val="1"/>
          <w:color w:val="auto"/>
        </w:rPr>
        <w:t>2023 PSUs</w:t>
      </w:r>
      <w:r>
        <w:rPr>
          <w:rFonts w:ascii="Arial" w:cs="Arial" w:eastAsia="Arial" w:hAnsi="Arial"/>
          <w:sz w:val="18"/>
          <w:szCs w:val="18"/>
          <w:color w:val="auto"/>
        </w:rPr>
        <w:t>”).The 2023 PSUs are split between a two-year and three-year performance period with 40% of the total target number of shares subject to the achievement of the pre-determined performance target(s) for 2024 and 60% of the total target number of shares subject to the</w:t>
      </w:r>
    </w:p>
    <w:p>
      <w:pPr>
        <w:spacing w:after="0" w:line="2" w:lineRule="exact"/>
        <w:rPr>
          <w:sz w:val="20"/>
          <w:szCs w:val="20"/>
          <w:color w:val="auto"/>
        </w:rPr>
      </w:pPr>
    </w:p>
    <w:p>
      <w:pPr>
        <w:ind w:left="308"/>
        <w:spacing w:after="0"/>
        <w:rPr>
          <w:sz w:val="20"/>
          <w:szCs w:val="20"/>
          <w:color w:val="auto"/>
        </w:rPr>
      </w:pPr>
      <w:r>
        <w:rPr>
          <w:rFonts w:ascii="Arial" w:cs="Arial" w:eastAsia="Arial" w:hAnsi="Arial"/>
          <w:sz w:val="18"/>
          <w:szCs w:val="18"/>
          <w:color w:val="auto"/>
        </w:rPr>
        <w:t>achievement of the pre-determined performance target(s) for 2025.</w:t>
      </w:r>
    </w:p>
    <w:p>
      <w:pPr>
        <w:spacing w:after="0" w:line="187" w:lineRule="exact"/>
        <w:rPr>
          <w:sz w:val="20"/>
          <w:szCs w:val="20"/>
          <w:color w:val="auto"/>
        </w:rPr>
      </w:pPr>
    </w:p>
    <w:p>
      <w:pPr>
        <w:jc w:val="both"/>
        <w:ind w:left="308" w:right="20"/>
        <w:spacing w:after="0" w:line="239" w:lineRule="auto"/>
        <w:rPr>
          <w:sz w:val="20"/>
          <w:szCs w:val="20"/>
          <w:color w:val="auto"/>
        </w:rPr>
      </w:pPr>
      <w:r>
        <w:rPr>
          <w:rFonts w:ascii="Arial" w:cs="Arial" w:eastAsia="Arial" w:hAnsi="Arial"/>
          <w:sz w:val="18"/>
          <w:szCs w:val="18"/>
          <w:color w:val="auto"/>
        </w:rPr>
        <w:t>All grants will be made under, and are subject to the terms and conditions set forth in, the Company’s 2023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applicable written or electronic award agreements (the “</w:t>
      </w:r>
      <w:r>
        <w:rPr>
          <w:rFonts w:ascii="Arial" w:cs="Arial" w:eastAsia="Arial" w:hAnsi="Arial"/>
          <w:sz w:val="18"/>
          <w:szCs w:val="18"/>
          <w:b w:val="1"/>
          <w:bCs w:val="1"/>
          <w:i w:val="1"/>
          <w:iCs w:val="1"/>
          <w:color w:val="auto"/>
        </w:rPr>
        <w:t>Award Grant Agreements</w:t>
      </w:r>
      <w:r>
        <w:rPr>
          <w:rFonts w:ascii="Arial" w:cs="Arial" w:eastAsia="Arial" w:hAnsi="Arial"/>
          <w:sz w:val="18"/>
          <w:szCs w:val="18"/>
          <w:color w:val="auto"/>
        </w:rPr>
        <w:t>”).</w:t>
      </w:r>
    </w:p>
    <w:p>
      <w:pPr>
        <w:spacing w:after="0" w:line="144" w:lineRule="exact"/>
        <w:rPr>
          <w:sz w:val="20"/>
          <w:szCs w:val="20"/>
          <w:color w:val="auto"/>
        </w:rPr>
      </w:pPr>
    </w:p>
    <w:p>
      <w:pPr>
        <w:ind w:left="308" w:hanging="308"/>
        <w:spacing w:after="0" w:line="239" w:lineRule="auto"/>
        <w:tabs>
          <w:tab w:leader="none" w:pos="423"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 will enter into a Change of Control and Severance Agreement with the Company to be provided concurrently herewith (the “</w:t>
      </w:r>
      <w:r>
        <w:rPr>
          <w:rFonts w:ascii="Arial" w:cs="Arial" w:eastAsia="Arial" w:hAnsi="Arial"/>
          <w:sz w:val="18"/>
          <w:szCs w:val="18"/>
          <w:b w:val="1"/>
          <w:bCs w:val="1"/>
          <w:i w:val="1"/>
          <w:iCs w:val="1"/>
          <w:color w:val="auto"/>
        </w:rPr>
        <w:t>Severance Agreement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308" w:right="20" w:hanging="308"/>
        <w:spacing w:after="0" w:line="274" w:lineRule="auto"/>
        <w:tabs>
          <w:tab w:leader="none" w:pos="3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Your primary location of employment will be the Company’s office in South San Francisco, California,. Expenses incurred as a result of your business travel must be in accordance with the Veracyte Travel and Expense Reimbursement Policy.</w:t>
      </w:r>
    </w:p>
    <w:p>
      <w:pPr>
        <w:spacing w:after="0" w:line="242" w:lineRule="exact"/>
        <w:rPr>
          <w:rFonts w:ascii="Arial" w:cs="Arial" w:eastAsia="Arial" w:hAnsi="Arial"/>
          <w:sz w:val="18"/>
          <w:szCs w:val="18"/>
          <w:color w:val="auto"/>
        </w:rPr>
      </w:pPr>
    </w:p>
    <w:p>
      <w:pPr>
        <w:ind w:left="308" w:right="20" w:hanging="308"/>
        <w:spacing w:after="0" w:line="320" w:lineRule="auto"/>
        <w:tabs>
          <w:tab w:leader="none" w:pos="351" w:val="left"/>
        </w:tabs>
        <w:numPr>
          <w:ilvl w:val="0"/>
          <w:numId w:val="85"/>
        </w:numPr>
        <w:rPr>
          <w:rFonts w:ascii="Arial" w:cs="Arial" w:eastAsia="Arial" w:hAnsi="Arial"/>
          <w:sz w:val="17"/>
          <w:szCs w:val="17"/>
          <w:color w:val="auto"/>
        </w:rPr>
      </w:pPr>
      <w:r>
        <w:rPr>
          <w:rFonts w:ascii="Arial" w:cs="Arial" w:eastAsia="Arial" w:hAnsi="Arial"/>
          <w:sz w:val="17"/>
          <w:szCs w:val="17"/>
          <w:color w:val="auto"/>
        </w:rPr>
        <w:t>You will be eligible to participate in the Company’s regular medical, dental, vision, and life insurance benefits, 401(k), and Employee Stock Purchase Plan, and the other employee benefit plans established by the Company for its employees from time to time.</w:t>
      </w:r>
    </w:p>
    <w:p>
      <w:pPr>
        <w:spacing w:after="0" w:line="114" w:lineRule="exact"/>
        <w:rPr>
          <w:sz w:val="20"/>
          <w:szCs w:val="20"/>
          <w:color w:val="auto"/>
        </w:rPr>
      </w:pPr>
    </w:p>
    <w:p>
      <w:pPr>
        <w:ind w:left="308"/>
        <w:spacing w:after="0" w:line="243" w:lineRule="auto"/>
        <w:rPr>
          <w:sz w:val="20"/>
          <w:szCs w:val="20"/>
          <w:color w:val="auto"/>
        </w:rPr>
      </w:pPr>
      <w:r>
        <w:rPr>
          <w:rFonts w:ascii="Arial" w:cs="Arial" w:eastAsia="Arial" w:hAnsi="Arial"/>
          <w:sz w:val="18"/>
          <w:szCs w:val="18"/>
          <w:color w:val="auto"/>
        </w:rPr>
        <w:t>You will also be eligible to receive paid time off and Company paid holidays in accordance with the Company’s established policies in effect from time to time. These and other policies are explained fully in the Company’s employee handbook.</w:t>
      </w:r>
    </w:p>
    <w:p>
      <w:pPr>
        <w:spacing w:after="0" w:line="176" w:lineRule="exact"/>
        <w:rPr>
          <w:sz w:val="20"/>
          <w:szCs w:val="20"/>
          <w:color w:val="auto"/>
        </w:rPr>
      </w:pPr>
    </w:p>
    <w:p>
      <w:pPr>
        <w:jc w:val="both"/>
        <w:ind w:left="308" w:right="20" w:hanging="308"/>
        <w:spacing w:after="0" w:line="227" w:lineRule="auto"/>
        <w:tabs>
          <w:tab w:leader="none" w:pos="38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Although we hope that your employment with the Company is mutually satisfactory, please note that, should you accept our offer, your employment at the Company is “at will”. This means that your employment is for no specific period of time and the employment relationship can be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28"/>
        <w:spacing w:after="0"/>
        <w:rPr>
          <w:sz w:val="20"/>
          <w:szCs w:val="20"/>
          <w:color w:val="auto"/>
        </w:rPr>
      </w:pPr>
      <w:r>
        <w:rPr>
          <w:rFonts w:ascii="Arial" w:cs="Arial" w:eastAsia="Arial" w:hAnsi="Arial"/>
          <w:sz w:val="14"/>
          <w:szCs w:val="14"/>
          <w:color w:val="auto"/>
        </w:rPr>
        <w:t>6000 Shoreline Court, Suite 300, South San Francisco, CA 94080 | T: 650.243.6300 | F: 650.243.6301</w:t>
      </w:r>
    </w:p>
    <w:p>
      <w:pPr>
        <w:sectPr>
          <w:pgSz w:w="11900" w:h="16838" w:orient="portrait"/>
          <w:cols w:equalWidth="0" w:num="1">
            <w:col w:w="10728"/>
          </w:cols>
          <w:pgMar w:left="732" w:top="1036" w:right="439" w:bottom="1440" w:gutter="0" w:footer="0" w:header="0"/>
        </w:sectPr>
      </w:pPr>
    </w:p>
    <w:bookmarkStart w:id="148" w:name="page149"/>
    <w:bookmarkEnd w:id="148"/>
    <w:p>
      <w:pPr>
        <w:ind w:left="308"/>
        <w:spacing w:after="0"/>
        <w:rPr>
          <w:sz w:val="20"/>
          <w:szCs w:val="20"/>
          <w:color w:val="auto"/>
        </w:rPr>
      </w:pPr>
      <w:r>
        <w:rPr>
          <w:rFonts w:ascii="Arial" w:cs="Arial" w:eastAsia="Arial" w:hAnsi="Arial"/>
          <w:sz w:val="18"/>
          <w:szCs w:val="18"/>
          <w:color w:val="auto"/>
        </w:rPr>
        <w:t>terminated by either you or the Company for any reason, at any time, without prior notice and with or without cause, subject to the</w:t>
      </w:r>
    </w:p>
    <w:p>
      <w:pPr>
        <w:jc w:val="both"/>
        <w:ind w:left="308" w:right="100"/>
        <w:spacing w:after="0" w:line="224" w:lineRule="auto"/>
        <w:rPr>
          <w:sz w:val="20"/>
          <w:szCs w:val="20"/>
          <w:color w:val="auto"/>
        </w:rPr>
      </w:pPr>
      <w:r>
        <w:rPr>
          <w:rFonts w:ascii="Arial" w:cs="Arial" w:eastAsia="Arial" w:hAnsi="Arial"/>
          <w:sz w:val="18"/>
          <w:szCs w:val="18"/>
          <w:color w:val="auto"/>
        </w:rPr>
        <w:t>Severance Agreement. However, if employment is terminated by you, the Company requests that you provide as much notice as possible.</w:t>
      </w:r>
    </w:p>
    <w:p>
      <w:pPr>
        <w:spacing w:after="0" w:line="135" w:lineRule="exact"/>
        <w:rPr>
          <w:sz w:val="20"/>
          <w:szCs w:val="20"/>
          <w:color w:val="auto"/>
        </w:rPr>
      </w:pPr>
    </w:p>
    <w:p>
      <w:pPr>
        <w:ind w:left="308"/>
        <w:spacing w:after="0"/>
        <w:rPr>
          <w:sz w:val="20"/>
          <w:szCs w:val="20"/>
          <w:color w:val="auto"/>
        </w:rPr>
      </w:pPr>
      <w:r>
        <w:rPr>
          <w:rFonts w:ascii="Arial" w:cs="Arial" w:eastAsia="Arial" w:hAnsi="Arial"/>
          <w:sz w:val="18"/>
          <w:szCs w:val="18"/>
          <w:color w:val="auto"/>
        </w:rPr>
        <w:t>This is the entire agreement between you and Veracyte regarding the “at-will” nature of your employment. Any statements or</w:t>
      </w:r>
    </w:p>
    <w:p>
      <w:pPr>
        <w:jc w:val="both"/>
        <w:ind w:left="308" w:right="100"/>
        <w:spacing w:after="0" w:line="216" w:lineRule="auto"/>
        <w:rPr>
          <w:sz w:val="20"/>
          <w:szCs w:val="20"/>
          <w:color w:val="auto"/>
        </w:rPr>
      </w:pPr>
      <w:r>
        <w:rPr>
          <w:rFonts w:ascii="Arial" w:cs="Arial" w:eastAsia="Arial" w:hAnsi="Arial"/>
          <w:sz w:val="17"/>
          <w:szCs w:val="17"/>
          <w:color w:val="auto"/>
        </w:rPr>
        <w:t>representations to the contrary are superseded by this Offer Letter. Further, your participation in any equity incentive plan or benefit program is not a guaranty of employment. Although your job duties, title, compensation and benefits, as well as the Company’s personnel policies and practices, may change from time to time, the “at-will” nature of your employment may be changed only in an</w:t>
      </w:r>
    </w:p>
    <w:p>
      <w:pPr>
        <w:spacing w:after="0" w:line="2" w:lineRule="exact"/>
        <w:rPr>
          <w:sz w:val="20"/>
          <w:szCs w:val="20"/>
          <w:color w:val="auto"/>
        </w:rPr>
      </w:pPr>
    </w:p>
    <w:p>
      <w:pPr>
        <w:ind w:left="308"/>
        <w:spacing w:after="0"/>
        <w:rPr>
          <w:sz w:val="20"/>
          <w:szCs w:val="20"/>
          <w:color w:val="auto"/>
        </w:rPr>
      </w:pPr>
      <w:r>
        <w:rPr>
          <w:rFonts w:ascii="Arial" w:cs="Arial" w:eastAsia="Arial" w:hAnsi="Arial"/>
          <w:sz w:val="18"/>
          <w:szCs w:val="18"/>
          <w:color w:val="auto"/>
        </w:rPr>
        <w:t>express, written employment agreement signed by you and a duly authorized officer of the Company.</w:t>
      </w:r>
    </w:p>
    <w:p>
      <w:pPr>
        <w:spacing w:after="0" w:line="187" w:lineRule="exact"/>
        <w:rPr>
          <w:sz w:val="20"/>
          <w:szCs w:val="20"/>
          <w:color w:val="auto"/>
        </w:rPr>
      </w:pPr>
    </w:p>
    <w:p>
      <w:pPr>
        <w:jc w:val="both"/>
        <w:ind w:left="308" w:right="100" w:hanging="308"/>
        <w:spacing w:after="0" w:line="211" w:lineRule="auto"/>
        <w:tabs>
          <w:tab w:leader="none" w:pos="36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an employee of the Company, you will have access to certain confidential information of the Company and you may, during the course of your employment, develop certain information or inventions that will be the property of the Company. To protect the Company’s interests, you must sign and abide by the Company’s At-Will Employment, Confidential Information and Invention Assignment and Arbitration Agreement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This requires, among other provisions, the assignment of rights to any invention made within the scope of and during your employment with the Company, as well as non-disclosure of Company confidential and proprietary information. There is also a requirement for resolution by binding arbitration of any dispute arising out of our employment relationship as permitted by law. The terms of these agreements are described in detail in the Confidentiality Agreement, a copy of which is enclosed with this Offer Letter.</w:t>
      </w:r>
    </w:p>
    <w:p>
      <w:pPr>
        <w:spacing w:after="0" w:line="198" w:lineRule="exact"/>
        <w:rPr>
          <w:rFonts w:ascii="Arial" w:cs="Arial" w:eastAsia="Arial" w:hAnsi="Arial"/>
          <w:sz w:val="18"/>
          <w:szCs w:val="18"/>
          <w:color w:val="auto"/>
        </w:rPr>
      </w:pPr>
    </w:p>
    <w:p>
      <w:pPr>
        <w:jc w:val="both"/>
        <w:ind w:left="308" w:hanging="308"/>
        <w:spacing w:after="0" w:line="233" w:lineRule="auto"/>
        <w:tabs>
          <w:tab w:leader="none" w:pos="451"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wish to impress upon you that we do not want you to, and we hereby direct you not to, bring with you any confidential or proprietary material of any former employer or violate any other obligations you may have to any former employer. You represent that your signing of this Offer Letter, the Award Grant Agreements and the Company’s Confidential Agreement and your commencement of employment with the Company will not violate any agreement currently in place between yourself and current or past employers.</w:t>
      </w:r>
    </w:p>
    <w:p>
      <w:pPr>
        <w:spacing w:after="0" w:line="140" w:lineRule="exact"/>
        <w:rPr>
          <w:rFonts w:ascii="Arial" w:cs="Arial" w:eastAsia="Arial" w:hAnsi="Arial"/>
          <w:sz w:val="17"/>
          <w:szCs w:val="17"/>
          <w:color w:val="auto"/>
        </w:rPr>
      </w:pPr>
    </w:p>
    <w:p>
      <w:pPr>
        <w:jc w:val="both"/>
        <w:ind w:left="308" w:right="120" w:hanging="308"/>
        <w:spacing w:after="0" w:line="220" w:lineRule="auto"/>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offer is contingent on (a) Veracyte’s satisfactory verification of criminal, education, and/or employment background and (b) your delivery to the Company, within three (3) business days of your date of hire, of documentation demonstrating that you have authorization to work in the United States, as required by Federal law. If you have questions about this requirement, which applies to U.S. citizens and non-citizens alike, you may contact Human Resources.</w:t>
      </w:r>
    </w:p>
    <w:p>
      <w:pPr>
        <w:spacing w:after="0" w:line="154" w:lineRule="exact"/>
        <w:rPr>
          <w:rFonts w:ascii="Arial" w:cs="Arial" w:eastAsia="Arial" w:hAnsi="Arial"/>
          <w:sz w:val="18"/>
          <w:szCs w:val="18"/>
          <w:color w:val="auto"/>
        </w:rPr>
      </w:pPr>
    </w:p>
    <w:p>
      <w:pPr>
        <w:jc w:val="both"/>
        <w:ind w:left="308" w:right="100" w:hanging="308"/>
        <w:spacing w:after="0" w:line="227" w:lineRule="auto"/>
        <w:tabs>
          <w:tab w:leader="none" w:pos="425"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and the Company will enter into the form of indemnification agreement provided to other similarly situated officers and directors of the Company. In addition, you will be named as an insured on the director and officer liability insurance policy currently maintained by the Company, or as may be maintained by the Company from time to time.</w:t>
      </w:r>
    </w:p>
    <w:p>
      <w:pPr>
        <w:spacing w:after="0" w:line="140" w:lineRule="exact"/>
        <w:rPr>
          <w:rFonts w:ascii="Arial" w:cs="Arial" w:eastAsia="Arial" w:hAnsi="Arial"/>
          <w:sz w:val="18"/>
          <w:szCs w:val="18"/>
          <w:color w:val="auto"/>
        </w:rPr>
      </w:pPr>
    </w:p>
    <w:p>
      <w:pPr>
        <w:jc w:val="both"/>
        <w:ind w:left="308" w:right="100" w:hanging="308"/>
        <w:spacing w:after="0" w:line="233" w:lineRule="auto"/>
        <w:tabs>
          <w:tab w:leader="none" w:pos="453"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forms of compensation referred to in this Offer Letter are subject to reduction to reflect applicable withholding and payroll taxes and other deductions required by law.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93" w:lineRule="exact"/>
        <w:rPr>
          <w:rFonts w:ascii="Arial" w:cs="Arial" w:eastAsia="Arial" w:hAnsi="Arial"/>
          <w:sz w:val="17"/>
          <w:szCs w:val="17"/>
          <w:color w:val="auto"/>
        </w:rPr>
      </w:pPr>
    </w:p>
    <w:p>
      <w:pPr>
        <w:jc w:val="both"/>
        <w:ind w:left="308" w:right="100" w:hanging="308"/>
        <w:spacing w:after="0" w:line="222" w:lineRule="auto"/>
        <w:tabs>
          <w:tab w:leader="none" w:pos="498"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amounts payable to you hereunder shall be subject to recoupment pursuant to any compensation recoupment and forfeiture policy adopted by the Board or any committee thereof or as required by law that is applicable generally to executive officers of the Company.</w:t>
      </w:r>
    </w:p>
    <w:p>
      <w:pPr>
        <w:spacing w:after="0" w:line="193" w:lineRule="exact"/>
        <w:rPr>
          <w:rFonts w:ascii="Arial" w:cs="Arial" w:eastAsia="Arial" w:hAnsi="Arial"/>
          <w:sz w:val="18"/>
          <w:szCs w:val="18"/>
          <w:color w:val="auto"/>
        </w:rPr>
      </w:pPr>
    </w:p>
    <w:p>
      <w:pPr>
        <w:ind w:left="308" w:right="100" w:hanging="308"/>
        <w:spacing w:after="0" w:line="234" w:lineRule="auto"/>
        <w:tabs>
          <w:tab w:leader="none" w:pos="5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Offer Letter will be governed by the laws of the State of California without reference to conflict of laws provisions, and the parties hereto submit to the exclusive jurisdiction of the state and federal courts of the State of California.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28"/>
        <w:spacing w:after="0"/>
        <w:rPr>
          <w:sz w:val="20"/>
          <w:szCs w:val="20"/>
          <w:color w:val="auto"/>
        </w:rPr>
      </w:pPr>
      <w:r>
        <w:rPr>
          <w:rFonts w:ascii="Arial" w:cs="Arial" w:eastAsia="Arial" w:hAnsi="Arial"/>
          <w:sz w:val="14"/>
          <w:szCs w:val="14"/>
          <w:color w:val="auto"/>
        </w:rPr>
        <w:t>6000 Shoreline Court, Suite 300, South San Francisco, CA 94080 | T: 650.243.6300 | F: 650.243.6301</w:t>
      </w:r>
    </w:p>
    <w:p>
      <w:pPr>
        <w:sectPr>
          <w:pgSz w:w="11900" w:h="16838" w:orient="portrait"/>
          <w:cols w:equalWidth="0" w:num="1">
            <w:col w:w="10828"/>
          </w:cols>
          <w:pgMar w:left="732" w:top="1030" w:right="339" w:bottom="1440" w:gutter="0" w:footer="0" w:header="0"/>
        </w:sectPr>
      </w:pPr>
    </w:p>
    <w:bookmarkStart w:id="149" w:name="page150"/>
    <w:bookmarkEnd w:id="149"/>
    <w:p>
      <w:pPr>
        <w:spacing w:after="0" w:line="311" w:lineRule="exact"/>
        <w:rPr>
          <w:sz w:val="20"/>
          <w:szCs w:val="20"/>
          <w:color w:val="auto"/>
        </w:rPr>
      </w:pPr>
    </w:p>
    <w:p>
      <w:pPr>
        <w:jc w:val="both"/>
        <w:ind w:left="720" w:right="100" w:hanging="308"/>
        <w:spacing w:after="0" w:line="213" w:lineRule="auto"/>
        <w:tabs>
          <w:tab w:leader="none" w:pos="85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Offer Letter, together with the Award Grant Agreements, the Confidentiality Agreement and the Severance Agreement and any other agreements described herein, set forth the terms of your employment with the Company, and supersedes all prior offers, negotiations, representations, or agreements relating to such subject matter, whether written or oral, including, but not limited to, any representations made during your recruitment, interviews, or pre-employment negotiations. You acknowledge that neither the Company nor its agents have made any promise, representation, or warranty whatsoever, either express or implied, written or oral, which is not contained in this Offer Letter for the purposed of inducing you to execute this Offer Letter, and you acknowledge that you have executed this Offer Letter in reliance only upon such promises, representations, and warranties as are contained herein.</w:t>
      </w:r>
    </w:p>
    <w:p>
      <w:pPr>
        <w:spacing w:after="0" w:line="183" w:lineRule="exact"/>
        <w:rPr>
          <w:rFonts w:ascii="Arial" w:cs="Arial" w:eastAsia="Arial" w:hAnsi="Arial"/>
          <w:sz w:val="18"/>
          <w:szCs w:val="18"/>
          <w:color w:val="auto"/>
        </w:rPr>
      </w:pPr>
    </w:p>
    <w:p>
      <w:pPr>
        <w:jc w:val="both"/>
        <w:ind w:left="720" w:hanging="308"/>
        <w:spacing w:after="0" w:line="227" w:lineRule="auto"/>
        <w:tabs>
          <w:tab w:leader="none" w:pos="9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of this Offer Letter are severable, and if any part of it is found to be invalid or unenforceable, the other parts shall remain fully valid and enforceable. The provisions of this Offer Letter shall survive the termination of your employment for any reason to the extent necessary to enable the parties to enforce their respective rights under this Offer Letter.</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 accept our offer, please sign and date this Offer Letter below.</w:t>
      </w:r>
    </w:p>
    <w:p>
      <w:pPr>
        <w:spacing w:after="0" w:line="217" w:lineRule="exact"/>
        <w:rPr>
          <w:sz w:val="20"/>
          <w:szCs w:val="20"/>
          <w:color w:val="auto"/>
        </w:rPr>
      </w:pPr>
    </w:p>
    <w:p>
      <w:pPr>
        <w:ind w:left="100" w:right="100"/>
        <w:spacing w:after="0" w:line="234" w:lineRule="auto"/>
        <w:rPr>
          <w:sz w:val="20"/>
          <w:szCs w:val="20"/>
          <w:color w:val="auto"/>
        </w:rPr>
      </w:pPr>
      <w:r>
        <w:rPr>
          <w:rFonts w:ascii="Arial" w:cs="Arial" w:eastAsia="Arial" w:hAnsi="Arial"/>
          <w:sz w:val="18"/>
          <w:szCs w:val="18"/>
          <w:color w:val="auto"/>
        </w:rPr>
        <w:t>We’re all keenly looking forward to welcoming you aboard! If you have any question about this offer or its terms, please feel free to contact me or Annie McGuire, General Counsel and Chief People Officer, at annie.mcguire@veracyte.com.</w:t>
      </w: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Sincerely,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Marc Stapley</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 Stapley</w:t>
      </w:r>
    </w:p>
    <w:p>
      <w:pPr>
        <w:ind w:left="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Agreed to and accepted:</w:t>
      </w: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Times New Roman" w:cs="Times New Roman" w:eastAsia="Times New Roman" w:hAnsi="Times New Roman"/>
                <w:sz w:val="19"/>
                <w:szCs w:val="19"/>
                <w:color w:val="auto"/>
              </w:rPr>
              <w:t>Signature</w:t>
            </w:r>
          </w:p>
        </w:tc>
        <w:tc>
          <w:tcPr>
            <w:tcW w:w="64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 Philip Febbo</w:t>
            </w:r>
          </w:p>
        </w:tc>
      </w:tr>
      <w:tr>
        <w:trPr>
          <w:trHeight w:val="251"/>
        </w:trPr>
        <w:tc>
          <w:tcPr>
            <w:tcW w:w="2300" w:type="dxa"/>
            <w:vAlign w:val="bottom"/>
          </w:tcPr>
          <w:p>
            <w:pPr>
              <w:spacing w:after="0"/>
              <w:rPr>
                <w:sz w:val="20"/>
                <w:szCs w:val="20"/>
                <w:color w:val="auto"/>
              </w:rPr>
            </w:pPr>
            <w:r>
              <w:rPr>
                <w:rFonts w:ascii="Times New Roman" w:cs="Times New Roman" w:eastAsia="Times New Roman" w:hAnsi="Times New Roman"/>
                <w:sz w:val="19"/>
                <w:szCs w:val="19"/>
                <w:color w:val="auto"/>
              </w:rPr>
              <w:t>Printed Name:</w:t>
            </w:r>
          </w:p>
        </w:tc>
        <w:tc>
          <w:tcPr>
            <w:tcW w:w="44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Philip Febbo</w:t>
            </w:r>
          </w:p>
        </w:tc>
        <w:tc>
          <w:tcPr>
            <w:tcW w:w="1940" w:type="dxa"/>
            <w:vAlign w:val="bottom"/>
          </w:tcPr>
          <w:p>
            <w:pPr>
              <w:spacing w:after="0"/>
              <w:rPr>
                <w:sz w:val="21"/>
                <w:szCs w:val="21"/>
                <w:color w:val="auto"/>
              </w:rPr>
            </w:pPr>
          </w:p>
        </w:tc>
      </w:tr>
      <w:tr>
        <w:trPr>
          <w:trHeight w:val="245"/>
        </w:trPr>
        <w:tc>
          <w:tcPr>
            <w:tcW w:w="2300" w:type="dxa"/>
            <w:vAlign w:val="bottom"/>
          </w:tcPr>
          <w:p>
            <w:pPr>
              <w:spacing w:after="0"/>
              <w:rPr>
                <w:sz w:val="20"/>
                <w:szCs w:val="20"/>
                <w:color w:val="auto"/>
              </w:rPr>
            </w:pPr>
            <w:r>
              <w:rPr>
                <w:rFonts w:ascii="Times New Roman" w:cs="Times New Roman" w:eastAsia="Times New Roman" w:hAnsi="Times New Roman"/>
                <w:sz w:val="19"/>
                <w:szCs w:val="19"/>
                <w:color w:val="auto"/>
              </w:rPr>
              <w:t>Date:</w:t>
            </w:r>
          </w:p>
        </w:tc>
        <w:tc>
          <w:tcPr>
            <w:tcW w:w="4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9/13/2023</w:t>
            </w:r>
          </w:p>
        </w:tc>
        <w:tc>
          <w:tcPr>
            <w:tcW w:w="1940" w:type="dxa"/>
            <w:vAlign w:val="bottom"/>
          </w:tcPr>
          <w:p>
            <w:pPr>
              <w:spacing w:after="0"/>
              <w:rPr>
                <w:sz w:val="21"/>
                <w:szCs w:val="21"/>
                <w:color w:val="auto"/>
              </w:rPr>
            </w:pPr>
          </w:p>
        </w:tc>
      </w:tr>
      <w:tr>
        <w:trPr>
          <w:trHeight w:val="672"/>
        </w:trPr>
        <w:tc>
          <w:tcPr>
            <w:tcW w:w="2300" w:type="dxa"/>
            <w:vAlign w:val="bottom"/>
          </w:tcPr>
          <w:p>
            <w:pPr>
              <w:spacing w:after="0"/>
              <w:rPr>
                <w:sz w:val="24"/>
                <w:szCs w:val="24"/>
                <w:color w:val="auto"/>
              </w:rPr>
            </w:pPr>
          </w:p>
        </w:tc>
        <w:tc>
          <w:tcPr>
            <w:tcW w:w="6420" w:type="dxa"/>
            <w:vAlign w:val="bottom"/>
            <w:gridSpan w:val="2"/>
          </w:tcPr>
          <w:p>
            <w:pPr>
              <w:ind w:left="60"/>
              <w:spacing w:after="0"/>
              <w:rPr>
                <w:sz w:val="20"/>
                <w:szCs w:val="20"/>
                <w:color w:val="auto"/>
              </w:rPr>
            </w:pPr>
            <w:r>
              <w:rPr>
                <w:rFonts w:ascii="Arial" w:cs="Arial" w:eastAsia="Arial" w:hAnsi="Arial"/>
                <w:sz w:val="14"/>
                <w:szCs w:val="14"/>
                <w:color w:val="auto"/>
              </w:rPr>
              <w:t>6000 Shoreline Court, Suite 300, South San Francisco, CA 94080 | T: 650.243.6300 | F: 650.243.6301</w:t>
            </w:r>
          </w:p>
        </w:tc>
      </w:tr>
    </w:tbl>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Attachments</w:t>
      </w:r>
      <w:r>
        <w:rPr>
          <w:rFonts w:ascii="Arial" w:cs="Arial" w:eastAsia="Arial" w:hAnsi="Arial"/>
          <w:sz w:val="18"/>
          <w:szCs w:val="18"/>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Exhibit A: At-Will Employment, Confidential Information and Invention Assignment and Arbitration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Exhibit B: Change of Control and Severance Agreement Exhibit C: Indemnification Agreement</w:t>
      </w:r>
    </w:p>
    <w:p>
      <w:pPr>
        <w:spacing w:after="0" w:line="200" w:lineRule="exact"/>
        <w:rPr>
          <w:sz w:val="20"/>
          <w:szCs w:val="20"/>
          <w:color w:val="auto"/>
        </w:rPr>
      </w:pPr>
    </w:p>
    <w:p>
      <w:pPr>
        <w:spacing w:after="0" w:line="302" w:lineRule="exact"/>
        <w:rPr>
          <w:sz w:val="20"/>
          <w:szCs w:val="20"/>
          <w:color w:val="auto"/>
        </w:rPr>
      </w:pPr>
    </w:p>
    <w:p>
      <w:pPr>
        <w:jc w:val="right"/>
        <w:ind w:right="1339"/>
        <w:spacing w:after="0"/>
        <w:rPr>
          <w:sz w:val="20"/>
          <w:szCs w:val="20"/>
          <w:color w:val="auto"/>
        </w:rPr>
      </w:pPr>
      <w:r>
        <w:rPr>
          <w:rFonts w:ascii="Arial" w:cs="Arial" w:eastAsia="Arial" w:hAnsi="Arial"/>
          <w:sz w:val="14"/>
          <w:szCs w:val="14"/>
          <w:color w:val="auto"/>
        </w:rPr>
        <w:t>6000 Shoreline Court, Suite 300, South San Francisco, CA 94080 | T: 650.243.6300 | F: 650.243.6301</w:t>
      </w:r>
    </w:p>
    <w:p>
      <w:pPr>
        <w:sectPr>
          <w:pgSz w:w="11900" w:h="16838" w:orient="portrait"/>
          <w:cols w:equalWidth="0" w:num="1">
            <w:col w:w="10039"/>
          </w:cols>
          <w:pgMar w:left="420" w:top="1440"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9"/>
          <w:szCs w:val="19"/>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u w:val="single" w:color="auto"/>
          <w:color w:val="auto"/>
        </w:rPr>
        <w:t>VERACYTE, INC.</w:t>
      </w:r>
    </w:p>
    <w:p>
      <w:pPr>
        <w:spacing w:after="0" w:line="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CHANGE OF CONTROL AND SEVERANCE AGREEMENT</w:t>
      </w:r>
    </w:p>
    <w:p>
      <w:pPr>
        <w:spacing w:after="0" w:line="200" w:lineRule="exact"/>
        <w:rPr>
          <w:sz w:val="20"/>
          <w:szCs w:val="20"/>
          <w:color w:val="auto"/>
        </w:rPr>
      </w:pPr>
    </w:p>
    <w:p>
      <w:pPr>
        <w:spacing w:after="0" w:line="204" w:lineRule="exact"/>
        <w:rPr>
          <w:sz w:val="20"/>
          <w:szCs w:val="20"/>
          <w:color w:val="auto"/>
        </w:rPr>
      </w:pPr>
    </w:p>
    <w:p>
      <w:pPr>
        <w:jc w:val="both"/>
        <w:ind w:left="20" w:right="460" w:firstLine="634"/>
        <w:spacing w:after="0" w:line="245" w:lineRule="auto"/>
        <w:rPr>
          <w:sz w:val="20"/>
          <w:szCs w:val="20"/>
          <w:color w:val="auto"/>
        </w:rPr>
      </w:pPr>
      <w:r>
        <w:rPr>
          <w:rFonts w:ascii="Times New Roman" w:cs="Times New Roman" w:eastAsia="Times New Roman" w:hAnsi="Times New Roman"/>
          <w:sz w:val="19"/>
          <w:szCs w:val="19"/>
          <w:color w:val="auto"/>
        </w:rPr>
        <w:t>This Change of Control and Severance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and entered into by and between Phil Febbo(“</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 Veracyte,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effective as of October 2, 2023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82" w:lineRule="exact"/>
        <w:rPr>
          <w:sz w:val="20"/>
          <w:szCs w:val="20"/>
          <w:color w:val="auto"/>
        </w:rPr>
      </w:pPr>
    </w:p>
    <w:p>
      <w:pPr>
        <w:jc w:val="both"/>
        <w:ind w:left="20" w:right="480" w:firstLine="628"/>
        <w:spacing w:after="0" w:line="225" w:lineRule="auto"/>
        <w:tabs>
          <w:tab w:leader="none" w:pos="110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Lea to a Change of Control and to motivate Executive to maximize the value of the Company upon a Change of Control for the benefit of its stockholders.</w:t>
      </w:r>
    </w:p>
    <w:p>
      <w:pPr>
        <w:spacing w:after="0" w:line="51" w:lineRule="exact"/>
        <w:rPr>
          <w:rFonts w:ascii="Times New Roman" w:cs="Times New Roman" w:eastAsia="Times New Roman" w:hAnsi="Times New Roman"/>
          <w:sz w:val="19"/>
          <w:szCs w:val="19"/>
          <w:color w:val="auto"/>
        </w:rPr>
      </w:pPr>
    </w:p>
    <w:p>
      <w:pPr>
        <w:jc w:val="both"/>
        <w:ind w:left="20" w:right="460" w:firstLine="628"/>
        <w:spacing w:after="0" w:line="233" w:lineRule="auto"/>
        <w:tabs>
          <w:tab w:leader="none" w:pos="103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51" w:lineRule="exact"/>
        <w:rPr>
          <w:rFonts w:ascii="Times New Roman" w:cs="Times New Roman" w:eastAsia="Times New Roman" w:hAnsi="Times New Roman"/>
          <w:sz w:val="19"/>
          <w:szCs w:val="19"/>
          <w:color w:val="auto"/>
        </w:rPr>
      </w:pPr>
    </w:p>
    <w:p>
      <w:pPr>
        <w:ind w:left="980" w:hanging="331"/>
        <w:spacing w:after="0"/>
        <w:tabs>
          <w:tab w:leader="none" w:pos="98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Certain capitalized terms used in the Agreement are defined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below.</w:t>
      </w:r>
    </w:p>
    <w:p>
      <w:pPr>
        <w:spacing w:after="0" w:line="8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u w:val="single" w:color="auto"/>
          <w:color w:val="auto"/>
        </w:rPr>
        <w:t>AGREEMENT</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NOW, THEREFORE, in consideration of the mutual covenants contained herein, the parties hereto agree as </w:t>
      </w:r>
      <w:r>
        <w:rPr>
          <w:rFonts w:ascii="Times New Roman" w:cs="Times New Roman" w:eastAsia="Times New Roman" w:hAnsi="Times New Roman"/>
          <w:sz w:val="19"/>
          <w:szCs w:val="19"/>
          <w:color w:val="1F1F23"/>
        </w:rPr>
        <w:t>follows:</w:t>
      </w:r>
    </w:p>
    <w:p>
      <w:pPr>
        <w:spacing w:after="0" w:line="86" w:lineRule="exact"/>
        <w:rPr>
          <w:sz w:val="20"/>
          <w:szCs w:val="20"/>
          <w:color w:val="auto"/>
        </w:rPr>
      </w:pPr>
    </w:p>
    <w:p>
      <w:pPr>
        <w:jc w:val="both"/>
        <w:ind w:right="460" w:firstLine="649"/>
        <w:spacing w:after="0" w:line="220" w:lineRule="auto"/>
        <w:tabs>
          <w:tab w:leader="none" w:pos="1063"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of Agreement</w:t>
      </w:r>
      <w:r>
        <w:rPr>
          <w:rFonts w:ascii="Times New Roman" w:cs="Times New Roman" w:eastAsia="Times New Roman" w:hAnsi="Times New Roman"/>
          <w:sz w:val="19"/>
          <w:szCs w:val="19"/>
          <w:color w:val="auto"/>
        </w:rPr>
        <w:t>. This Agreement will have an initial term of four (4) years commencing on the Effective Date (the “</w:t>
      </w:r>
      <w:r>
        <w:rPr>
          <w:rFonts w:ascii="Times New Roman" w:cs="Times New Roman" w:eastAsia="Times New Roman" w:hAnsi="Times New Roman"/>
          <w:sz w:val="19"/>
          <w:szCs w:val="19"/>
          <w:b w:val="1"/>
          <w:bCs w:val="1"/>
          <w:i w:val="1"/>
          <w:iCs w:val="1"/>
          <w:color w:val="auto"/>
        </w:rPr>
        <w:t>Initial Term</w:t>
      </w:r>
      <w:r>
        <w:rPr>
          <w:rFonts w:ascii="Times New Roman" w:cs="Times New Roman" w:eastAsia="Times New Roman" w:hAnsi="Times New Roman"/>
          <w:sz w:val="19"/>
          <w:szCs w:val="19"/>
          <w:color w:val="auto"/>
        </w:rPr>
        <w:t>”). On the fourth anniversary of the Effective Date, this Agreement will renew automatically for additional one (1) year terms (each an “</w:t>
      </w:r>
      <w:r>
        <w:rPr>
          <w:rFonts w:ascii="Times New Roman" w:cs="Times New Roman" w:eastAsia="Times New Roman" w:hAnsi="Times New Roman"/>
          <w:sz w:val="19"/>
          <w:szCs w:val="19"/>
          <w:b w:val="1"/>
          <w:bCs w:val="1"/>
          <w:i w:val="1"/>
          <w:iCs w:val="1"/>
          <w:color w:val="auto"/>
        </w:rPr>
        <w:t>Additional Term</w:t>
      </w:r>
      <w:r>
        <w:rPr>
          <w:rFonts w:ascii="Times New Roman" w:cs="Times New Roman" w:eastAsia="Times New Roman" w:hAnsi="Times New Roman"/>
          <w:sz w:val="19"/>
          <w:szCs w:val="19"/>
          <w:color w:val="auto"/>
        </w:rPr>
        <w:t xml:space="preserve">”),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during the term of this Agreement, the Agreement will not terminate until all of the obligations of the parties hereto with respect to this Agreement have been satisfied.</w:t>
      </w:r>
    </w:p>
    <w:p>
      <w:pPr>
        <w:spacing w:after="0" w:line="52" w:lineRule="exact"/>
        <w:rPr>
          <w:rFonts w:ascii="Times New Roman" w:cs="Times New Roman" w:eastAsia="Times New Roman" w:hAnsi="Times New Roman"/>
          <w:sz w:val="19"/>
          <w:szCs w:val="19"/>
          <w:color w:val="auto"/>
        </w:rPr>
      </w:pPr>
    </w:p>
    <w:p>
      <w:pPr>
        <w:jc w:val="both"/>
        <w:ind w:left="20" w:right="460" w:firstLine="628"/>
        <w:spacing w:after="0" w:line="233" w:lineRule="auto"/>
        <w:tabs>
          <w:tab w:leader="none" w:pos="1007"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At-Will Employment</w:t>
      </w:r>
      <w:r>
        <w:rPr>
          <w:rFonts w:ascii="Times New Roman" w:cs="Times New Roman" w:eastAsia="Times New Roman" w:hAnsi="Times New Roman"/>
          <w:sz w:val="19"/>
          <w:szCs w:val="19"/>
          <w:color w:val="auto"/>
        </w:rPr>
        <w:t>. The Company and Executive acknowledge that Executive’s employment is and will continue to be at-will, as defined under applicable law</w:t>
      </w:r>
      <w:r>
        <w:rPr>
          <w:rFonts w:ascii="Times New Roman" w:cs="Times New Roman" w:eastAsia="Times New Roman" w:hAnsi="Times New Roman"/>
          <w:sz w:val="19"/>
          <w:szCs w:val="19"/>
          <w:color w:val="4A4A4A"/>
        </w:rPr>
        <w:t>.</w:t>
      </w:r>
      <w:r>
        <w:rPr>
          <w:rFonts w:ascii="Times New Roman" w:cs="Times New Roman" w:eastAsia="Times New Roman" w:hAnsi="Times New Roman"/>
          <w:sz w:val="19"/>
          <w:szCs w:val="19"/>
          <w:color w:val="auto"/>
        </w:rPr>
        <w:t xml:space="preserve"> As an at-will employee, either the Company or the Executive may terminate the employment relationship at any time, with or without Cause.</w:t>
      </w:r>
    </w:p>
    <w:p>
      <w:pPr>
        <w:spacing w:after="0" w:line="51" w:lineRule="exact"/>
        <w:rPr>
          <w:rFonts w:ascii="Times New Roman" w:cs="Times New Roman" w:eastAsia="Times New Roman" w:hAnsi="Times New Roman"/>
          <w:sz w:val="19"/>
          <w:szCs w:val="19"/>
          <w:color w:val="auto"/>
        </w:rPr>
      </w:pPr>
    </w:p>
    <w:p>
      <w:pPr>
        <w:ind w:left="980" w:hanging="331"/>
        <w:spacing w:after="0"/>
        <w:tabs>
          <w:tab w:leader="none" w:pos="98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Benefits</w:t>
      </w:r>
      <w:r>
        <w:rPr>
          <w:rFonts w:ascii="Times New Roman" w:cs="Times New Roman" w:eastAsia="Times New Roman" w:hAnsi="Times New Roman"/>
          <w:sz w:val="19"/>
          <w:szCs w:val="19"/>
          <w:color w:val="auto"/>
        </w:rPr>
        <w:t>.</w:t>
      </w:r>
    </w:p>
    <w:p>
      <w:pPr>
        <w:spacing w:after="0" w:line="85" w:lineRule="exact"/>
        <w:rPr>
          <w:rFonts w:ascii="Times New Roman" w:cs="Times New Roman" w:eastAsia="Times New Roman" w:hAnsi="Times New Roman"/>
          <w:sz w:val="19"/>
          <w:szCs w:val="19"/>
          <w:color w:val="auto"/>
        </w:rPr>
      </w:pPr>
    </w:p>
    <w:p>
      <w:pPr>
        <w:jc w:val="both"/>
        <w:ind w:left="20" w:right="460" w:firstLine="1263"/>
        <w:spacing w:after="0" w:line="229" w:lineRule="auto"/>
        <w:tabs>
          <w:tab w:leader="none" w:pos="1765"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 or Resignation for Good Reason Unrelated to a Change of Control</w:t>
      </w:r>
      <w:r>
        <w:rPr>
          <w:rFonts w:ascii="Times New Roman" w:cs="Times New Roman" w:eastAsia="Times New Roman" w:hAnsi="Times New Roman"/>
          <w:sz w:val="19"/>
          <w:szCs w:val="19"/>
          <w:color w:val="auto"/>
        </w:rPr>
        <w:t xml:space="preserve">. If the Company terminates Executive’s employment with the Company without Cause (excluding death or Disability) or if Executive resigns from such employment for Good Reason, and such termination occurs outside of the Change of Control Period, then subject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Executive will receive the following:</w:t>
      </w:r>
    </w:p>
    <w:p>
      <w:pPr>
        <w:spacing w:after="0" w:line="39" w:lineRule="exact"/>
        <w:rPr>
          <w:rFonts w:ascii="Times New Roman" w:cs="Times New Roman" w:eastAsia="Times New Roman" w:hAnsi="Times New Roman"/>
          <w:sz w:val="19"/>
          <w:szCs w:val="19"/>
          <w:color w:val="auto"/>
        </w:rPr>
      </w:pPr>
    </w:p>
    <w:p>
      <w:pPr>
        <w:ind w:left="20" w:right="480" w:firstLine="1899"/>
        <w:spacing w:after="0" w:line="255" w:lineRule="auto"/>
        <w:tabs>
          <w:tab w:leader="none" w:pos="2461"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Accrued Compensation</w:t>
      </w:r>
      <w:r>
        <w:rPr>
          <w:rFonts w:ascii="Times New Roman" w:cs="Times New Roman" w:eastAsia="Times New Roman" w:hAnsi="Times New Roman"/>
          <w:sz w:val="19"/>
          <w:szCs w:val="19"/>
          <w:color w:val="auto"/>
        </w:rPr>
        <w:t>. The Company will pay Executive all accrued but unpaid vacation, expense reimbursements, wages, and other benefits due to Executive under any Company-provided plans, policies, and arrangements.</w:t>
      </w:r>
    </w:p>
    <w:p>
      <w:pPr>
        <w:spacing w:after="0" w:line="38" w:lineRule="exact"/>
        <w:rPr>
          <w:rFonts w:ascii="Times New Roman" w:cs="Times New Roman" w:eastAsia="Times New Roman" w:hAnsi="Times New Roman"/>
          <w:sz w:val="19"/>
          <w:szCs w:val="19"/>
          <w:color w:val="auto"/>
        </w:rPr>
      </w:pPr>
    </w:p>
    <w:p>
      <w:pPr>
        <w:jc w:val="both"/>
        <w:ind w:left="20" w:right="480" w:firstLine="1899"/>
        <w:spacing w:after="0" w:line="233" w:lineRule="auto"/>
        <w:tabs>
          <w:tab w:leader="none" w:pos="2422"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Continuing Severance Payments</w:t>
      </w:r>
      <w:r>
        <w:rPr>
          <w:rFonts w:ascii="Times New Roman" w:cs="Times New Roman" w:eastAsia="Times New Roman" w:hAnsi="Times New Roman"/>
          <w:sz w:val="19"/>
          <w:szCs w:val="19"/>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51" w:lineRule="exact"/>
        <w:rPr>
          <w:rFonts w:ascii="Times New Roman" w:cs="Times New Roman" w:eastAsia="Times New Roman" w:hAnsi="Times New Roman"/>
          <w:sz w:val="19"/>
          <w:szCs w:val="19"/>
          <w:color w:val="auto"/>
        </w:rPr>
      </w:pPr>
    </w:p>
    <w:p>
      <w:pPr>
        <w:jc w:val="both"/>
        <w:ind w:left="20" w:right="460" w:firstLine="1899"/>
        <w:spacing w:after="0" w:line="233" w:lineRule="auto"/>
        <w:tabs>
          <w:tab w:leader="none" w:pos="2436"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Continuation Coverage</w:t>
      </w:r>
      <w:r>
        <w:rPr>
          <w:rFonts w:ascii="Times New Roman" w:cs="Times New Roman" w:eastAsia="Times New Roman" w:hAnsi="Times New Roman"/>
          <w:sz w:val="19"/>
          <w:szCs w:val="19"/>
          <w:color w:val="auto"/>
        </w:rPr>
        <w:t xml:space="preserve">. If Executive elects continuation coverage pursuant to the Consolidated Omnibus Budget Reconciliation Act of 1985, as amended </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xml:space="preserve"> within the time period prescribed pursuant to COBRA for Executive and Executive’s eligible dependents, then the Company will reimburse Executive for the COBRA premiums for such coverage</w:t>
      </w:r>
    </w:p>
    <w:p>
      <w:pPr>
        <w:sectPr>
          <w:pgSz w:w="11900" w:h="16838" w:orient="portrait"/>
          <w:cols w:equalWidth="0" w:num="1">
            <w:col w:w="11160"/>
          </w:cols>
          <w:pgMar w:left="400" w:top="104" w:right="339" w:bottom="1440" w:gutter="0" w:footer="0" w:header="0"/>
        </w:sectPr>
      </w:pPr>
    </w:p>
    <w:bookmarkStart w:id="152" w:name="page153"/>
    <w:bookmarkEnd w:id="152"/>
    <w:p>
      <w:pPr>
        <w:jc w:val="both"/>
        <w:ind w:left="6"/>
        <w:spacing w:after="0" w:line="230" w:lineRule="auto"/>
        <w:rPr>
          <w:sz w:val="20"/>
          <w:szCs w:val="20"/>
          <w:color w:val="auto"/>
        </w:rPr>
      </w:pPr>
      <w:r>
        <w:rPr>
          <w:rFonts w:ascii="Times New Roman" w:cs="Times New Roman" w:eastAsia="Times New Roman" w:hAnsi="Times New Roman"/>
          <w:sz w:val="19"/>
          <w:szCs w:val="19"/>
          <w:color w:val="auto"/>
        </w:rPr>
        <w:t>(at the coverage levels in effect immediately prior to Executive’s termination) until the earlier of (A) a period of six (6) months from the date of termination or (B) the date upon which Executive and/or Executive’s eligible dependents become covered under similar plans.</w:t>
      </w:r>
    </w:p>
    <w:p>
      <w:pPr>
        <w:ind w:left="6"/>
        <w:spacing w:after="0" w:line="210" w:lineRule="auto"/>
        <w:rPr>
          <w:sz w:val="20"/>
          <w:szCs w:val="20"/>
          <w:color w:val="auto"/>
        </w:rPr>
      </w:pPr>
      <w:r>
        <w:rPr>
          <w:rFonts w:ascii="Times New Roman" w:cs="Times New Roman" w:eastAsia="Times New Roman" w:hAnsi="Times New Roman"/>
          <w:sz w:val="19"/>
          <w:szCs w:val="19"/>
          <w:color w:val="auto"/>
        </w:rPr>
        <w:t xml:space="preserve">The reimbursements will be made by the Company to Executive consistent with the Company’s normal expense reimbursement policy. Notwithstanding the first sentence of this </w:t>
      </w:r>
      <w:r>
        <w:rPr>
          <w:rFonts w:ascii="Times New Roman" w:cs="Times New Roman" w:eastAsia="Times New Roman" w:hAnsi="Times New Roman"/>
          <w:sz w:val="19"/>
          <w:szCs w:val="19"/>
          <w:u w:val="single" w:color="auto"/>
          <w:color w:val="auto"/>
        </w:rPr>
        <w:t>Section 3(a)(iii)</w:t>
      </w:r>
      <w:r>
        <w:rPr>
          <w:rFonts w:ascii="Times New Roman" w:cs="Times New Roman" w:eastAsia="Times New Roman" w:hAnsi="Times New Roman"/>
          <w:sz w:val="19"/>
          <w:szCs w:val="19"/>
          <w:color w:val="auto"/>
        </w:rPr>
        <w:t>, if the Company determines in its sole discretion that it cannot provide the</w:t>
      </w:r>
    </w:p>
    <w:p>
      <w:pPr>
        <w:ind w:left="6"/>
        <w:spacing w:after="0" w:line="219" w:lineRule="auto"/>
        <w:rPr>
          <w:sz w:val="20"/>
          <w:szCs w:val="20"/>
          <w:color w:val="auto"/>
        </w:rPr>
      </w:pPr>
      <w:r>
        <w:rPr>
          <w:rFonts w:ascii="Times New Roman" w:cs="Times New Roman" w:eastAsia="Times New Roman" w:hAnsi="Times New Roman"/>
          <w:sz w:val="19"/>
          <w:szCs w:val="19"/>
          <w:color w:val="auto"/>
        </w:rPr>
        <w:t>foregoing benefit without potentially violating, or being subject to an excise tax under, applicable law (including, without limitation,</w:t>
      </w:r>
    </w:p>
    <w:p>
      <w:pPr>
        <w:spacing w:after="0" w:line="1" w:lineRule="exact"/>
        <w:rPr>
          <w:sz w:val="20"/>
          <w:szCs w:val="20"/>
          <w:color w:val="auto"/>
        </w:rPr>
      </w:pPr>
    </w:p>
    <w:p>
      <w:pPr>
        <w:ind w:left="6"/>
        <w:spacing w:after="0" w:line="210" w:lineRule="auto"/>
        <w:rPr>
          <w:sz w:val="20"/>
          <w:szCs w:val="20"/>
          <w:color w:val="auto"/>
        </w:rPr>
      </w:pPr>
      <w:r>
        <w:rPr>
          <w:rFonts w:ascii="Times New Roman" w:cs="Times New Roman" w:eastAsia="Times New Roman" w:hAnsi="Times New Roman"/>
          <w:sz w:val="19"/>
          <w:szCs w:val="19"/>
          <w:color w:val="auto"/>
        </w:rPr>
        <w:t>Section 2716 of the Public Health Service Act), the Company will in lieu thereof provide to Executive a taxable monthly payment, payable on the last day of a given month, in an amount equal to the monthly COBRA premium that Executive would be required to pay</w:t>
      </w:r>
    </w:p>
    <w:p>
      <w:pPr>
        <w:ind w:left="6"/>
        <w:spacing w:after="0" w:line="219" w:lineRule="auto"/>
        <w:rPr>
          <w:sz w:val="20"/>
          <w:szCs w:val="20"/>
          <w:color w:val="auto"/>
        </w:rPr>
      </w:pPr>
      <w:r>
        <w:rPr>
          <w:rFonts w:ascii="Times New Roman" w:cs="Times New Roman" w:eastAsia="Times New Roman" w:hAnsi="Times New Roman"/>
          <w:sz w:val="19"/>
          <w:szCs w:val="19"/>
          <w:color w:val="auto"/>
        </w:rPr>
        <w:t>to continue Executive’s group health coverage in effect on the termination of employment date (which amount will be based on the</w:t>
      </w:r>
    </w:p>
    <w:p>
      <w:pPr>
        <w:spacing w:after="0" w:line="1" w:lineRule="exact"/>
        <w:rPr>
          <w:sz w:val="20"/>
          <w:szCs w:val="20"/>
          <w:color w:val="auto"/>
        </w:rPr>
      </w:pPr>
    </w:p>
    <w:p>
      <w:pPr>
        <w:ind w:left="6"/>
        <w:spacing w:after="0" w:line="210" w:lineRule="auto"/>
        <w:rPr>
          <w:sz w:val="20"/>
          <w:szCs w:val="20"/>
          <w:color w:val="auto"/>
        </w:rPr>
      </w:pPr>
      <w:r>
        <w:rPr>
          <w:rFonts w:ascii="Times New Roman" w:cs="Times New Roman" w:eastAsia="Times New Roman" w:hAnsi="Times New Roman"/>
          <w:sz w:val="19"/>
          <w:szCs w:val="19"/>
          <w:color w:val="auto"/>
        </w:rPr>
        <w:t>premium for the first month of COBRA coverage), which payments will be made regardless of whether Executive elects COBRA continuation coverage and will commence on the month following Executive’s termination of employment and will end on the earlier of</w:t>
      </w:r>
    </w:p>
    <w:p>
      <w:pPr>
        <w:spacing w:after="0" w:line="1" w:lineRule="exact"/>
        <w:rPr>
          <w:sz w:val="20"/>
          <w:szCs w:val="20"/>
          <w:color w:val="auto"/>
        </w:rPr>
      </w:pPr>
    </w:p>
    <w:p>
      <w:pPr>
        <w:jc w:val="both"/>
        <w:ind w:left="6" w:hanging="6"/>
        <w:spacing w:after="0" w:line="225" w:lineRule="auto"/>
        <w:tabs>
          <w:tab w:leader="none" w:pos="285"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51" w:lineRule="exact"/>
        <w:rPr>
          <w:rFonts w:ascii="Times New Roman" w:cs="Times New Roman" w:eastAsia="Times New Roman" w:hAnsi="Times New Roman"/>
          <w:sz w:val="19"/>
          <w:szCs w:val="19"/>
          <w:color w:val="auto"/>
        </w:rPr>
      </w:pPr>
    </w:p>
    <w:p>
      <w:pPr>
        <w:jc w:val="both"/>
        <w:ind w:left="6" w:firstLine="1263"/>
        <w:spacing w:after="0" w:line="229" w:lineRule="auto"/>
        <w:tabs>
          <w:tab w:leader="none" w:pos="1815"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 or Resignation for Good Reason in Connection with a Change of Control</w:t>
      </w:r>
      <w:r>
        <w:rPr>
          <w:rFonts w:ascii="Times New Roman" w:cs="Times New Roman" w:eastAsia="Times New Roman" w:hAnsi="Times New Roman"/>
          <w:sz w:val="19"/>
          <w:szCs w:val="19"/>
          <w:color w:val="auto"/>
        </w:rPr>
        <w:t xml:space="preserve">. If the Company terminates Executive’s employment with the Company without Cause (excluding death or Disability) or if Executive resigns from such employment for Good Reason, and, in each case, such termination occurs during the Change of Control Period, then subject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Executive will receive the following</w:t>
      </w:r>
      <w:r>
        <w:rPr>
          <w:rFonts w:ascii="Times New Roman" w:cs="Times New Roman" w:eastAsia="Times New Roman" w:hAnsi="Times New Roman"/>
          <w:sz w:val="19"/>
          <w:szCs w:val="19"/>
          <w:color w:val="444444"/>
        </w:rPr>
        <w:t>:</w:t>
      </w:r>
    </w:p>
    <w:p>
      <w:pPr>
        <w:spacing w:after="0" w:line="39" w:lineRule="exact"/>
        <w:rPr>
          <w:rFonts w:ascii="Times New Roman" w:cs="Times New Roman" w:eastAsia="Times New Roman" w:hAnsi="Times New Roman"/>
          <w:sz w:val="19"/>
          <w:szCs w:val="19"/>
          <w:color w:val="auto"/>
        </w:rPr>
      </w:pPr>
    </w:p>
    <w:p>
      <w:pPr>
        <w:ind w:left="6" w:right="20" w:firstLine="1899"/>
        <w:spacing w:after="0" w:line="255" w:lineRule="auto"/>
        <w:tabs>
          <w:tab w:leader="none" w:pos="2447"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Accrued Compensation</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auto"/>
        </w:rPr>
        <w:t xml:space="preserve"> The Company will pay Executive all accrued but unpaid vacation, expense reimbursements, wages, and other benefits due to Executive under any Company-provided plans, policies, and arrangements.</w:t>
      </w:r>
    </w:p>
    <w:p>
      <w:pPr>
        <w:spacing w:after="0" w:line="38" w:lineRule="exact"/>
        <w:rPr>
          <w:rFonts w:ascii="Times New Roman" w:cs="Times New Roman" w:eastAsia="Times New Roman" w:hAnsi="Times New Roman"/>
          <w:sz w:val="19"/>
          <w:szCs w:val="19"/>
          <w:color w:val="auto"/>
        </w:rPr>
      </w:pPr>
    </w:p>
    <w:p>
      <w:pPr>
        <w:jc w:val="both"/>
        <w:ind w:left="6" w:firstLine="1899"/>
        <w:spacing w:after="0" w:line="220" w:lineRule="auto"/>
        <w:tabs>
          <w:tab w:leader="none" w:pos="2355"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Payment</w:t>
      </w:r>
      <w:r>
        <w:rPr>
          <w:rFonts w:ascii="Times New Roman" w:cs="Times New Roman" w:eastAsia="Times New Roman" w:hAnsi="Times New Roman"/>
          <w:sz w:val="19"/>
          <w:szCs w:val="19"/>
          <w:color w:val="auto"/>
        </w:rPr>
        <w:t xml:space="preserve">. Executive will receive a lump-sum payment (less applicable withholding taxes) equal to eighteen (18) months of Executive’s annual base salary as in effect immediately prior to Executive’s termination date or, if greater, at the level in effect immediately prior to the Change of Control. For the avoidance of doubt, if (x) Executive </w:t>
      </w:r>
      <w:r>
        <w:rPr>
          <w:rFonts w:ascii="Times New Roman" w:cs="Times New Roman" w:eastAsia="Times New Roman" w:hAnsi="Times New Roman"/>
          <w:sz w:val="19"/>
          <w:szCs w:val="19"/>
          <w:color w:val="343436"/>
        </w:rPr>
        <w:t>incurred</w:t>
      </w:r>
      <w:r>
        <w:rPr>
          <w:rFonts w:ascii="Times New Roman" w:cs="Times New Roman" w:eastAsia="Times New Roman" w:hAnsi="Times New Roman"/>
          <w:sz w:val="19"/>
          <w:szCs w:val="19"/>
          <w:color w:val="auto"/>
        </w:rPr>
        <w:t xml:space="preserve"> a termination prior to a Change of Control that qualifies Executive for severance payments under </w:t>
      </w:r>
      <w:r>
        <w:rPr>
          <w:rFonts w:ascii="Times New Roman" w:cs="Times New Roman" w:eastAsia="Times New Roman" w:hAnsi="Times New Roman"/>
          <w:sz w:val="19"/>
          <w:szCs w:val="19"/>
          <w:u w:val="single" w:color="auto"/>
          <w:color w:val="auto"/>
        </w:rPr>
        <w:t>Section 3(a)(ii)</w:t>
      </w:r>
      <w:r>
        <w:rPr>
          <w:rFonts w:ascii="Times New Roman" w:cs="Times New Roman" w:eastAsia="Times New Roman" w:hAnsi="Times New Roman"/>
          <w:sz w:val="19"/>
          <w:szCs w:val="19"/>
          <w:color w:val="auto"/>
        </w:rPr>
        <w:t xml:space="preserve">; and (y) a Change of Control occurs within the two (2)-month period following Executive’s termination of employment that qualifies Executive for the superior benefits under this </w:t>
      </w:r>
      <w:r>
        <w:rPr>
          <w:rFonts w:ascii="Times New Roman" w:cs="Times New Roman" w:eastAsia="Times New Roman" w:hAnsi="Times New Roman"/>
          <w:sz w:val="19"/>
          <w:szCs w:val="19"/>
          <w:u w:val="single" w:color="auto"/>
          <w:color w:val="auto"/>
        </w:rPr>
        <w:t>Section 3(b)(ii)</w:t>
      </w:r>
      <w:r>
        <w:rPr>
          <w:rFonts w:ascii="Times New Roman" w:cs="Times New Roman" w:eastAsia="Times New Roman" w:hAnsi="Times New Roman"/>
          <w:sz w:val="19"/>
          <w:szCs w:val="19"/>
          <w:color w:val="auto"/>
        </w:rPr>
        <w:t xml:space="preserve">, then Executive shall be entitled to a lump-sum payment of the amount calculated under this </w:t>
      </w:r>
      <w:r>
        <w:rPr>
          <w:rFonts w:ascii="Times New Roman" w:cs="Times New Roman" w:eastAsia="Times New Roman" w:hAnsi="Times New Roman"/>
          <w:sz w:val="19"/>
          <w:szCs w:val="19"/>
          <w:u w:val="single" w:color="auto"/>
          <w:color w:val="auto"/>
        </w:rPr>
        <w:t>Section 3(b)(ii)</w:t>
      </w:r>
      <w:r>
        <w:rPr>
          <w:rFonts w:ascii="Times New Roman" w:cs="Times New Roman" w:eastAsia="Times New Roman" w:hAnsi="Times New Roman"/>
          <w:sz w:val="19"/>
          <w:szCs w:val="19"/>
          <w:color w:val="auto"/>
        </w:rPr>
        <w:t xml:space="preserve">, less amounts already paid under </w:t>
      </w:r>
      <w:r>
        <w:rPr>
          <w:rFonts w:ascii="Times New Roman" w:cs="Times New Roman" w:eastAsia="Times New Roman" w:hAnsi="Times New Roman"/>
          <w:sz w:val="19"/>
          <w:szCs w:val="19"/>
          <w:u w:val="single" w:color="auto"/>
          <w:color w:val="auto"/>
        </w:rPr>
        <w:t>Section 3(a)(ii)</w:t>
      </w:r>
      <w:r>
        <w:rPr>
          <w:rFonts w:ascii="Times New Roman" w:cs="Times New Roman" w:eastAsia="Times New Roman" w:hAnsi="Times New Roman"/>
          <w:sz w:val="19"/>
          <w:szCs w:val="19"/>
          <w:color w:val="auto"/>
        </w:rPr>
        <w:t xml:space="preserve"> and such amount lump-sum amount shall be payable upon the later of:(A) the Change of Control, (B) the date the Release (as defined below) is effective and irrevocable; or (C) such later date required by </w:t>
      </w:r>
      <w:r>
        <w:rPr>
          <w:rFonts w:ascii="Times New Roman" w:cs="Times New Roman" w:eastAsia="Times New Roman" w:hAnsi="Times New Roman"/>
          <w:sz w:val="19"/>
          <w:szCs w:val="19"/>
          <w:u w:val="single" w:color="auto"/>
          <w:color w:val="auto"/>
        </w:rPr>
        <w:t>Section 4(c)</w:t>
      </w:r>
      <w:r>
        <w:rPr>
          <w:rFonts w:ascii="Times New Roman" w:cs="Times New Roman" w:eastAsia="Times New Roman" w:hAnsi="Times New Roman"/>
          <w:sz w:val="19"/>
          <w:szCs w:val="19"/>
          <w:color w:val="auto"/>
        </w:rPr>
        <w:t>.</w:t>
      </w:r>
    </w:p>
    <w:p>
      <w:pPr>
        <w:spacing w:after="0" w:line="52" w:lineRule="exact"/>
        <w:rPr>
          <w:rFonts w:ascii="Times New Roman" w:cs="Times New Roman" w:eastAsia="Times New Roman" w:hAnsi="Times New Roman"/>
          <w:sz w:val="19"/>
          <w:szCs w:val="19"/>
          <w:color w:val="auto"/>
        </w:rPr>
      </w:pPr>
    </w:p>
    <w:p>
      <w:pPr>
        <w:jc w:val="both"/>
        <w:ind w:left="6" w:firstLine="1899"/>
        <w:spacing w:after="0" w:line="217" w:lineRule="auto"/>
        <w:tabs>
          <w:tab w:leader="none" w:pos="2395" w:val="left"/>
        </w:tabs>
        <w:numPr>
          <w:ilvl w:val="2"/>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Bonus Payment</w:t>
      </w:r>
      <w:r>
        <w:rPr>
          <w:rFonts w:ascii="Times New Roman" w:cs="Times New Roman" w:eastAsia="Times New Roman" w:hAnsi="Times New Roman"/>
          <w:sz w:val="19"/>
          <w:szCs w:val="19"/>
          <w:color w:val="auto"/>
        </w:rPr>
        <w:t xml:space="preserve">. Executive will receive a lump-sum payment equal to one hundred fifty percent (150%) of the higher of (A)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w:t>
      </w:r>
      <w:r>
        <w:rPr>
          <w:rFonts w:ascii="Times New Roman" w:cs="Times New Roman" w:eastAsia="Times New Roman" w:hAnsi="Times New Roman"/>
          <w:sz w:val="19"/>
          <w:szCs w:val="19"/>
          <w:u w:val="single" w:color="auto"/>
          <w:color w:val="auto"/>
        </w:rPr>
        <w:t>Section 3(b)</w:t>
      </w:r>
    </w:p>
    <w:p>
      <w:pPr>
        <w:ind w:left="6" w:right="20" w:hanging="6"/>
        <w:spacing w:after="0" w:line="235" w:lineRule="auto"/>
        <w:tabs>
          <w:tab w:leader="none" w:pos="373" w:val="left"/>
        </w:tabs>
        <w:numPr>
          <w:ilvl w:val="0"/>
          <w:numId w:val="9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will not be prorated based on the actual amount of time Executive is employed by the Company during the fiscal year (or the relevant performance period if something different than a fiscal year) during which the termination occurs.</w:t>
      </w:r>
    </w:p>
    <w:p>
      <w:pPr>
        <w:spacing w:after="0" w:line="53" w:lineRule="exact"/>
        <w:rPr>
          <w:rFonts w:ascii="Times New Roman" w:cs="Times New Roman" w:eastAsia="Times New Roman" w:hAnsi="Times New Roman"/>
          <w:sz w:val="19"/>
          <w:szCs w:val="19"/>
          <w:u w:val="single" w:color="auto"/>
          <w:color w:val="auto"/>
        </w:rPr>
      </w:pPr>
    </w:p>
    <w:p>
      <w:pPr>
        <w:jc w:val="both"/>
        <w:ind w:left="6" w:firstLine="1899"/>
        <w:spacing w:after="0" w:line="218" w:lineRule="auto"/>
        <w:tabs>
          <w:tab w:leader="none" w:pos="2464" w:val="left"/>
        </w:tabs>
        <w:numPr>
          <w:ilvl w:val="2"/>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Continuation Coverage</w:t>
      </w:r>
      <w:r>
        <w:rPr>
          <w:rFonts w:ascii="Times New Roman" w:cs="Times New Roman" w:eastAsia="Times New Roman" w:hAnsi="Times New Roman"/>
          <w:sz w:val="19"/>
          <w:szCs w:val="19"/>
          <w:color w:val="585858"/>
        </w:rPr>
        <w:t>.</w:t>
      </w:r>
      <w:r>
        <w:rPr>
          <w:rFonts w:ascii="Times New Roman" w:cs="Times New Roman" w:eastAsia="Times New Roman" w:hAnsi="Times New Roman"/>
          <w:sz w:val="19"/>
          <w:szCs w:val="19"/>
          <w:color w:val="auto"/>
        </w:rPr>
        <w:t xml:space="preserve">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w:t>
      </w:r>
      <w:r>
        <w:rPr>
          <w:rFonts w:ascii="Times New Roman" w:cs="Times New Roman" w:eastAsia="Times New Roman" w:hAnsi="Times New Roman"/>
          <w:sz w:val="19"/>
          <w:szCs w:val="19"/>
          <w:u w:val="single" w:color="auto"/>
          <w:color w:val="auto"/>
        </w:rPr>
        <w:t>Section 3(b)(iv)</w:t>
      </w:r>
      <w:r>
        <w:rPr>
          <w:rFonts w:ascii="Times New Roman" w:cs="Times New Roman" w:eastAsia="Times New Roman" w:hAnsi="Times New Roman"/>
          <w:sz w:val="19"/>
          <w:szCs w:val="19"/>
          <w:color w:val="auto"/>
        </w:rPr>
        <w:t>,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w:t>
      </w:r>
    </w:p>
    <w:p>
      <w:pPr>
        <w:sectPr>
          <w:pgSz w:w="11900" w:h="16838" w:orient="portrait"/>
          <w:cols w:equalWidth="0" w:num="1">
            <w:col w:w="10686"/>
          </w:cols>
          <w:pgMar w:left="414" w:top="1387" w:right="799" w:bottom="1440" w:gutter="0" w:footer="0" w:header="0"/>
        </w:sectPr>
      </w:pPr>
    </w:p>
    <w:bookmarkStart w:id="153" w:name="page154"/>
    <w:bookmarkEnd w:id="153"/>
    <w:p>
      <w:pPr>
        <w:ind w:right="20"/>
        <w:spacing w:after="0" w:line="230" w:lineRule="auto"/>
        <w:rPr>
          <w:sz w:val="20"/>
          <w:szCs w:val="20"/>
          <w:color w:val="auto"/>
        </w:rPr>
      </w:pPr>
      <w:r>
        <w:rPr>
          <w:rFonts w:ascii="Times New Roman" w:cs="Times New Roman" w:eastAsia="Times New Roman" w:hAnsi="Times New Roman"/>
          <w:sz w:val="19"/>
          <w:szCs w:val="19"/>
          <w:color w:val="auto"/>
        </w:rPr>
        <w:t>effect on the termination of employment date (which amount will be based on the premium for the first month of COBRA coverage), which payments will be made regardless of whether Executive elects COBRA continuation coverage and will commence on the month</w:t>
      </w:r>
    </w:p>
    <w:p>
      <w:pPr>
        <w:spacing w:after="0" w:line="210" w:lineRule="auto"/>
        <w:rPr>
          <w:sz w:val="20"/>
          <w:szCs w:val="20"/>
          <w:color w:val="auto"/>
        </w:rPr>
      </w:pPr>
      <w:r>
        <w:rPr>
          <w:rFonts w:ascii="Times New Roman" w:cs="Times New Roman" w:eastAsia="Times New Roman" w:hAnsi="Times New Roman"/>
          <w:sz w:val="19"/>
          <w:szCs w:val="19"/>
          <w:color w:val="auto"/>
        </w:rPr>
        <w:t>following Executive’s termination of employment and will end on the earlier of (x) the date upon which Executive obtains other employment or (y) the date the Company has paid an amount equal to eighteen (18) payments. For the avoidance of doubt, the taxable</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payments in lieu of COBRA reimbursements may be used for any purpose, including, but not limited to continuation coverage under COBRA, and will be subject to all applicable tax withholdings.</w:t>
      </w:r>
    </w:p>
    <w:p>
      <w:pPr>
        <w:spacing w:after="0" w:line="40" w:lineRule="exact"/>
        <w:rPr>
          <w:sz w:val="20"/>
          <w:szCs w:val="20"/>
          <w:color w:val="auto"/>
        </w:rPr>
      </w:pPr>
    </w:p>
    <w:p>
      <w:pPr>
        <w:jc w:val="both"/>
        <w:ind w:firstLine="1899"/>
        <w:spacing w:after="0" w:line="227" w:lineRule="auto"/>
        <w:tabs>
          <w:tab w:leader="none" w:pos="2364"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Accelerated Vesting of Equity Awards</w:t>
      </w:r>
      <w:r>
        <w:rPr>
          <w:rFonts w:ascii="Times New Roman" w:cs="Times New Roman" w:eastAsia="Times New Roman" w:hAnsi="Times New Roman"/>
          <w:sz w:val="19"/>
          <w:szCs w:val="19"/>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38" w:lineRule="exact"/>
        <w:rPr>
          <w:rFonts w:ascii="Times New Roman" w:cs="Times New Roman" w:eastAsia="Times New Roman" w:hAnsi="Times New Roman"/>
          <w:sz w:val="19"/>
          <w:szCs w:val="19"/>
          <w:color w:val="auto"/>
        </w:rPr>
      </w:pPr>
    </w:p>
    <w:p>
      <w:pPr>
        <w:jc w:val="both"/>
        <w:ind w:firstLine="1263"/>
        <w:spacing w:after="0" w:line="218" w:lineRule="auto"/>
        <w:tabs>
          <w:tab w:leader="none" w:pos="1758"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 or Resignation for Good Reason during First Year of Employment</w:t>
      </w:r>
      <w:r>
        <w:rPr>
          <w:rFonts w:ascii="Times New Roman" w:cs="Times New Roman" w:eastAsia="Times New Roman" w:hAnsi="Times New Roman"/>
          <w:sz w:val="19"/>
          <w:szCs w:val="19"/>
          <w:color w:val="auto"/>
        </w:rPr>
        <w:t xml:space="preserve">. If the Company terminates Executive’s employment with the Company without Cause (excluding death or Disability) or if Executive resigns from such employment for Good Reason, and, in each case, such termination occurs during the period beginning on Executive’s employment start date and ending twelve (12) months following Executive’s employment start date, then subject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the award of stock options and restricted stock units granted in connection with Executive’s commencement of employment with the Company that is subject solely to time and service based vesting (Executive’s “</w:t>
      </w:r>
      <w:r>
        <w:rPr>
          <w:rFonts w:ascii="Times New Roman" w:cs="Times New Roman" w:eastAsia="Times New Roman" w:hAnsi="Times New Roman"/>
          <w:sz w:val="19"/>
          <w:szCs w:val="19"/>
          <w:b w:val="1"/>
          <w:bCs w:val="1"/>
          <w:i w:val="1"/>
          <w:iCs w:val="1"/>
          <w:color w:val="auto"/>
        </w:rPr>
        <w:t>Time-Vesting New Hire RSUs and Options</w:t>
      </w:r>
      <w:r>
        <w:rPr>
          <w:rFonts w:ascii="Times New Roman" w:cs="Times New Roman" w:eastAsia="Times New Roman" w:hAnsi="Times New Roman"/>
          <w:sz w:val="19"/>
          <w:szCs w:val="19"/>
          <w:color w:val="auto"/>
        </w:rPr>
        <w:t>”) shall vest as to (i) for the New Hire RSU, the number of shares subject thereto that would have become vested on December 2, 2024 and (ii) for the New Hire Option, the number of shares subject thereto that would have become vested on the initial one-year cliff (the “</w:t>
      </w:r>
      <w:r>
        <w:rPr>
          <w:rFonts w:ascii="Times New Roman" w:cs="Times New Roman" w:eastAsia="Times New Roman" w:hAnsi="Times New Roman"/>
          <w:sz w:val="19"/>
          <w:szCs w:val="19"/>
          <w:b w:val="1"/>
          <w:bCs w:val="1"/>
          <w:i w:val="1"/>
          <w:iCs w:val="1"/>
          <w:color w:val="auto"/>
        </w:rPr>
        <w:t>New Hire RSU and Option Acceleration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444444"/>
        </w:rPr>
        <w:t xml:space="preserve">For the avoidance of doubt, the New Hire RSU and Option Acceleration shall apply only to the Time-Vesting New Hire RSUs and Options, and shall not apply to any other Equity Awards, including any performance based Equity Awards (including any such award then-subject solely to time and service based vesting following achievement (or waiver) of applicable performance criteria). The acceleration set forth in this </w:t>
      </w:r>
      <w:r>
        <w:rPr>
          <w:rFonts w:ascii="Times New Roman" w:cs="Times New Roman" w:eastAsia="Times New Roman" w:hAnsi="Times New Roman"/>
          <w:sz w:val="19"/>
          <w:szCs w:val="19"/>
          <w:u w:val="single" w:color="auto"/>
          <w:color w:val="444444"/>
        </w:rPr>
        <w:t>Section 3(c)</w:t>
      </w:r>
      <w:r>
        <w:rPr>
          <w:rFonts w:ascii="Times New Roman" w:cs="Times New Roman" w:eastAsia="Times New Roman" w:hAnsi="Times New Roman"/>
          <w:sz w:val="19"/>
          <w:szCs w:val="19"/>
          <w:color w:val="444444"/>
        </w:rPr>
        <w:t xml:space="preserve"> shall be in addition to the payments and benefits Executive may be entitled to pursuant to </w:t>
      </w:r>
      <w:r>
        <w:rPr>
          <w:rFonts w:ascii="Times New Roman" w:cs="Times New Roman" w:eastAsia="Times New Roman" w:hAnsi="Times New Roman"/>
          <w:sz w:val="19"/>
          <w:szCs w:val="19"/>
          <w:u w:val="single" w:color="auto"/>
          <w:color w:val="444444"/>
        </w:rPr>
        <w:t>Section 3(a)</w:t>
      </w:r>
      <w:r>
        <w:rPr>
          <w:rFonts w:ascii="Times New Roman" w:cs="Times New Roman" w:eastAsia="Times New Roman" w:hAnsi="Times New Roman"/>
          <w:sz w:val="19"/>
          <w:szCs w:val="19"/>
          <w:color w:val="444444"/>
        </w:rPr>
        <w:t xml:space="preserve"> or </w:t>
      </w:r>
      <w:r>
        <w:rPr>
          <w:rFonts w:ascii="Times New Roman" w:cs="Times New Roman" w:eastAsia="Times New Roman" w:hAnsi="Times New Roman"/>
          <w:sz w:val="19"/>
          <w:szCs w:val="19"/>
          <w:u w:val="single" w:color="auto"/>
          <w:color w:val="444444"/>
        </w:rPr>
        <w:t>Section 3(b)</w:t>
      </w:r>
      <w:r>
        <w:rPr>
          <w:rFonts w:ascii="Times New Roman" w:cs="Times New Roman" w:eastAsia="Times New Roman" w:hAnsi="Times New Roman"/>
          <w:sz w:val="19"/>
          <w:szCs w:val="19"/>
          <w:color w:val="444444"/>
        </w:rPr>
        <w:t>, as applicable, in connection with Executive’s employment.</w:t>
      </w:r>
    </w:p>
    <w:p>
      <w:pPr>
        <w:spacing w:after="0" w:line="53" w:lineRule="exact"/>
        <w:rPr>
          <w:rFonts w:ascii="Times New Roman" w:cs="Times New Roman" w:eastAsia="Times New Roman" w:hAnsi="Times New Roman"/>
          <w:sz w:val="19"/>
          <w:szCs w:val="19"/>
          <w:color w:val="auto"/>
        </w:rPr>
      </w:pPr>
    </w:p>
    <w:p>
      <w:pPr>
        <w:jc w:val="both"/>
        <w:ind w:right="20" w:firstLine="1263"/>
        <w:spacing w:after="0" w:line="229" w:lineRule="auto"/>
        <w:tabs>
          <w:tab w:leader="none" w:pos="1848"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Resignation; Termination for Cause</w:t>
      </w:r>
      <w:r>
        <w:rPr>
          <w:rFonts w:ascii="Times New Roman" w:cs="Times New Roman" w:eastAsia="Times New Roman" w:hAnsi="Times New Roman"/>
          <w:sz w:val="19"/>
          <w:szCs w:val="19"/>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52" w:lineRule="exact"/>
        <w:rPr>
          <w:rFonts w:ascii="Times New Roman" w:cs="Times New Roman" w:eastAsia="Times New Roman" w:hAnsi="Times New Roman"/>
          <w:sz w:val="19"/>
          <w:szCs w:val="19"/>
          <w:color w:val="auto"/>
        </w:rPr>
      </w:pPr>
    </w:p>
    <w:p>
      <w:pPr>
        <w:jc w:val="both"/>
        <w:ind w:firstLine="1263"/>
        <w:spacing w:after="0" w:line="229" w:lineRule="auto"/>
        <w:tabs>
          <w:tab w:leader="none" w:pos="1785"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 Death</w:t>
      </w:r>
      <w:r>
        <w:rPr>
          <w:rFonts w:ascii="Times New Roman" w:cs="Times New Roman" w:eastAsia="Times New Roman" w:hAnsi="Times New Roman"/>
          <w:sz w:val="19"/>
          <w:szCs w:val="19"/>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39" w:lineRule="exact"/>
        <w:rPr>
          <w:rFonts w:ascii="Times New Roman" w:cs="Times New Roman" w:eastAsia="Times New Roman" w:hAnsi="Times New Roman"/>
          <w:sz w:val="19"/>
          <w:szCs w:val="19"/>
          <w:color w:val="auto"/>
        </w:rPr>
      </w:pPr>
    </w:p>
    <w:p>
      <w:pPr>
        <w:jc w:val="both"/>
        <w:ind w:firstLine="1263"/>
        <w:spacing w:after="0" w:line="225" w:lineRule="auto"/>
        <w:tabs>
          <w:tab w:leader="none" w:pos="1684"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Exclusive Remedy</w:t>
      </w:r>
      <w:r>
        <w:rPr>
          <w:rFonts w:ascii="Times New Roman" w:cs="Times New Roman" w:eastAsia="Times New Roman" w:hAnsi="Times New Roman"/>
          <w:sz w:val="19"/>
          <w:szCs w:val="19"/>
          <w:color w:val="auto"/>
        </w:rPr>
        <w:t xml:space="preserve">. In the event of a termination of Executive’s employment as set forth in </w:t>
      </w:r>
      <w:r>
        <w:rPr>
          <w:rFonts w:ascii="Times New Roman" w:cs="Times New Roman" w:eastAsia="Times New Roman" w:hAnsi="Times New Roman"/>
          <w:sz w:val="19"/>
          <w:szCs w:val="19"/>
          <w:u w:val="single" w:color="auto"/>
          <w:color w:val="auto"/>
        </w:rPr>
        <w:t>Section 3(a), (b) or (c)</w:t>
      </w:r>
      <w:r>
        <w:rPr>
          <w:rFonts w:ascii="Times New Roman" w:cs="Times New Roman" w:eastAsia="Times New Roman" w:hAnsi="Times New Roman"/>
          <w:sz w:val="19"/>
          <w:szCs w:val="19"/>
          <w:color w:val="auto"/>
        </w:rPr>
        <w:t xml:space="preserve"> of this Agreement, the provisions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41" w:lineRule="exact"/>
        <w:rPr>
          <w:rFonts w:ascii="Times New Roman" w:cs="Times New Roman" w:eastAsia="Times New Roman" w:hAnsi="Times New Roman"/>
          <w:sz w:val="19"/>
          <w:szCs w:val="19"/>
          <w:color w:val="auto"/>
        </w:rPr>
      </w:pPr>
    </w:p>
    <w:p>
      <w:pPr>
        <w:ind w:left="960" w:hanging="331"/>
        <w:spacing w:after="0"/>
        <w:tabs>
          <w:tab w:leader="none" w:pos="96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to Receipt of Severance</w:t>
      </w:r>
    </w:p>
    <w:p>
      <w:pPr>
        <w:spacing w:after="0" w:line="85" w:lineRule="exact"/>
        <w:rPr>
          <w:rFonts w:ascii="Times New Roman" w:cs="Times New Roman" w:eastAsia="Times New Roman" w:hAnsi="Times New Roman"/>
          <w:sz w:val="19"/>
          <w:szCs w:val="19"/>
          <w:color w:val="auto"/>
        </w:rPr>
      </w:pPr>
    </w:p>
    <w:p>
      <w:pPr>
        <w:jc w:val="both"/>
        <w:ind w:right="20" w:firstLine="1263"/>
        <w:spacing w:after="0" w:line="223" w:lineRule="auto"/>
        <w:tabs>
          <w:tab w:leader="none" w:pos="1716"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Release of Claims Agreement. The receipt of any severance payments or benefits (other than the accrued benefits set forth in either </w:t>
      </w:r>
      <w:r>
        <w:rPr>
          <w:rFonts w:ascii="Times New Roman" w:cs="Times New Roman" w:eastAsia="Times New Roman" w:hAnsi="Times New Roman"/>
          <w:sz w:val="19"/>
          <w:szCs w:val="19"/>
          <w:u w:val="single" w:color="auto"/>
          <w:color w:val="auto"/>
        </w:rPr>
        <w:t>Sections 3(a)(i) or 3(b)(i))</w:t>
      </w:r>
      <w:r>
        <w:rPr>
          <w:rFonts w:ascii="Times New Roman" w:cs="Times New Roman" w:eastAsia="Times New Roman" w:hAnsi="Times New Roman"/>
          <w:sz w:val="19"/>
          <w:szCs w:val="19"/>
          <w:color w:val="auto"/>
        </w:rPr>
        <w:t xml:space="preserve"> pursuant to this Agreement is subject to Executive signing and not revoking a separation agreement and release of claims in substantially the form attached hereto as Exhibit A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which must become effective and irrevocable no later than the sixtieth (60th) day following Executive’s termination of employment (the “</w:t>
      </w:r>
      <w:r>
        <w:rPr>
          <w:rFonts w:ascii="Times New Roman" w:cs="Times New Roman" w:eastAsia="Times New Roman" w:hAnsi="Times New Roman"/>
          <w:sz w:val="19"/>
          <w:szCs w:val="19"/>
          <w:b w:val="1"/>
          <w:bCs w:val="1"/>
          <w:i w:val="1"/>
          <w:iCs w:val="1"/>
          <w:color w:val="auto"/>
        </w:rPr>
        <w:t>Release Deadline</w:t>
      </w:r>
      <w:r>
        <w:rPr>
          <w:rFonts w:ascii="Times New Roman" w:cs="Times New Roman" w:eastAsia="Times New Roman" w:hAnsi="Times New Roman"/>
          <w:sz w:val="19"/>
          <w:szCs w:val="19"/>
          <w:color w:val="auto"/>
        </w:rPr>
        <w:t>”). If the Release does not become effective and irrevocable by the Release Deadline, Executive will forfeit any right to severance payments or benefits under this</w:t>
      </w:r>
    </w:p>
    <w:p>
      <w:pPr>
        <w:sectPr>
          <w:pgSz w:w="11900" w:h="16838" w:orient="portrait"/>
          <w:cols w:equalWidth="0" w:num="1">
            <w:col w:w="10680"/>
          </w:cols>
          <w:pgMar w:left="420" w:top="1387" w:right="799" w:bottom="1440" w:gutter="0" w:footer="0" w:header="0"/>
        </w:sectPr>
      </w:pPr>
    </w:p>
    <w:bookmarkStart w:id="154" w:name="page155"/>
    <w:bookmarkEnd w:id="154"/>
    <w:p>
      <w:pPr>
        <w:spacing w:after="0" w:line="255" w:lineRule="auto"/>
        <w:rPr>
          <w:sz w:val="20"/>
          <w:szCs w:val="20"/>
          <w:color w:val="auto"/>
        </w:rPr>
      </w:pPr>
      <w:r>
        <w:rPr>
          <w:rFonts w:ascii="Times New Roman" w:cs="Times New Roman" w:eastAsia="Times New Roman" w:hAnsi="Times New Roman"/>
          <w:sz w:val="19"/>
          <w:szCs w:val="19"/>
          <w:color w:val="auto"/>
        </w:rPr>
        <w:t>Agreement. In no event will severance payments or benefits be paid or provided until the Release actually becomes effective and irrevocable.</w:t>
      </w:r>
    </w:p>
    <w:p>
      <w:pPr>
        <w:spacing w:after="0" w:line="39" w:lineRule="exact"/>
        <w:rPr>
          <w:sz w:val="20"/>
          <w:szCs w:val="20"/>
          <w:color w:val="auto"/>
        </w:rPr>
      </w:pPr>
    </w:p>
    <w:p>
      <w:pPr>
        <w:jc w:val="both"/>
        <w:ind w:right="20" w:firstLine="1263"/>
        <w:spacing w:after="0" w:line="229" w:lineRule="auto"/>
        <w:tabs>
          <w:tab w:leader="none" w:pos="1729"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and Invention Assignment Agreements</w:t>
      </w:r>
      <w:r>
        <w:rPr>
          <w:rFonts w:ascii="Times New Roman" w:cs="Times New Roman" w:eastAsia="Times New Roman" w:hAnsi="Times New Roman"/>
          <w:sz w:val="19"/>
          <w:szCs w:val="19"/>
          <w:color w:val="auto"/>
        </w:rPr>
        <w:t xml:space="preserve">. Executive’s receipt of any payments or benefits under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(other than the accrued benefits set forth in either </w:t>
      </w:r>
      <w:r>
        <w:rPr>
          <w:rFonts w:ascii="Times New Roman" w:cs="Times New Roman" w:eastAsia="Times New Roman" w:hAnsi="Times New Roman"/>
          <w:sz w:val="19"/>
          <w:szCs w:val="19"/>
          <w:u w:val="single" w:color="auto"/>
          <w:color w:val="auto"/>
        </w:rPr>
        <w:t>Sections 3(a)(i) or 3(b)(i))</w:t>
      </w:r>
      <w:r>
        <w:rPr>
          <w:rFonts w:ascii="Times New Roman" w:cs="Times New Roman" w:eastAsia="Times New Roman" w:hAnsi="Times New Roman"/>
          <w:sz w:val="19"/>
          <w:szCs w:val="19"/>
          <w:color w:val="auto"/>
        </w:rPr>
        <w:t xml:space="preserve"> will be subject to Executive continuing to comply with the terms of the Confidentiality Agreement, dated on or about October 2, 2023, between the Company and Executive, as such agreement may be amended from time to time.</w:t>
      </w:r>
    </w:p>
    <w:p>
      <w:pPr>
        <w:spacing w:after="0" w:line="39" w:lineRule="exact"/>
        <w:rPr>
          <w:rFonts w:ascii="Times New Roman" w:cs="Times New Roman" w:eastAsia="Times New Roman" w:hAnsi="Times New Roman"/>
          <w:sz w:val="19"/>
          <w:szCs w:val="19"/>
          <w:color w:val="auto"/>
        </w:rPr>
      </w:pPr>
    </w:p>
    <w:p>
      <w:pPr>
        <w:ind w:left="1680" w:hanging="415"/>
        <w:spacing w:after="0"/>
        <w:tabs>
          <w:tab w:leader="none" w:pos="168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85" w:lineRule="exact"/>
        <w:rPr>
          <w:rFonts w:ascii="Times New Roman" w:cs="Times New Roman" w:eastAsia="Times New Roman" w:hAnsi="Times New Roman"/>
          <w:sz w:val="19"/>
          <w:szCs w:val="19"/>
          <w:color w:val="auto"/>
        </w:rPr>
      </w:pPr>
    </w:p>
    <w:p>
      <w:pPr>
        <w:jc w:val="both"/>
        <w:ind w:firstLine="1899"/>
        <w:spacing w:after="0" w:line="222" w:lineRule="auto"/>
        <w:tabs>
          <w:tab w:leader="none" w:pos="2366"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(together, the “</w:t>
      </w:r>
      <w:r>
        <w:rPr>
          <w:rFonts w:ascii="Times New Roman" w:cs="Times New Roman" w:eastAsia="Times New Roman" w:hAnsi="Times New Roman"/>
          <w:sz w:val="19"/>
          <w:szCs w:val="19"/>
          <w:b w:val="1"/>
          <w:bCs w:val="1"/>
          <w:i w:val="1"/>
          <w:iCs w:val="1"/>
          <w:color w:val="auto"/>
        </w:rPr>
        <w:t>Deferred Payments</w:t>
      </w:r>
      <w:r>
        <w:rPr>
          <w:rFonts w:ascii="Times New Roman" w:cs="Times New Roman" w:eastAsia="Times New Roman" w:hAnsi="Times New Roman"/>
          <w:sz w:val="19"/>
          <w:szCs w:val="19"/>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41" w:lineRule="exact"/>
        <w:rPr>
          <w:rFonts w:ascii="Times New Roman" w:cs="Times New Roman" w:eastAsia="Times New Roman" w:hAnsi="Times New Roman"/>
          <w:sz w:val="19"/>
          <w:szCs w:val="19"/>
          <w:color w:val="auto"/>
        </w:rPr>
      </w:pPr>
    </w:p>
    <w:p>
      <w:pPr>
        <w:jc w:val="both"/>
        <w:ind w:firstLine="1899"/>
        <w:spacing w:after="0" w:line="205" w:lineRule="auto"/>
        <w:tabs>
          <w:tab w:leader="none" w:pos="2344"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It is intended that none of the severance payments under this Agreement will constitute Deferred Payments but rather will be exempt from Section 409A as a payment that would fall within the </w:t>
      </w:r>
      <w:r>
        <w:rPr>
          <w:rFonts w:ascii="Times New Roman" w:cs="Times New Roman" w:eastAsia="Times New Roman" w:hAnsi="Times New Roman"/>
          <w:sz w:val="19"/>
          <w:szCs w:val="19"/>
          <w:color w:val="343436"/>
        </w:rPr>
        <w:t>“short-term</w:t>
      </w:r>
      <w:r>
        <w:rPr>
          <w:rFonts w:ascii="Times New Roman" w:cs="Times New Roman" w:eastAsia="Times New Roman" w:hAnsi="Times New Roman"/>
          <w:sz w:val="19"/>
          <w:szCs w:val="19"/>
          <w:color w:val="auto"/>
        </w:rPr>
        <w:t xml:space="preserve"> deferral period” as described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4(c)(iv)</w:t>
      </w:r>
      <w:r>
        <w:rPr>
          <w:rFonts w:ascii="Times New Roman" w:cs="Times New Roman" w:eastAsia="Times New Roman" w:hAnsi="Times New Roman"/>
          <w:sz w:val="19"/>
          <w:szCs w:val="19"/>
          <w:color w:val="auto"/>
        </w:rPr>
        <w:t xml:space="preserve"> below or resulting from an involuntary separation from service as described in </w:t>
      </w:r>
      <w:r>
        <w:rPr>
          <w:rFonts w:ascii="Times New Roman" w:cs="Times New Roman" w:eastAsia="Times New Roman" w:hAnsi="Times New Roman"/>
          <w:sz w:val="19"/>
          <w:szCs w:val="19"/>
          <w:u w:val="single" w:color="auto"/>
          <w:color w:val="auto"/>
        </w:rPr>
        <w:t>Section 4(c)(v)</w:t>
      </w:r>
      <w:r>
        <w:rPr>
          <w:rFonts w:ascii="Times New Roman" w:cs="Times New Roman" w:eastAsia="Times New Roman" w:hAnsi="Times New Roman"/>
          <w:sz w:val="19"/>
          <w:szCs w:val="19"/>
          <w:color w:val="auto"/>
        </w:rPr>
        <w:t xml:space="preserve"> below. Any severance payments or benefits under this Agreement will be paid on, or, in the case of installments, will commence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day following Executive’s separation from service, or, if later, such time as required by Section 4(c)(iii). Except as required by </w:t>
      </w:r>
      <w:r>
        <w:rPr>
          <w:rFonts w:ascii="Times New Roman" w:cs="Times New Roman" w:eastAsia="Times New Roman" w:hAnsi="Times New Roman"/>
          <w:sz w:val="19"/>
          <w:szCs w:val="19"/>
          <w:u w:val="single" w:color="auto"/>
          <w:color w:val="auto"/>
        </w:rPr>
        <w:t>Section 4(c)(iii)</w:t>
      </w:r>
      <w:r>
        <w:rPr>
          <w:rFonts w:ascii="Times New Roman" w:cs="Times New Roman" w:eastAsia="Times New Roman" w:hAnsi="Times New Roman"/>
          <w:sz w:val="19"/>
          <w:szCs w:val="19"/>
          <w:color w:val="auto"/>
        </w:rPr>
        <w:t>, any installment payments that would have been made to Executive during the sixty (60) day period immediately following Executive’s separation from service but for the preceding sentence will be paid to Executive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day following Executive’s separation from service and the remaining payments will be made as provided in this Agreement.</w:t>
      </w:r>
    </w:p>
    <w:p>
      <w:pPr>
        <w:spacing w:after="0" w:line="56" w:lineRule="exact"/>
        <w:rPr>
          <w:rFonts w:ascii="Times New Roman" w:cs="Times New Roman" w:eastAsia="Times New Roman" w:hAnsi="Times New Roman"/>
          <w:sz w:val="19"/>
          <w:szCs w:val="19"/>
          <w:color w:val="auto"/>
        </w:rPr>
      </w:pPr>
    </w:p>
    <w:p>
      <w:pPr>
        <w:jc w:val="both"/>
        <w:ind w:firstLine="1899"/>
        <w:spacing w:after="0" w:line="219" w:lineRule="auto"/>
        <w:tabs>
          <w:tab w:leader="none" w:pos="2395"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(I)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44" w:lineRule="exact"/>
        <w:rPr>
          <w:rFonts w:ascii="Times New Roman" w:cs="Times New Roman" w:eastAsia="Times New Roman" w:hAnsi="Times New Roman"/>
          <w:sz w:val="19"/>
          <w:szCs w:val="19"/>
          <w:color w:val="auto"/>
        </w:rPr>
      </w:pPr>
    </w:p>
    <w:p>
      <w:pPr>
        <w:ind w:right="20" w:firstLine="1899"/>
        <w:spacing w:after="0" w:line="255" w:lineRule="auto"/>
        <w:tabs>
          <w:tab w:leader="none" w:pos="2385"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38" w:lineRule="exact"/>
        <w:rPr>
          <w:rFonts w:ascii="Times New Roman" w:cs="Times New Roman" w:eastAsia="Times New Roman" w:hAnsi="Times New Roman"/>
          <w:sz w:val="19"/>
          <w:szCs w:val="19"/>
          <w:color w:val="auto"/>
        </w:rPr>
      </w:pPr>
    </w:p>
    <w:p>
      <w:pPr>
        <w:jc w:val="both"/>
        <w:ind w:firstLine="1899"/>
        <w:spacing w:after="0" w:line="233" w:lineRule="auto"/>
        <w:tabs>
          <w:tab w:leader="none" w:pos="2407"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51" w:lineRule="exact"/>
        <w:rPr>
          <w:rFonts w:ascii="Times New Roman" w:cs="Times New Roman" w:eastAsia="Times New Roman" w:hAnsi="Times New Roman"/>
          <w:sz w:val="19"/>
          <w:szCs w:val="19"/>
          <w:color w:val="auto"/>
        </w:rPr>
      </w:pPr>
    </w:p>
    <w:p>
      <w:pPr>
        <w:jc w:val="both"/>
        <w:ind w:firstLine="1899"/>
        <w:spacing w:after="0" w:line="224" w:lineRule="auto"/>
        <w:tabs>
          <w:tab w:leader="none" w:pos="2426"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ectPr>
          <w:pgSz w:w="11900" w:h="16838" w:orient="portrait"/>
          <w:cols w:equalWidth="0" w:num="1">
            <w:col w:w="10680"/>
          </w:cols>
          <w:pgMar w:left="420" w:top="1387" w:right="799" w:bottom="1440" w:gutter="0" w:footer="0" w:header="0"/>
        </w:sectPr>
      </w:pPr>
    </w:p>
    <w:bookmarkStart w:id="155" w:name="page156"/>
    <w:bookmarkEnd w:id="155"/>
    <w:p>
      <w:pPr>
        <w:jc w:val="both"/>
        <w:ind w:firstLine="628"/>
        <w:spacing w:after="0" w:line="237" w:lineRule="auto"/>
        <w:tabs>
          <w:tab w:leader="none" w:pos="1053"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on Payments</w:t>
      </w:r>
      <w:r>
        <w:rPr>
          <w:rFonts w:ascii="Times New Roman" w:cs="Times New Roman" w:eastAsia="Times New Roman" w:hAnsi="Times New Roman"/>
          <w:sz w:val="19"/>
          <w:szCs w:val="19"/>
          <w:color w:val="auto"/>
        </w:rPr>
        <w:t xml:space="preserve">. In the event that the severance and other benefits provided for in this Agreement or otherwise payable to Executive (i) constitute “parachute payments” within the meaning of Section 280G of the Code, and (ii) but for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would be subject to the excise tax imposed by Section 4999 of the Code, then Executive’s benefits under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will be either:</w:t>
      </w:r>
    </w:p>
    <w:p>
      <w:pPr>
        <w:spacing w:after="0" w:line="40" w:lineRule="exact"/>
        <w:rPr>
          <w:rFonts w:ascii="Times New Roman" w:cs="Times New Roman" w:eastAsia="Times New Roman" w:hAnsi="Times New Roman"/>
          <w:sz w:val="19"/>
          <w:szCs w:val="19"/>
          <w:color w:val="auto"/>
        </w:rPr>
      </w:pPr>
    </w:p>
    <w:p>
      <w:pPr>
        <w:ind w:left="1680" w:hanging="415"/>
        <w:spacing w:after="0"/>
        <w:tabs>
          <w:tab w:leader="none" w:pos="1680"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delivered in full, or</w:t>
      </w:r>
    </w:p>
    <w:p>
      <w:pPr>
        <w:spacing w:after="0" w:line="85" w:lineRule="exact"/>
        <w:rPr>
          <w:rFonts w:ascii="Times New Roman" w:cs="Times New Roman" w:eastAsia="Times New Roman" w:hAnsi="Times New Roman"/>
          <w:sz w:val="19"/>
          <w:szCs w:val="19"/>
          <w:color w:val="auto"/>
        </w:rPr>
      </w:pPr>
    </w:p>
    <w:p>
      <w:pPr>
        <w:jc w:val="both"/>
        <w:ind w:firstLine="1263"/>
        <w:spacing w:after="0" w:line="219" w:lineRule="auto"/>
        <w:tabs>
          <w:tab w:leader="none" w:pos="1772"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59" w:lineRule="exact"/>
        <w:rPr>
          <w:sz w:val="20"/>
          <w:szCs w:val="20"/>
          <w:color w:val="auto"/>
        </w:rPr>
      </w:pPr>
    </w:p>
    <w:p>
      <w:pPr>
        <w:ind w:right="20" w:firstLine="634"/>
        <w:spacing w:after="0" w:line="222" w:lineRule="auto"/>
        <w:rPr>
          <w:sz w:val="20"/>
          <w:szCs w:val="20"/>
          <w:color w:val="auto"/>
        </w:rPr>
      </w:pPr>
      <w:r>
        <w:rPr>
          <w:rFonts w:ascii="Times New Roman" w:cs="Times New Roman" w:eastAsia="Times New Roman" w:hAnsi="Times New Roman"/>
          <w:sz w:val="19"/>
          <w:szCs w:val="19"/>
          <w:color w:val="auto"/>
        </w:rPr>
        <w:t xml:space="preserve">Unless the Company and Executive otherwise agree in writing, any determination required under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will be made in writing by the Company’s independent public accountants immediately prior to a Change of Control or such other person or entity to</w:t>
      </w:r>
    </w:p>
    <w:p>
      <w:pPr>
        <w:spacing w:after="0" w:line="219" w:lineRule="auto"/>
        <w:rPr>
          <w:sz w:val="20"/>
          <w:szCs w:val="20"/>
          <w:color w:val="auto"/>
        </w:rPr>
      </w:pPr>
      <w:r>
        <w:rPr>
          <w:rFonts w:ascii="Times New Roman" w:cs="Times New Roman" w:eastAsia="Times New Roman" w:hAnsi="Times New Roman"/>
          <w:sz w:val="19"/>
          <w:szCs w:val="19"/>
          <w:color w:val="auto"/>
        </w:rPr>
        <w:t>which the parties mutually agree (the “</w:t>
      </w:r>
      <w:r>
        <w:rPr>
          <w:rFonts w:ascii="Times New Roman" w:cs="Times New Roman" w:eastAsia="Times New Roman" w:hAnsi="Times New Roman"/>
          <w:sz w:val="19"/>
          <w:szCs w:val="19"/>
          <w:b w:val="1"/>
          <w:bCs w:val="1"/>
          <w:i w:val="1"/>
          <w:iCs w:val="1"/>
          <w:color w:val="auto"/>
        </w:rPr>
        <w:t>Firm</w:t>
      </w:r>
      <w:r>
        <w:rPr>
          <w:rFonts w:ascii="Times New Roman" w:cs="Times New Roman" w:eastAsia="Times New Roman" w:hAnsi="Times New Roman"/>
          <w:sz w:val="19"/>
          <w:szCs w:val="19"/>
          <w:color w:val="auto"/>
        </w:rPr>
        <w:t>”), whose determination will be conclusive and binding upon Executive and the Company.</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 xml:space="preserve">For purposes of making the calculations required by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the Firm may make reasonable assumptions and approximations concerning applicable taxes and may rely on reasonable, good faith interpretations concerning the application of Sections 280G and 4999</w:t>
      </w:r>
    </w:p>
    <w:p>
      <w:pPr>
        <w:spacing w:after="0" w:line="219" w:lineRule="auto"/>
        <w:rPr>
          <w:sz w:val="20"/>
          <w:szCs w:val="20"/>
          <w:color w:val="auto"/>
        </w:rPr>
      </w:pPr>
      <w:r>
        <w:rPr>
          <w:rFonts w:ascii="Times New Roman" w:cs="Times New Roman" w:eastAsia="Times New Roman" w:hAnsi="Times New Roman"/>
          <w:sz w:val="19"/>
          <w:szCs w:val="19"/>
          <w:color w:val="auto"/>
        </w:rPr>
        <w:t>of the Code. The Company and Executive will furnish to the Firm such information and documents as the Firm may reasonably request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9"/>
          <w:szCs w:val="19"/>
          <w:color w:val="auto"/>
        </w:rPr>
        <w:t xml:space="preserve">in order to make a determination under this Section. The Company will bear all costs the Firm may incur in connection with any calculations contemplated by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w:t>
      </w:r>
    </w:p>
    <w:p>
      <w:pPr>
        <w:spacing w:after="0" w:line="53" w:lineRule="exact"/>
        <w:rPr>
          <w:sz w:val="20"/>
          <w:szCs w:val="20"/>
          <w:color w:val="auto"/>
        </w:rPr>
      </w:pPr>
    </w:p>
    <w:p>
      <w:pPr>
        <w:ind w:left="960" w:hanging="332"/>
        <w:spacing w:after="0"/>
        <w:tabs>
          <w:tab w:leader="none" w:pos="96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 of Terms</w:t>
      </w:r>
      <w:r>
        <w:rPr>
          <w:rFonts w:ascii="Times New Roman" w:cs="Times New Roman" w:eastAsia="Times New Roman" w:hAnsi="Times New Roman"/>
          <w:sz w:val="19"/>
          <w:szCs w:val="19"/>
          <w:color w:val="auto"/>
        </w:rPr>
        <w:t>. The following terms referred to in this Agreement will have the following meanings:</w:t>
      </w:r>
    </w:p>
    <w:p>
      <w:pPr>
        <w:spacing w:after="0" w:line="81" w:lineRule="exact"/>
        <w:rPr>
          <w:rFonts w:ascii="Times New Roman" w:cs="Times New Roman" w:eastAsia="Times New Roman" w:hAnsi="Times New Roman"/>
          <w:sz w:val="19"/>
          <w:szCs w:val="19"/>
          <w:color w:val="auto"/>
        </w:rPr>
      </w:pPr>
    </w:p>
    <w:p>
      <w:pPr>
        <w:ind w:left="1680" w:hanging="415"/>
        <w:spacing w:after="0"/>
        <w:tabs>
          <w:tab w:leader="none" w:pos="1680"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will mean:</w:t>
      </w:r>
    </w:p>
    <w:p>
      <w:pPr>
        <w:spacing w:after="0" w:line="76" w:lineRule="exact"/>
        <w:rPr>
          <w:rFonts w:ascii="Times New Roman" w:cs="Times New Roman" w:eastAsia="Times New Roman" w:hAnsi="Times New Roman"/>
          <w:sz w:val="19"/>
          <w:szCs w:val="19"/>
          <w:color w:val="auto"/>
        </w:rPr>
      </w:pPr>
    </w:p>
    <w:p>
      <w:pPr>
        <w:ind w:left="2360" w:hanging="461"/>
        <w:spacing w:after="0"/>
        <w:tabs>
          <w:tab w:leader="none" w:pos="2360" w:val="left"/>
        </w:tabs>
        <w:numPr>
          <w:ilvl w:val="2"/>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willful or grossly negligent failure of the Executive to substantially perform his or her duties as an</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of the Company;</w:t>
      </w:r>
    </w:p>
    <w:p>
      <w:pPr>
        <w:spacing w:after="0" w:line="63" w:lineRule="exact"/>
        <w:rPr>
          <w:rFonts w:ascii="Times New Roman" w:cs="Times New Roman" w:eastAsia="Times New Roman" w:hAnsi="Times New Roman"/>
          <w:sz w:val="19"/>
          <w:szCs w:val="19"/>
          <w:color w:val="auto"/>
        </w:rPr>
      </w:pPr>
    </w:p>
    <w:p>
      <w:pPr>
        <w:ind w:left="2340" w:hanging="440"/>
        <w:spacing w:after="0"/>
        <w:tabs>
          <w:tab w:leader="none" w:pos="2340" w:val="left"/>
        </w:tabs>
        <w:numPr>
          <w:ilvl w:val="2"/>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commission of a gross misconduct which is injurious to the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w:t>
      </w:r>
    </w:p>
    <w:p>
      <w:pPr>
        <w:spacing w:after="0" w:line="86" w:lineRule="exact"/>
        <w:rPr>
          <w:sz w:val="20"/>
          <w:szCs w:val="20"/>
          <w:color w:val="auto"/>
        </w:rPr>
      </w:pPr>
    </w:p>
    <w:p>
      <w:pPr>
        <w:ind w:left="2380" w:hanging="481"/>
        <w:spacing w:after="0"/>
        <w:tabs>
          <w:tab w:leader="none" w:pos="238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breach of a material provision of any agreement between Executive and the Company;</w:t>
      </w:r>
    </w:p>
    <w:p>
      <w:pPr>
        <w:spacing w:after="0" w:line="74" w:lineRule="exact"/>
        <w:rPr>
          <w:rFonts w:ascii="Times New Roman" w:cs="Times New Roman" w:eastAsia="Times New Roman" w:hAnsi="Times New Roman"/>
          <w:sz w:val="19"/>
          <w:szCs w:val="19"/>
          <w:color w:val="auto"/>
        </w:rPr>
      </w:pPr>
    </w:p>
    <w:p>
      <w:pPr>
        <w:ind w:left="2400" w:hanging="501"/>
        <w:spacing w:after="0"/>
        <w:tabs>
          <w:tab w:leader="none" w:pos="240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material and willful violation of a federal or state law or regulation applicable to the business</w:t>
      </w:r>
    </w:p>
    <w:p>
      <w:pPr>
        <w:spacing w:after="0"/>
        <w:rPr>
          <w:sz w:val="20"/>
          <w:szCs w:val="20"/>
          <w:color w:val="auto"/>
        </w:rPr>
      </w:pPr>
      <w:r>
        <w:rPr>
          <w:rFonts w:ascii="Times New Roman" w:cs="Times New Roman" w:eastAsia="Times New Roman" w:hAnsi="Times New Roman"/>
          <w:sz w:val="19"/>
          <w:szCs w:val="19"/>
          <w:color w:val="auto"/>
        </w:rPr>
        <w:t>of the Company;</w:t>
      </w:r>
    </w:p>
    <w:p>
      <w:pPr>
        <w:spacing w:after="0" w:line="64" w:lineRule="exact"/>
        <w:rPr>
          <w:sz w:val="20"/>
          <w:szCs w:val="20"/>
          <w:color w:val="auto"/>
        </w:rPr>
      </w:pPr>
    </w:p>
    <w:p>
      <w:pPr>
        <w:ind w:left="1900"/>
        <w:spacing w:after="0"/>
        <w:tabs>
          <w:tab w:leader="none" w:pos="2300" w:val="left"/>
        </w:tabs>
        <w:rPr>
          <w:sz w:val="20"/>
          <w:szCs w:val="20"/>
          <w:color w:val="auto"/>
        </w:rPr>
      </w:pPr>
      <w:r>
        <w:rPr>
          <w:rFonts w:ascii="Times New Roman" w:cs="Times New Roman" w:eastAsia="Times New Roman" w:hAnsi="Times New Roman"/>
          <w:sz w:val="19"/>
          <w:szCs w:val="19"/>
          <w:color w:val="auto"/>
        </w:rPr>
        <w:t>(v)</w:t>
        <w:tab/>
        <w:t>Executive’s misappropriation or embezzlement of Company funds or Executive’s act of fraud or dishonesty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upon the Company; or</w:t>
      </w:r>
    </w:p>
    <w:p>
      <w:pPr>
        <w:spacing w:after="0" w:line="51" w:lineRule="exact"/>
        <w:rPr>
          <w:sz w:val="20"/>
          <w:szCs w:val="20"/>
          <w:color w:val="auto"/>
        </w:rPr>
      </w:pPr>
    </w:p>
    <w:p>
      <w:pPr>
        <w:ind w:firstLine="1899"/>
        <w:spacing w:after="0" w:line="255" w:lineRule="auto"/>
        <w:tabs>
          <w:tab w:leader="none" w:pos="243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conviction of, or plea of nolo contendere, to a felony (other than motor vehicle offenses the effect of which do not materially impair Executive’s performance of Executive’s duties for the Company).</w:t>
      </w:r>
    </w:p>
    <w:p>
      <w:pPr>
        <w:spacing w:after="0" w:line="3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The Company will not terminate Executive’s employment for Cause without first providing Executive with written notice specifically identifying the acts or omissions constituting the grounds for a Cause termination and, with respect to clauses (i), (iii) and (iv),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reasonable opportunity to cure (to the extent curable) for a period of not less than ten (10) business days following such notice.</w:t>
      </w:r>
    </w:p>
    <w:p>
      <w:pPr>
        <w:spacing w:after="0" w:line="64"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9"/>
          <w:szCs w:val="19"/>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w:t>
      </w:r>
    </w:p>
    <w:p>
      <w:pPr>
        <w:spacing w:after="0" w:line="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 xml:space="preserve">relationship at any time as provided in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above, and the term “Company” will be interpreted to include any subsidiary, parent, affiliate or successor thereto, if applicable.</w:t>
      </w:r>
    </w:p>
    <w:p>
      <w:pPr>
        <w:sectPr>
          <w:pgSz w:w="11900" w:h="16838" w:orient="portrait"/>
          <w:cols w:equalWidth="0" w:num="1">
            <w:col w:w="10680"/>
          </w:cols>
          <w:pgMar w:left="420" w:top="1387" w:right="799" w:bottom="1440" w:gutter="0" w:footer="0" w:header="0"/>
        </w:sectPr>
      </w:pPr>
    </w:p>
    <w:bookmarkStart w:id="156" w:name="page157"/>
    <w:bookmarkEnd w:id="156"/>
    <w:p>
      <w:pPr>
        <w:ind w:left="1680" w:hanging="417"/>
        <w:spacing w:after="0"/>
        <w:tabs>
          <w:tab w:leader="none" w:pos="168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means the occurrence of any of the following events:</w:t>
      </w:r>
    </w:p>
    <w:p>
      <w:pPr>
        <w:spacing w:after="0" w:line="89" w:lineRule="exact"/>
        <w:rPr>
          <w:rFonts w:ascii="Times New Roman" w:cs="Times New Roman" w:eastAsia="Times New Roman" w:hAnsi="Times New Roman"/>
          <w:sz w:val="19"/>
          <w:szCs w:val="19"/>
          <w:color w:val="auto"/>
        </w:rPr>
      </w:pPr>
    </w:p>
    <w:p>
      <w:pPr>
        <w:jc w:val="both"/>
        <w:ind w:firstLine="1899"/>
        <w:spacing w:after="0" w:line="227" w:lineRule="auto"/>
        <w:tabs>
          <w:tab w:leader="none" w:pos="2282"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ownership of the Company which occurs on the date that any one person, or more than one person acting as a group (“</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38" w:lineRule="exact"/>
        <w:rPr>
          <w:rFonts w:ascii="Times New Roman" w:cs="Times New Roman" w:eastAsia="Times New Roman" w:hAnsi="Times New Roman"/>
          <w:sz w:val="19"/>
          <w:szCs w:val="19"/>
          <w:color w:val="auto"/>
        </w:rPr>
      </w:pPr>
    </w:p>
    <w:p>
      <w:pPr>
        <w:jc w:val="both"/>
        <w:ind w:firstLine="1899"/>
        <w:spacing w:after="0" w:line="227" w:lineRule="auto"/>
        <w:tabs>
          <w:tab w:leader="none" w:pos="2355"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38" w:lineRule="exact"/>
        <w:rPr>
          <w:rFonts w:ascii="Times New Roman" w:cs="Times New Roman" w:eastAsia="Times New Roman" w:hAnsi="Times New Roman"/>
          <w:sz w:val="19"/>
          <w:szCs w:val="19"/>
          <w:color w:val="auto"/>
        </w:rPr>
      </w:pPr>
    </w:p>
    <w:p>
      <w:pPr>
        <w:jc w:val="both"/>
        <w:ind w:firstLine="1899"/>
        <w:spacing w:after="0" w:line="218" w:lineRule="auto"/>
        <w:tabs>
          <w:tab w:leader="none" w:pos="2403"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54" w:lineRule="exact"/>
        <w:rPr>
          <w:sz w:val="20"/>
          <w:szCs w:val="20"/>
          <w:color w:val="auto"/>
        </w:rPr>
      </w:pPr>
    </w:p>
    <w:p>
      <w:pPr>
        <w:ind w:right="20" w:firstLine="634"/>
        <w:spacing w:after="0" w:line="255" w:lineRule="auto"/>
        <w:rPr>
          <w:sz w:val="20"/>
          <w:szCs w:val="20"/>
          <w:color w:val="auto"/>
        </w:rPr>
      </w:pPr>
      <w:r>
        <w:rPr>
          <w:rFonts w:ascii="Times New Roman" w:cs="Times New Roman" w:eastAsia="Times New Roman" w:hAnsi="Times New Roman"/>
          <w:sz w:val="19"/>
          <w:szCs w:val="19"/>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5" w:lineRule="exact"/>
        <w:rPr>
          <w:sz w:val="20"/>
          <w:szCs w:val="20"/>
          <w:color w:val="auto"/>
        </w:rPr>
      </w:pPr>
    </w:p>
    <w:p>
      <w:pPr>
        <w:ind w:right="20" w:firstLine="634"/>
        <w:spacing w:after="0" w:line="230" w:lineRule="auto"/>
        <w:rPr>
          <w:sz w:val="20"/>
          <w:szCs w:val="20"/>
          <w:color w:val="auto"/>
        </w:rPr>
      </w:pPr>
      <w:r>
        <w:rPr>
          <w:rFonts w:ascii="Times New Roman" w:cs="Times New Roman" w:eastAsia="Times New Roman" w:hAnsi="Times New Roman"/>
          <w:sz w:val="19"/>
          <w:szCs w:val="19"/>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w:t>
      </w:r>
    </w:p>
    <w:p>
      <w:pPr>
        <w:ind w:right="20"/>
        <w:spacing w:after="0" w:line="228" w:lineRule="auto"/>
        <w:rPr>
          <w:sz w:val="20"/>
          <w:szCs w:val="20"/>
          <w:color w:val="auto"/>
        </w:rPr>
      </w:pPr>
      <w:r>
        <w:rPr>
          <w:rFonts w:ascii="Times New Roman" w:cs="Times New Roman" w:eastAsia="Times New Roman" w:hAnsi="Times New Roman"/>
          <w:sz w:val="19"/>
          <w:szCs w:val="19"/>
          <w:color w:val="auto"/>
        </w:rPr>
        <w:t>final Treasury Regulations and Internal Revenue Service guidance that has been promulgated or may be promulgated thereunder from time to time.</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Further and for the avoidance of doubt, a transaction will not constitute a Change of Control if: (i) its sole purpose is to change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the state of the Company’s incorporation, or (ii) its sole purpose is to create a holding company that will be owned in substantially the same proportions by the persons who held the Company’s securities immediately before such transaction.</w:t>
      </w:r>
    </w:p>
    <w:p>
      <w:pPr>
        <w:spacing w:after="0" w:line="49" w:lineRule="exact"/>
        <w:rPr>
          <w:sz w:val="20"/>
          <w:szCs w:val="20"/>
          <w:color w:val="auto"/>
        </w:rPr>
      </w:pPr>
    </w:p>
    <w:p>
      <w:pPr>
        <w:ind w:right="20" w:firstLine="1263"/>
        <w:spacing w:after="0" w:line="260" w:lineRule="auto"/>
        <w:tabs>
          <w:tab w:leader="none" w:pos="1718"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 Period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Change of Control Period</w:t>
      </w:r>
      <w:r>
        <w:rPr>
          <w:rFonts w:ascii="Times New Roman" w:cs="Times New Roman" w:eastAsia="Times New Roman" w:hAnsi="Times New Roman"/>
          <w:sz w:val="19"/>
          <w:szCs w:val="19"/>
          <w:color w:val="auto"/>
        </w:rPr>
        <w:t>’’ will mean the period beginning two (2) months prior to, and ending twelve (12) months following, a Change of Control.</w:t>
      </w:r>
    </w:p>
    <w:p>
      <w:pPr>
        <w:spacing w:after="0" w:line="16" w:lineRule="exact"/>
        <w:rPr>
          <w:rFonts w:ascii="Times New Roman" w:cs="Times New Roman" w:eastAsia="Times New Roman" w:hAnsi="Times New Roman"/>
          <w:sz w:val="19"/>
          <w:szCs w:val="19"/>
          <w:color w:val="auto"/>
        </w:rPr>
      </w:pPr>
    </w:p>
    <w:p>
      <w:pPr>
        <w:ind w:left="1680" w:hanging="415"/>
        <w:spacing w:after="0"/>
        <w:tabs>
          <w:tab w:leader="none" w:pos="168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will mean the Internal Revenue Code of 1986, as amended.</w:t>
      </w:r>
    </w:p>
    <w:p>
      <w:pPr>
        <w:spacing w:after="0" w:line="85" w:lineRule="exact"/>
        <w:rPr>
          <w:rFonts w:ascii="Times New Roman" w:cs="Times New Roman" w:eastAsia="Times New Roman" w:hAnsi="Times New Roman"/>
          <w:sz w:val="19"/>
          <w:szCs w:val="19"/>
          <w:color w:val="auto"/>
        </w:rPr>
      </w:pPr>
    </w:p>
    <w:p>
      <w:pPr>
        <w:jc w:val="both"/>
        <w:ind w:firstLine="1263"/>
        <w:spacing w:after="0" w:line="223" w:lineRule="auto"/>
        <w:tabs>
          <w:tab w:leader="none" w:pos="1718"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ectPr>
          <w:pgSz w:w="11900" w:h="16838" w:orient="portrait"/>
          <w:cols w:equalWidth="0" w:num="1">
            <w:col w:w="10680"/>
          </w:cols>
          <w:pgMar w:left="420" w:top="1383" w:right="799" w:bottom="1440" w:gutter="0" w:footer="0" w:header="0"/>
        </w:sectPr>
      </w:pPr>
    </w:p>
    <w:bookmarkStart w:id="157" w:name="page158"/>
    <w:bookmarkEnd w:id="157"/>
    <w:p>
      <w:pPr>
        <w:ind w:right="20" w:firstLine="1263"/>
        <w:spacing w:after="0" w:line="260" w:lineRule="auto"/>
        <w:tabs>
          <w:tab w:leader="none" w:pos="179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Equity Awards</w:t>
      </w:r>
      <w:r>
        <w:rPr>
          <w:rFonts w:ascii="Times New Roman" w:cs="Times New Roman" w:eastAsia="Times New Roman" w:hAnsi="Times New Roman"/>
          <w:sz w:val="19"/>
          <w:szCs w:val="19"/>
          <w:color w:val="auto"/>
        </w:rPr>
        <w:t>” will mean Executive’s outstanding stock options, stock appreciation rights, restricted stock units, performance shares, performance stock units and any other Company equity compensation awards.</w:t>
      </w:r>
    </w:p>
    <w:p>
      <w:pPr>
        <w:spacing w:after="0" w:line="29" w:lineRule="exact"/>
        <w:rPr>
          <w:rFonts w:ascii="Times New Roman" w:cs="Times New Roman" w:eastAsia="Times New Roman" w:hAnsi="Times New Roman"/>
          <w:sz w:val="19"/>
          <w:szCs w:val="19"/>
          <w:color w:val="auto"/>
        </w:rPr>
      </w:pPr>
    </w:p>
    <w:p>
      <w:pPr>
        <w:jc w:val="both"/>
        <w:ind w:right="20" w:firstLine="1263"/>
        <w:spacing w:after="0" w:line="234" w:lineRule="auto"/>
        <w:tabs>
          <w:tab w:leader="none" w:pos="1769"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53" w:lineRule="exact"/>
        <w:rPr>
          <w:rFonts w:ascii="Times New Roman" w:cs="Times New Roman" w:eastAsia="Times New Roman" w:hAnsi="Times New Roman"/>
          <w:sz w:val="19"/>
          <w:szCs w:val="19"/>
          <w:color w:val="auto"/>
        </w:rPr>
      </w:pPr>
    </w:p>
    <w:p>
      <w:pPr>
        <w:ind w:right="20" w:firstLine="1899"/>
        <w:spacing w:after="0" w:line="241" w:lineRule="auto"/>
        <w:tabs>
          <w:tab w:leader="none" w:pos="2312"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reduction of Executive’s authorities, duties or responsibilities relative to Executive’s authorities, duties or responsibilities in effect immediately prior to such reduction;</w:t>
      </w:r>
    </w:p>
    <w:p>
      <w:pPr>
        <w:spacing w:after="0" w:line="50" w:lineRule="exact"/>
        <w:rPr>
          <w:rFonts w:ascii="Times New Roman" w:cs="Times New Roman" w:eastAsia="Times New Roman" w:hAnsi="Times New Roman"/>
          <w:sz w:val="19"/>
          <w:szCs w:val="19"/>
          <w:color w:val="auto"/>
        </w:rPr>
      </w:pPr>
    </w:p>
    <w:p>
      <w:pPr>
        <w:jc w:val="both"/>
        <w:ind w:firstLine="1899"/>
        <w:spacing w:after="0" w:line="233" w:lineRule="auto"/>
        <w:tabs>
          <w:tab w:leader="none" w:pos="2436"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51" w:lineRule="exact"/>
        <w:rPr>
          <w:rFonts w:ascii="Times New Roman" w:cs="Times New Roman" w:eastAsia="Times New Roman" w:hAnsi="Times New Roman"/>
          <w:sz w:val="19"/>
          <w:szCs w:val="19"/>
          <w:color w:val="auto"/>
        </w:rPr>
      </w:pPr>
    </w:p>
    <w:p>
      <w:pPr>
        <w:ind w:right="20" w:firstLine="1899"/>
        <w:spacing w:after="0" w:line="241" w:lineRule="auto"/>
        <w:tabs>
          <w:tab w:leader="none" w:pos="253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relocation of Executive’s principal place of performing his or her duties as an employee of the Company by more than fifty (50) miles; or</w:t>
      </w:r>
    </w:p>
    <w:p>
      <w:pPr>
        <w:spacing w:after="0" w:line="50" w:lineRule="exact"/>
        <w:rPr>
          <w:rFonts w:ascii="Times New Roman" w:cs="Times New Roman" w:eastAsia="Times New Roman" w:hAnsi="Times New Roman"/>
          <w:sz w:val="19"/>
          <w:szCs w:val="19"/>
          <w:color w:val="auto"/>
        </w:rPr>
      </w:pPr>
    </w:p>
    <w:p>
      <w:pPr>
        <w:ind w:left="2380" w:hanging="480"/>
        <w:spacing w:after="0"/>
        <w:tabs>
          <w:tab w:leader="none" w:pos="238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successor of the Company as set forth in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hereof does not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assume this Agreement.</w:t>
      </w:r>
    </w:p>
    <w:p>
      <w:pPr>
        <w:spacing w:after="0" w:line="7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9"/>
          <w:szCs w:val="19"/>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w:t>
      </w:r>
    </w:p>
    <w:p>
      <w:pPr>
        <w:ind w:right="20"/>
        <w:spacing w:after="0"/>
        <w:rPr>
          <w:sz w:val="20"/>
          <w:szCs w:val="20"/>
          <w:color w:val="auto"/>
        </w:rPr>
      </w:pPr>
      <w:r>
        <w:rPr>
          <w:rFonts w:ascii="Times New Roman" w:cs="Times New Roman" w:eastAsia="Times New Roman" w:hAnsi="Times New Roman"/>
          <w:sz w:val="19"/>
          <w:szCs w:val="19"/>
          <w:color w:val="auto"/>
        </w:rPr>
        <w:t>existence of the grounds for “Good Reason’ and a reasonable cure period of not less than thirty (30) days following the end of such notice.</w:t>
      </w:r>
    </w:p>
    <w:p>
      <w:pPr>
        <w:spacing w:after="0" w:line="2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For purposes of the “Good Reason” definition, the term “Company” will be interpreted to include any subsidiary, parent, affiliate or successor thereto, if applicable.</w:t>
      </w:r>
    </w:p>
    <w:p>
      <w:pPr>
        <w:spacing w:after="0" w:line="21" w:lineRule="exact"/>
        <w:rPr>
          <w:sz w:val="20"/>
          <w:szCs w:val="20"/>
          <w:color w:val="auto"/>
        </w:rPr>
      </w:pPr>
    </w:p>
    <w:p>
      <w:pPr>
        <w:jc w:val="both"/>
        <w:ind w:firstLine="1263"/>
        <w:spacing w:after="0" w:line="226" w:lineRule="auto"/>
        <w:tabs>
          <w:tab w:leader="none" w:pos="1862"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 Limit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Section 409A Limit”</w:t>
      </w:r>
      <w:r>
        <w:rPr>
          <w:rFonts w:ascii="Times New Roman" w:cs="Times New Roman" w:eastAsia="Times New Roman" w:hAnsi="Times New Roman"/>
          <w:sz w:val="19"/>
          <w:szCs w:val="19"/>
          <w:color w:val="auto"/>
        </w:rPr>
        <w:t xml:space="preserve"> will mean two (2) times the lesser of: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1.409A-1(b)(9)(iii)(A)(l)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40" w:lineRule="exact"/>
        <w:rPr>
          <w:rFonts w:ascii="Times New Roman" w:cs="Times New Roman" w:eastAsia="Times New Roman" w:hAnsi="Times New Roman"/>
          <w:sz w:val="19"/>
          <w:szCs w:val="19"/>
          <w:color w:val="auto"/>
        </w:rPr>
      </w:pPr>
    </w:p>
    <w:p>
      <w:pPr>
        <w:ind w:left="960" w:hanging="331"/>
        <w:spacing w:after="0"/>
        <w:tabs>
          <w:tab w:leader="none" w:pos="96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85" w:lineRule="exact"/>
        <w:rPr>
          <w:rFonts w:ascii="Times New Roman" w:cs="Times New Roman" w:eastAsia="Times New Roman" w:hAnsi="Times New Roman"/>
          <w:sz w:val="19"/>
          <w:szCs w:val="19"/>
          <w:color w:val="auto"/>
        </w:rPr>
      </w:pPr>
    </w:p>
    <w:p>
      <w:pPr>
        <w:jc w:val="both"/>
        <w:ind w:firstLine="1263"/>
        <w:spacing w:after="0" w:line="223" w:lineRule="auto"/>
        <w:tabs>
          <w:tab w:leader="none" w:pos="1718"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Company’s Successors</w:t>
      </w:r>
      <w:r>
        <w:rPr>
          <w:rFonts w:ascii="Times New Roman" w:cs="Times New Roman" w:eastAsia="Times New Roman" w:hAnsi="Times New Roman"/>
          <w:sz w:val="19"/>
          <w:szCs w:val="19"/>
          <w:color w:val="auto"/>
        </w:rPr>
        <w:t xml:space="preserve">.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or which becomes bound by the terms of this Agreement by operation of law.</w:t>
      </w:r>
    </w:p>
    <w:p>
      <w:pPr>
        <w:spacing w:after="0" w:line="52" w:lineRule="exact"/>
        <w:rPr>
          <w:rFonts w:ascii="Times New Roman" w:cs="Times New Roman" w:eastAsia="Times New Roman" w:hAnsi="Times New Roman"/>
          <w:sz w:val="19"/>
          <w:szCs w:val="19"/>
          <w:color w:val="auto"/>
        </w:rPr>
      </w:pPr>
    </w:p>
    <w:p>
      <w:pPr>
        <w:jc w:val="both"/>
        <w:ind w:right="20" w:firstLine="1263"/>
        <w:spacing w:after="0" w:line="233" w:lineRule="auto"/>
        <w:tabs>
          <w:tab w:leader="none" w:pos="1703"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Executive’s Successors</w:t>
      </w:r>
      <w:r>
        <w:rPr>
          <w:rFonts w:ascii="Times New Roman" w:cs="Times New Roman" w:eastAsia="Times New Roman" w:hAnsi="Times New Roman"/>
          <w:sz w:val="19"/>
          <w:szCs w:val="19"/>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51" w:lineRule="exact"/>
        <w:rPr>
          <w:rFonts w:ascii="Times New Roman" w:cs="Times New Roman" w:eastAsia="Times New Roman" w:hAnsi="Times New Roman"/>
          <w:sz w:val="19"/>
          <w:szCs w:val="19"/>
          <w:color w:val="auto"/>
        </w:rPr>
      </w:pPr>
    </w:p>
    <w:p>
      <w:pPr>
        <w:ind w:left="960" w:hanging="331"/>
        <w:spacing w:after="0"/>
        <w:tabs>
          <w:tab w:leader="none" w:pos="96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w:t>
      </w:r>
    </w:p>
    <w:p>
      <w:pPr>
        <w:spacing w:after="0" w:line="85" w:lineRule="exact"/>
        <w:rPr>
          <w:rFonts w:ascii="Times New Roman" w:cs="Times New Roman" w:eastAsia="Times New Roman" w:hAnsi="Times New Roman"/>
          <w:sz w:val="19"/>
          <w:szCs w:val="19"/>
          <w:color w:val="auto"/>
        </w:rPr>
      </w:pPr>
    </w:p>
    <w:p>
      <w:pPr>
        <w:jc w:val="both"/>
        <w:ind w:firstLine="1263"/>
        <w:spacing w:after="0" w:line="220" w:lineRule="auto"/>
        <w:tabs>
          <w:tab w:leader="none" w:pos="1771"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ectPr>
          <w:pgSz w:w="11900" w:h="16838" w:orient="portrait"/>
          <w:cols w:equalWidth="0" w:num="1">
            <w:col w:w="10680"/>
          </w:cols>
          <w:pgMar w:left="420" w:top="1383" w:right="799" w:bottom="1440" w:gutter="0" w:footer="0" w:header="0"/>
        </w:sectPr>
      </w:pPr>
    </w:p>
    <w:bookmarkStart w:id="158" w:name="page159"/>
    <w:bookmarkEnd w:id="158"/>
    <w:p>
      <w:pPr>
        <w:jc w:val="both"/>
        <w:ind w:left="-628" w:firstLine="1263"/>
        <w:spacing w:after="0" w:line="227" w:lineRule="auto"/>
        <w:tabs>
          <w:tab w:leader="none" w:pos="1154"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Termination</w:t>
      </w:r>
      <w:r>
        <w:rPr>
          <w:rFonts w:ascii="Times New Roman" w:cs="Times New Roman" w:eastAsia="Times New Roman" w:hAnsi="Times New Roman"/>
          <w:sz w:val="19"/>
          <w:szCs w:val="19"/>
          <w:color w:val="auto"/>
        </w:rPr>
        <w:t xml:space="preserve">. Any termination by the Company for Cause or by Executive for Good Reason will be communicated by a notice of termination to the other party hereto given in accordance with </w:t>
      </w:r>
      <w:r>
        <w:rPr>
          <w:rFonts w:ascii="Times New Roman" w:cs="Times New Roman" w:eastAsia="Times New Roman" w:hAnsi="Times New Roman"/>
          <w:sz w:val="19"/>
          <w:szCs w:val="19"/>
          <w:u w:val="single" w:color="auto"/>
          <w:color w:val="auto"/>
        </w:rPr>
        <w:t>Section 8(a)</w:t>
      </w:r>
      <w:r>
        <w:rPr>
          <w:rFonts w:ascii="Times New Roman" w:cs="Times New Roman" w:eastAsia="Times New Roman" w:hAnsi="Times New Roman"/>
          <w:sz w:val="19"/>
          <w:szCs w:val="19"/>
          <w:color w:val="auto"/>
        </w:rPr>
        <w:t xml:space="preserve">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52" w:lineRule="exact"/>
        <w:rPr>
          <w:rFonts w:ascii="Times New Roman" w:cs="Times New Roman" w:eastAsia="Times New Roman" w:hAnsi="Times New Roman"/>
          <w:sz w:val="19"/>
          <w:szCs w:val="19"/>
          <w:color w:val="auto"/>
        </w:rPr>
      </w:pPr>
    </w:p>
    <w:p>
      <w:pPr>
        <w:jc w:val="both"/>
        <w:ind w:left="-628" w:firstLine="628"/>
        <w:spacing w:after="0" w:line="229" w:lineRule="auto"/>
        <w:tabs>
          <w:tab w:leader="none" w:pos="385"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w:t>
      </w:r>
      <w:r>
        <w:rPr>
          <w:rFonts w:ascii="Times New Roman" w:cs="Times New Roman" w:eastAsia="Times New Roman" w:hAnsi="Times New Roman"/>
          <w:sz w:val="19"/>
          <w:szCs w:val="19"/>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39" w:lineRule="exact"/>
        <w:rPr>
          <w:rFonts w:ascii="Times New Roman" w:cs="Times New Roman" w:eastAsia="Times New Roman" w:hAnsi="Times New Roman"/>
          <w:sz w:val="19"/>
          <w:szCs w:val="19"/>
          <w:color w:val="auto"/>
        </w:rPr>
      </w:pPr>
    </w:p>
    <w:p>
      <w:pPr>
        <w:ind w:left="432" w:hanging="431"/>
        <w:spacing w:after="0"/>
        <w:tabs>
          <w:tab w:leader="none" w:pos="432"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w:t>
      </w:r>
    </w:p>
    <w:p>
      <w:pPr>
        <w:spacing w:after="0" w:line="85" w:lineRule="exact"/>
        <w:rPr>
          <w:rFonts w:ascii="Times New Roman" w:cs="Times New Roman" w:eastAsia="Times New Roman" w:hAnsi="Times New Roman"/>
          <w:sz w:val="19"/>
          <w:szCs w:val="19"/>
          <w:color w:val="auto"/>
        </w:rPr>
      </w:pPr>
    </w:p>
    <w:p>
      <w:pPr>
        <w:jc w:val="both"/>
        <w:ind w:left="-628" w:firstLine="1263"/>
        <w:spacing w:after="0" w:line="220" w:lineRule="auto"/>
        <w:tabs>
          <w:tab w:leader="none" w:pos="1289"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 and pursuant to California law . The Federal Arbitration Act will also apply with full force and effect, notwithstanding the application of procedural rules set forth under the Act.</w:t>
      </w:r>
    </w:p>
    <w:p>
      <w:pPr>
        <w:spacing w:after="0" w:line="52" w:lineRule="exact"/>
        <w:rPr>
          <w:rFonts w:ascii="Times New Roman" w:cs="Times New Roman" w:eastAsia="Times New Roman" w:hAnsi="Times New Roman"/>
          <w:sz w:val="19"/>
          <w:szCs w:val="19"/>
          <w:color w:val="auto"/>
        </w:rPr>
      </w:pPr>
    </w:p>
    <w:p>
      <w:pPr>
        <w:jc w:val="both"/>
        <w:ind w:left="-628" w:right="20" w:firstLine="1276"/>
        <w:spacing w:after="0" w:line="222" w:lineRule="auto"/>
        <w:tabs>
          <w:tab w:leader="none" w:pos="1088" w:val="left"/>
        </w:tabs>
        <w:numPr>
          <w:ilvl w:val="2"/>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54" w:lineRule="exact"/>
        <w:rPr>
          <w:sz w:val="20"/>
          <w:szCs w:val="20"/>
          <w:color w:val="auto"/>
        </w:rPr>
      </w:pPr>
    </w:p>
    <w:p>
      <w:pPr>
        <w:jc w:val="both"/>
        <w:ind w:left="-628" w:firstLine="1263"/>
        <w:spacing w:after="0" w:line="236" w:lineRule="auto"/>
        <w:tabs>
          <w:tab w:leader="none" w:pos="1156"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Procedure</w:t>
      </w:r>
      <w:r>
        <w:rPr>
          <w:rFonts w:ascii="Times New Roman" w:cs="Times New Roman" w:eastAsia="Times New Roman" w:hAnsi="Times New Roman"/>
          <w:sz w:val="19"/>
          <w:szCs w:val="19"/>
          <w:color w:val="auto"/>
        </w:rPr>
        <w:t>. Executive agrees that any arbitration will be administered by the Judicial Arbitration &amp; Mediation Services, Inc.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Employment Arbitration Rules &amp; Procedures (the “</w:t>
      </w:r>
      <w:r>
        <w:rPr>
          <w:rFonts w:ascii="Times New Roman" w:cs="Times New Roman" w:eastAsia="Times New Roman" w:hAnsi="Times New Roman"/>
          <w:sz w:val="19"/>
          <w:szCs w:val="19"/>
          <w:b w:val="1"/>
          <w:bCs w:val="1"/>
          <w:i w:val="1"/>
          <w:iCs w:val="1"/>
          <w:color w:val="auto"/>
        </w:rPr>
        <w:t>JAMS Rules</w:t>
      </w:r>
      <w:r>
        <w:rPr>
          <w:rFonts w:ascii="Times New Roman" w:cs="Times New Roman" w:eastAsia="Times New Roman" w:hAnsi="Times New Roman"/>
          <w:sz w:val="19"/>
          <w:szCs w:val="19"/>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42" w:lineRule="exact"/>
        <w:rPr>
          <w:rFonts w:ascii="Times New Roman" w:cs="Times New Roman" w:eastAsia="Times New Roman" w:hAnsi="Times New Roman"/>
          <w:sz w:val="19"/>
          <w:szCs w:val="19"/>
          <w:color w:val="auto"/>
        </w:rPr>
      </w:pPr>
    </w:p>
    <w:p>
      <w:pPr>
        <w:jc w:val="both"/>
        <w:ind w:left="-628" w:firstLine="1263"/>
        <w:spacing w:after="0" w:line="227" w:lineRule="auto"/>
        <w:tabs>
          <w:tab w:leader="none" w:pos="111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Remedy</w:t>
      </w:r>
      <w:r>
        <w:rPr>
          <w:rFonts w:ascii="Times New Roman" w:cs="Times New Roman" w:eastAsia="Times New Roman" w:hAnsi="Times New Roman"/>
          <w:sz w:val="19"/>
          <w:szCs w:val="19"/>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ectPr>
          <w:pgSz w:w="11900" w:h="16838" w:orient="portrait"/>
          <w:cols w:equalWidth="0" w:num="1">
            <w:col w:w="10052"/>
          </w:cols>
          <w:pgMar w:left="1048" w:top="1387" w:right="799" w:bottom="1440" w:gutter="0" w:footer="0" w:header="0"/>
        </w:sectPr>
      </w:pPr>
    </w:p>
    <w:bookmarkStart w:id="159" w:name="page160"/>
    <w:bookmarkEnd w:id="159"/>
    <w:p>
      <w:pPr>
        <w:jc w:val="both"/>
        <w:ind w:left="-630" w:right="20" w:firstLine="1263"/>
        <w:spacing w:after="0" w:line="227" w:lineRule="auto"/>
        <w:tabs>
          <w:tab w:leader="none" w:pos="1128"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Administrative Relief</w:t>
      </w:r>
      <w:r>
        <w:rPr>
          <w:rFonts w:ascii="Times New Roman" w:cs="Times New Roman" w:eastAsia="Times New Roman" w:hAnsi="Times New Roman"/>
          <w:sz w:val="19"/>
          <w:szCs w:val="19"/>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52" w:lineRule="exact"/>
        <w:rPr>
          <w:rFonts w:ascii="Times New Roman" w:cs="Times New Roman" w:eastAsia="Times New Roman" w:hAnsi="Times New Roman"/>
          <w:sz w:val="19"/>
          <w:szCs w:val="19"/>
          <w:color w:val="auto"/>
        </w:rPr>
      </w:pPr>
    </w:p>
    <w:p>
      <w:pPr>
        <w:jc w:val="both"/>
        <w:ind w:left="-630" w:right="20" w:firstLine="1263"/>
        <w:spacing w:after="0" w:line="223" w:lineRule="auto"/>
        <w:tabs>
          <w:tab w:leader="none" w:pos="1093"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Nature of Agreement</w:t>
      </w:r>
      <w:r>
        <w:rPr>
          <w:rFonts w:ascii="Times New Roman" w:cs="Times New Roman" w:eastAsia="Times New Roman" w:hAnsi="Times New Roman"/>
          <w:sz w:val="19"/>
          <w:szCs w:val="19"/>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Times New Roman" w:cs="Times New Roman" w:eastAsia="Times New Roman" w:hAnsi="Times New Roman"/>
          <w:sz w:val="19"/>
          <w:szCs w:val="19"/>
          <w:b w:val="1"/>
          <w:bCs w:val="1"/>
          <w:i w:val="1"/>
          <w:iCs w:val="1"/>
          <w:color w:val="auto"/>
        </w:rPr>
        <w:t>EXECUTIVE IS WAIVING EXECUTIVE’S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RIGHT TO A JURY TRIAL</w:t>
      </w:r>
      <w:r>
        <w:rPr>
          <w:rFonts w:ascii="Times New Roman" w:cs="Times New Roman" w:eastAsia="Times New Roman" w:hAnsi="Times New Roman"/>
          <w:sz w:val="19"/>
          <w:szCs w:val="19"/>
          <w:color w:val="auto"/>
        </w:rPr>
        <w:t>. Finally, Executive agrees that Executive has been provided an opportunity to seek the advice of an attorney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Executive’s choice before signing this Agreement.</w:t>
      </w:r>
    </w:p>
    <w:p>
      <w:pPr>
        <w:spacing w:after="0" w:line="39" w:lineRule="exact"/>
        <w:rPr>
          <w:rFonts w:ascii="Times New Roman" w:cs="Times New Roman" w:eastAsia="Times New Roman" w:hAnsi="Times New Roman"/>
          <w:sz w:val="19"/>
          <w:szCs w:val="19"/>
          <w:color w:val="auto"/>
        </w:rPr>
      </w:pPr>
    </w:p>
    <w:p>
      <w:pPr>
        <w:ind w:left="430" w:hanging="430"/>
        <w:spacing w:after="0"/>
        <w:tabs>
          <w:tab w:leader="none" w:pos="43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85" w:lineRule="exact"/>
        <w:rPr>
          <w:rFonts w:ascii="Times New Roman" w:cs="Times New Roman" w:eastAsia="Times New Roman" w:hAnsi="Times New Roman"/>
          <w:sz w:val="19"/>
          <w:szCs w:val="19"/>
          <w:color w:val="auto"/>
        </w:rPr>
      </w:pPr>
    </w:p>
    <w:p>
      <w:pPr>
        <w:ind w:left="-630" w:right="20" w:firstLine="1263"/>
        <w:spacing w:after="0" w:line="255" w:lineRule="auto"/>
        <w:tabs>
          <w:tab w:leader="none" w:pos="1088"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Duty to Mitigate</w:t>
      </w:r>
      <w:r>
        <w:rPr>
          <w:rFonts w:ascii="Times New Roman" w:cs="Times New Roman" w:eastAsia="Times New Roman" w:hAnsi="Times New Roman"/>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25" w:lineRule="exact"/>
        <w:rPr>
          <w:rFonts w:ascii="Times New Roman" w:cs="Times New Roman" w:eastAsia="Times New Roman" w:hAnsi="Times New Roman"/>
          <w:sz w:val="19"/>
          <w:szCs w:val="19"/>
          <w:color w:val="auto"/>
        </w:rPr>
      </w:pPr>
    </w:p>
    <w:p>
      <w:pPr>
        <w:jc w:val="both"/>
        <w:ind w:left="-630" w:firstLine="1263"/>
        <w:spacing w:after="0" w:line="229" w:lineRule="auto"/>
        <w:tabs>
          <w:tab w:leader="none" w:pos="1073"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52" w:lineRule="exact"/>
        <w:rPr>
          <w:rFonts w:ascii="Times New Roman" w:cs="Times New Roman" w:eastAsia="Times New Roman" w:hAnsi="Times New Roman"/>
          <w:sz w:val="19"/>
          <w:szCs w:val="19"/>
          <w:color w:val="auto"/>
        </w:rPr>
      </w:pPr>
    </w:p>
    <w:p>
      <w:pPr>
        <w:ind w:left="-630" w:right="20" w:firstLine="1263"/>
        <w:spacing w:after="0" w:line="255" w:lineRule="auto"/>
        <w:tabs>
          <w:tab w:leader="none" w:pos="1088"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All captions and section headings used in this Agreement are for convenient reference only and do not form a part of this Agreement.</w:t>
      </w:r>
    </w:p>
    <w:p>
      <w:pPr>
        <w:spacing w:after="0" w:line="25" w:lineRule="exact"/>
        <w:rPr>
          <w:rFonts w:ascii="Times New Roman" w:cs="Times New Roman" w:eastAsia="Times New Roman" w:hAnsi="Times New Roman"/>
          <w:sz w:val="19"/>
          <w:szCs w:val="19"/>
          <w:color w:val="auto"/>
        </w:rPr>
      </w:pPr>
    </w:p>
    <w:p>
      <w:pPr>
        <w:jc w:val="both"/>
        <w:ind w:left="-630" w:firstLine="1263"/>
        <w:spacing w:after="0" w:line="227" w:lineRule="auto"/>
        <w:tabs>
          <w:tab w:leader="none" w:pos="1126"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52" w:lineRule="exact"/>
        <w:rPr>
          <w:rFonts w:ascii="Times New Roman" w:cs="Times New Roman" w:eastAsia="Times New Roman" w:hAnsi="Times New Roman"/>
          <w:sz w:val="19"/>
          <w:szCs w:val="19"/>
          <w:color w:val="auto"/>
        </w:rPr>
      </w:pPr>
    </w:p>
    <w:p>
      <w:pPr>
        <w:jc w:val="both"/>
        <w:ind w:left="-630" w:firstLine="1263"/>
        <w:spacing w:after="0" w:line="224" w:lineRule="auto"/>
        <w:tabs>
          <w:tab w:leader="none" w:pos="1088"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Choice of Law</w:t>
      </w:r>
      <w:r>
        <w:rPr>
          <w:rFonts w:ascii="Times New Roman" w:cs="Times New Roman" w:eastAsia="Times New Roman" w:hAnsi="Times New Roman"/>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 resides, and Executive and the Company hereby submit to the jurisdiction and venue of any such court.</w:t>
      </w:r>
    </w:p>
    <w:p>
      <w:pPr>
        <w:spacing w:after="0" w:line="52" w:lineRule="exact"/>
        <w:rPr>
          <w:rFonts w:ascii="Times New Roman" w:cs="Times New Roman" w:eastAsia="Times New Roman" w:hAnsi="Times New Roman"/>
          <w:sz w:val="19"/>
          <w:szCs w:val="19"/>
          <w:color w:val="auto"/>
        </w:rPr>
      </w:pPr>
    </w:p>
    <w:p>
      <w:pPr>
        <w:ind w:left="-630" w:right="20" w:firstLine="1263"/>
        <w:spacing w:after="0" w:line="255" w:lineRule="auto"/>
        <w:tabs>
          <w:tab w:leader="none" w:pos="1040"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invalidity or unenforceability of any provision or provisions of this Agreement will not affect the validity or enforceability of any other provision hereof, which will remain in full force and effect.</w:t>
      </w:r>
    </w:p>
    <w:p>
      <w:pPr>
        <w:spacing w:after="0" w:line="25" w:lineRule="exact"/>
        <w:rPr>
          <w:rFonts w:ascii="Times New Roman" w:cs="Times New Roman" w:eastAsia="Times New Roman" w:hAnsi="Times New Roman"/>
          <w:sz w:val="19"/>
          <w:szCs w:val="19"/>
          <w:color w:val="auto"/>
        </w:rPr>
      </w:pPr>
    </w:p>
    <w:p>
      <w:pPr>
        <w:ind w:left="-630" w:right="20" w:firstLine="1263"/>
        <w:spacing w:after="0" w:line="255" w:lineRule="auto"/>
        <w:tabs>
          <w:tab w:leader="none" w:pos="1086"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All payments made pursuant to this Agreement will be subject to withholding of applicable income, employment and other taxes.</w:t>
      </w:r>
    </w:p>
    <w:p>
      <w:pPr>
        <w:spacing w:after="0" w:line="38" w:lineRule="exact"/>
        <w:rPr>
          <w:rFonts w:ascii="Times New Roman" w:cs="Times New Roman" w:eastAsia="Times New Roman" w:hAnsi="Times New Roman"/>
          <w:sz w:val="19"/>
          <w:szCs w:val="19"/>
          <w:color w:val="auto"/>
        </w:rPr>
      </w:pPr>
    </w:p>
    <w:p>
      <w:pPr>
        <w:ind w:left="-630" w:right="20" w:firstLine="1263"/>
        <w:spacing w:after="0" w:line="241" w:lineRule="auto"/>
        <w:tabs>
          <w:tab w:leader="none" w:pos="1086"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each of which will be deemed an original, but all of which together will constitute one and the same instrument.</w:t>
      </w:r>
    </w:p>
    <w:p>
      <w:pPr>
        <w:spacing w:after="0" w:line="391" w:lineRule="exact"/>
        <w:rPr>
          <w:sz w:val="20"/>
          <w:szCs w:val="20"/>
          <w:color w:val="auto"/>
        </w:rPr>
      </w:pPr>
    </w:p>
    <w:p>
      <w:pPr>
        <w:ind w:left="1790"/>
        <w:spacing w:after="0"/>
        <w:rPr>
          <w:sz w:val="20"/>
          <w:szCs w:val="20"/>
          <w:color w:val="auto"/>
        </w:rPr>
      </w:pPr>
      <w:r>
        <w:rPr>
          <w:rFonts w:ascii="Times New Roman" w:cs="Times New Roman" w:eastAsia="Times New Roman" w:hAnsi="Times New Roman"/>
          <w:sz w:val="19"/>
          <w:szCs w:val="19"/>
          <w:b w:val="1"/>
          <w:bCs w:val="1"/>
          <w:i w:val="1"/>
          <w:iCs w:val="1"/>
          <w:color w:val="1F1D22"/>
        </w:rPr>
        <w:t>[</w:t>
      </w:r>
      <w:r>
        <w:rPr>
          <w:rFonts w:ascii="Times New Roman" w:cs="Times New Roman" w:eastAsia="Times New Roman" w:hAnsi="Times New Roman"/>
          <w:sz w:val="19"/>
          <w:szCs w:val="19"/>
          <w:color w:val="1F1D22"/>
        </w:rPr>
        <w:t>S</w:t>
      </w:r>
      <w:r>
        <w:rPr>
          <w:rFonts w:ascii="Times New Roman" w:cs="Times New Roman" w:eastAsia="Times New Roman" w:hAnsi="Times New Roman"/>
          <w:sz w:val="19"/>
          <w:szCs w:val="19"/>
          <w:b w:val="1"/>
          <w:bCs w:val="1"/>
          <w:i w:val="1"/>
          <w:iCs w:val="1"/>
          <w:color w:val="1F1D22"/>
        </w:rPr>
        <w:t>ignature page of the Change of Control and Severance Agreement Follows]</w:t>
      </w:r>
    </w:p>
    <w:p>
      <w:pPr>
        <w:sectPr>
          <w:pgSz w:w="11900" w:h="16838" w:orient="portrait"/>
          <w:cols w:equalWidth="0" w:num="1">
            <w:col w:w="10050"/>
          </w:cols>
          <w:pgMar w:left="1050" w:top="1387" w:right="799" w:bottom="1440" w:gutter="0" w:footer="0" w:header="0"/>
        </w:sectPr>
      </w:pPr>
    </w:p>
    <w:bookmarkStart w:id="160" w:name="page161"/>
    <w:bookmarkEnd w:id="160"/>
    <w:p>
      <w:pPr>
        <w:ind w:left="20" w:firstLine="634"/>
        <w:spacing w:after="0" w:line="255" w:lineRule="auto"/>
        <w:rPr>
          <w:sz w:val="20"/>
          <w:szCs w:val="20"/>
          <w:color w:val="auto"/>
        </w:rPr>
      </w:pPr>
      <w:r>
        <w:rPr>
          <w:rFonts w:ascii="Times New Roman" w:cs="Times New Roman" w:eastAsia="Times New Roman" w:hAnsi="Times New Roman"/>
          <w:sz w:val="19"/>
          <w:szCs w:val="19"/>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COMPANY</w:t>
            </w:r>
          </w:p>
        </w:tc>
        <w:tc>
          <w:tcPr>
            <w:tcW w:w="3900" w:type="dxa"/>
            <w:vAlign w:val="bottom"/>
            <w:gridSpan w:val="2"/>
          </w:tcPr>
          <w:p>
            <w:pPr>
              <w:ind w:left="1820"/>
              <w:spacing w:after="0"/>
              <w:rPr>
                <w:sz w:val="20"/>
                <w:szCs w:val="20"/>
                <w:color w:val="auto"/>
              </w:rPr>
            </w:pPr>
            <w:r>
              <w:rPr>
                <w:rFonts w:ascii="Times New Roman" w:cs="Times New Roman" w:eastAsia="Times New Roman" w:hAnsi="Times New Roman"/>
                <w:sz w:val="19"/>
                <w:szCs w:val="19"/>
                <w:b w:val="1"/>
                <w:bCs w:val="1"/>
                <w:color w:val="auto"/>
              </w:rPr>
              <w:t>VERACYTE, INC.</w:t>
            </w:r>
          </w:p>
        </w:tc>
        <w:tc>
          <w:tcPr>
            <w:tcW w:w="3100" w:type="dxa"/>
            <w:vAlign w:val="bottom"/>
          </w:tcPr>
          <w:p>
            <w:pPr>
              <w:spacing w:after="0"/>
              <w:rPr>
                <w:sz w:val="22"/>
                <w:szCs w:val="22"/>
                <w:color w:val="auto"/>
              </w:rPr>
            </w:pPr>
          </w:p>
        </w:tc>
      </w:tr>
      <w:tr>
        <w:trPr>
          <w:trHeight w:val="257"/>
        </w:trPr>
        <w:tc>
          <w:tcPr>
            <w:tcW w:w="2980" w:type="dxa"/>
            <w:vAlign w:val="bottom"/>
          </w:tcPr>
          <w:p>
            <w:pPr>
              <w:spacing w:after="0"/>
              <w:rPr>
                <w:sz w:val="22"/>
                <w:szCs w:val="22"/>
                <w:color w:val="auto"/>
              </w:rPr>
            </w:pPr>
          </w:p>
        </w:tc>
        <w:tc>
          <w:tcPr>
            <w:tcW w:w="3900" w:type="dxa"/>
            <w:vAlign w:val="bottom"/>
            <w:gridSpan w:val="2"/>
          </w:tcPr>
          <w:p>
            <w:pPr>
              <w:ind w:left="1820"/>
              <w:spacing w:after="0"/>
              <w:rPr>
                <w:sz w:val="20"/>
                <w:szCs w:val="20"/>
                <w:color w:val="auto"/>
              </w:rPr>
            </w:pPr>
            <w:r>
              <w:rPr>
                <w:rFonts w:ascii="Times New Roman" w:cs="Times New Roman" w:eastAsia="Times New Roman" w:hAnsi="Times New Roman"/>
                <w:sz w:val="19"/>
                <w:szCs w:val="19"/>
                <w:color w:val="auto"/>
              </w:rPr>
              <w:t>By:</w:t>
            </w:r>
          </w:p>
        </w:tc>
        <w:tc>
          <w:tcPr>
            <w:tcW w:w="3100" w:type="dxa"/>
            <w:vAlign w:val="bottom"/>
          </w:tcPr>
          <w:p>
            <w:pPr>
              <w:jc w:val="center"/>
              <w:ind w:right="1143"/>
              <w:spacing w:after="0"/>
              <w:rPr>
                <w:sz w:val="20"/>
                <w:szCs w:val="20"/>
                <w:color w:val="auto"/>
              </w:rPr>
            </w:pPr>
            <w:r>
              <w:rPr>
                <w:rFonts w:ascii="Times New Roman" w:cs="Times New Roman" w:eastAsia="Times New Roman" w:hAnsi="Times New Roman"/>
                <w:sz w:val="19"/>
                <w:szCs w:val="19"/>
                <w:color w:val="auto"/>
              </w:rPr>
              <w:t>/s/ Marc Stapley</w:t>
            </w:r>
          </w:p>
        </w:tc>
      </w:tr>
      <w:tr>
        <w:trPr>
          <w:trHeight w:val="249"/>
        </w:trPr>
        <w:tc>
          <w:tcPr>
            <w:tcW w:w="2980" w:type="dxa"/>
            <w:vAlign w:val="bottom"/>
          </w:tcPr>
          <w:p>
            <w:pPr>
              <w:spacing w:after="0"/>
              <w:rPr>
                <w:sz w:val="21"/>
                <w:szCs w:val="21"/>
                <w:color w:val="auto"/>
              </w:rPr>
            </w:pPr>
          </w:p>
        </w:tc>
        <w:tc>
          <w:tcPr>
            <w:tcW w:w="2660" w:type="dxa"/>
            <w:vAlign w:val="bottom"/>
          </w:tcPr>
          <w:p>
            <w:pPr>
              <w:ind w:left="1820"/>
              <w:spacing w:after="0"/>
              <w:rPr>
                <w:sz w:val="20"/>
                <w:szCs w:val="20"/>
                <w:color w:val="auto"/>
              </w:rPr>
            </w:pPr>
            <w:r>
              <w:rPr>
                <w:rFonts w:ascii="Times New Roman" w:cs="Times New Roman" w:eastAsia="Times New Roman" w:hAnsi="Times New Roman"/>
                <w:sz w:val="19"/>
                <w:szCs w:val="19"/>
                <w:color w:val="auto"/>
              </w:rPr>
              <w:t>Name:</w:t>
            </w:r>
          </w:p>
        </w:tc>
        <w:tc>
          <w:tcPr>
            <w:tcW w:w="1240" w:type="dxa"/>
            <w:vAlign w:val="bottom"/>
            <w:tcBorders>
              <w:top w:val="single" w:sz="8" w:color="auto"/>
              <w:bottom w:val="single" w:sz="8" w:color="auto"/>
            </w:tcBorders>
          </w:tcPr>
          <w:p>
            <w:pPr>
              <w:spacing w:after="0"/>
              <w:rPr>
                <w:sz w:val="21"/>
                <w:szCs w:val="21"/>
                <w:color w:val="auto"/>
              </w:rPr>
            </w:pPr>
          </w:p>
        </w:tc>
        <w:tc>
          <w:tcPr>
            <w:tcW w:w="3100" w:type="dxa"/>
            <w:vAlign w:val="bottom"/>
            <w:tcBorders>
              <w:top w:val="single" w:sz="8" w:color="auto"/>
              <w:bottom w:val="single" w:sz="8" w:color="auto"/>
            </w:tcBorders>
          </w:tcPr>
          <w:p>
            <w:pPr>
              <w:jc w:val="center"/>
              <w:ind w:right="1163"/>
              <w:spacing w:after="0"/>
              <w:rPr>
                <w:sz w:val="20"/>
                <w:szCs w:val="20"/>
                <w:color w:val="auto"/>
              </w:rPr>
            </w:pPr>
            <w:r>
              <w:rPr>
                <w:rFonts w:ascii="Times New Roman" w:cs="Times New Roman" w:eastAsia="Times New Roman" w:hAnsi="Times New Roman"/>
                <w:sz w:val="19"/>
                <w:szCs w:val="19"/>
                <w:color w:val="auto"/>
              </w:rPr>
              <w:t>Marc Stapley</w:t>
            </w:r>
          </w:p>
        </w:tc>
      </w:tr>
      <w:tr>
        <w:trPr>
          <w:trHeight w:val="245"/>
        </w:trPr>
        <w:tc>
          <w:tcPr>
            <w:tcW w:w="2980" w:type="dxa"/>
            <w:vAlign w:val="bottom"/>
          </w:tcPr>
          <w:p>
            <w:pPr>
              <w:spacing w:after="0"/>
              <w:rPr>
                <w:sz w:val="21"/>
                <w:szCs w:val="21"/>
                <w:color w:val="auto"/>
              </w:rPr>
            </w:pPr>
          </w:p>
        </w:tc>
        <w:tc>
          <w:tcPr>
            <w:tcW w:w="2660" w:type="dxa"/>
            <w:vAlign w:val="bottom"/>
          </w:tcPr>
          <w:p>
            <w:pPr>
              <w:ind w:left="1820"/>
              <w:spacing w:after="0"/>
              <w:rPr>
                <w:sz w:val="20"/>
                <w:szCs w:val="20"/>
                <w:color w:val="auto"/>
              </w:rPr>
            </w:pPr>
            <w:r>
              <w:rPr>
                <w:rFonts w:ascii="Times New Roman" w:cs="Times New Roman" w:eastAsia="Times New Roman" w:hAnsi="Times New Roman"/>
                <w:sz w:val="19"/>
                <w:szCs w:val="19"/>
                <w:color w:val="auto"/>
              </w:rPr>
              <w:t>Title:</w:t>
            </w:r>
          </w:p>
        </w:tc>
        <w:tc>
          <w:tcPr>
            <w:tcW w:w="124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jc w:val="center"/>
              <w:ind w:right="1143"/>
              <w:spacing w:after="0"/>
              <w:rPr>
                <w:sz w:val="20"/>
                <w:szCs w:val="20"/>
                <w:color w:val="auto"/>
              </w:rPr>
            </w:pPr>
            <w:r>
              <w:rPr>
                <w:rFonts w:ascii="Times New Roman" w:cs="Times New Roman" w:eastAsia="Times New Roman" w:hAnsi="Times New Roman"/>
                <w:sz w:val="19"/>
                <w:szCs w:val="19"/>
                <w:color w:val="auto"/>
                <w:w w:val="99"/>
              </w:rPr>
              <w:t>CEO</w:t>
            </w:r>
          </w:p>
        </w:tc>
      </w:tr>
      <w:tr>
        <w:trPr>
          <w:trHeight w:val="245"/>
        </w:trPr>
        <w:tc>
          <w:tcPr>
            <w:tcW w:w="2980" w:type="dxa"/>
            <w:vAlign w:val="bottom"/>
          </w:tcPr>
          <w:p>
            <w:pPr>
              <w:spacing w:after="0"/>
              <w:rPr>
                <w:sz w:val="21"/>
                <w:szCs w:val="21"/>
                <w:color w:val="auto"/>
              </w:rPr>
            </w:pPr>
          </w:p>
        </w:tc>
        <w:tc>
          <w:tcPr>
            <w:tcW w:w="2660" w:type="dxa"/>
            <w:vAlign w:val="bottom"/>
          </w:tcPr>
          <w:p>
            <w:pPr>
              <w:ind w:left="1820"/>
              <w:spacing w:after="0"/>
              <w:rPr>
                <w:sz w:val="20"/>
                <w:szCs w:val="20"/>
                <w:color w:val="auto"/>
              </w:rPr>
            </w:pPr>
            <w:r>
              <w:rPr>
                <w:rFonts w:ascii="Times New Roman" w:cs="Times New Roman" w:eastAsia="Times New Roman" w:hAnsi="Times New Roman"/>
                <w:sz w:val="19"/>
                <w:szCs w:val="19"/>
                <w:color w:val="auto"/>
              </w:rPr>
              <w:t>Date:</w:t>
            </w:r>
          </w:p>
        </w:tc>
        <w:tc>
          <w:tcPr>
            <w:tcW w:w="124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jc w:val="center"/>
              <w:ind w:right="1143"/>
              <w:spacing w:after="0"/>
              <w:rPr>
                <w:sz w:val="20"/>
                <w:szCs w:val="20"/>
                <w:color w:val="auto"/>
              </w:rPr>
            </w:pPr>
            <w:r>
              <w:rPr>
                <w:rFonts w:ascii="Times New Roman" w:cs="Times New Roman" w:eastAsia="Times New Roman" w:hAnsi="Times New Roman"/>
                <w:sz w:val="19"/>
                <w:szCs w:val="19"/>
                <w:color w:val="auto"/>
              </w:rPr>
              <w:t>9/11/2023</w:t>
            </w:r>
          </w:p>
        </w:tc>
      </w:tr>
      <w:tr>
        <w:trPr>
          <w:trHeight w:val="691"/>
        </w:trPr>
        <w:tc>
          <w:tcPr>
            <w:tcW w:w="2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EXECUTIVE</w:t>
            </w:r>
          </w:p>
        </w:tc>
        <w:tc>
          <w:tcPr>
            <w:tcW w:w="3900" w:type="dxa"/>
            <w:vAlign w:val="bottom"/>
            <w:gridSpan w:val="2"/>
          </w:tcPr>
          <w:p>
            <w:pPr>
              <w:ind w:left="1820"/>
              <w:spacing w:after="0"/>
              <w:rPr>
                <w:sz w:val="20"/>
                <w:szCs w:val="20"/>
                <w:color w:val="auto"/>
              </w:rPr>
            </w:pPr>
            <w:r>
              <w:rPr>
                <w:rFonts w:ascii="Times New Roman" w:cs="Times New Roman" w:eastAsia="Times New Roman" w:hAnsi="Times New Roman"/>
                <w:sz w:val="19"/>
                <w:szCs w:val="19"/>
                <w:color w:val="auto"/>
              </w:rPr>
              <w:t>By:</w:t>
            </w:r>
          </w:p>
        </w:tc>
        <w:tc>
          <w:tcPr>
            <w:tcW w:w="3100" w:type="dxa"/>
            <w:vAlign w:val="bottom"/>
          </w:tcPr>
          <w:p>
            <w:pPr>
              <w:jc w:val="center"/>
              <w:ind w:right="1143"/>
              <w:spacing w:after="0"/>
              <w:rPr>
                <w:sz w:val="20"/>
                <w:szCs w:val="20"/>
                <w:color w:val="auto"/>
              </w:rPr>
            </w:pPr>
            <w:r>
              <w:rPr>
                <w:rFonts w:ascii="Times New Roman" w:cs="Times New Roman" w:eastAsia="Times New Roman" w:hAnsi="Times New Roman"/>
                <w:sz w:val="19"/>
                <w:szCs w:val="19"/>
                <w:color w:val="auto"/>
              </w:rPr>
              <w:t>/s/ Philip Febbo</w:t>
            </w:r>
          </w:p>
        </w:tc>
      </w:tr>
      <w:tr>
        <w:trPr>
          <w:trHeight w:val="239"/>
        </w:trPr>
        <w:tc>
          <w:tcPr>
            <w:tcW w:w="29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(Signature)</w:t>
            </w:r>
          </w:p>
        </w:tc>
        <w:tc>
          <w:tcPr>
            <w:tcW w:w="3100" w:type="dxa"/>
            <w:vAlign w:val="bottom"/>
            <w:tcBorders>
              <w:top w:val="single" w:sz="8" w:color="auto"/>
            </w:tcBorders>
          </w:tcPr>
          <w:p>
            <w:pPr>
              <w:spacing w:after="0"/>
              <w:rPr>
                <w:sz w:val="20"/>
                <w:szCs w:val="20"/>
                <w:color w:val="auto"/>
              </w:rPr>
            </w:pPr>
          </w:p>
        </w:tc>
      </w:tr>
      <w:tr>
        <w:trPr>
          <w:trHeight w:val="257"/>
        </w:trPr>
        <w:tc>
          <w:tcPr>
            <w:tcW w:w="2980" w:type="dxa"/>
            <w:vAlign w:val="bottom"/>
          </w:tcPr>
          <w:p>
            <w:pPr>
              <w:spacing w:after="0"/>
              <w:rPr>
                <w:sz w:val="22"/>
                <w:szCs w:val="22"/>
                <w:color w:val="auto"/>
              </w:rPr>
            </w:pPr>
          </w:p>
        </w:tc>
        <w:tc>
          <w:tcPr>
            <w:tcW w:w="3900" w:type="dxa"/>
            <w:vAlign w:val="bottom"/>
            <w:gridSpan w:val="2"/>
          </w:tcPr>
          <w:p>
            <w:pPr>
              <w:ind w:left="1820"/>
              <w:spacing w:after="0"/>
              <w:rPr>
                <w:sz w:val="20"/>
                <w:szCs w:val="20"/>
                <w:color w:val="auto"/>
              </w:rPr>
            </w:pPr>
            <w:r>
              <w:rPr>
                <w:rFonts w:ascii="Times New Roman" w:cs="Times New Roman" w:eastAsia="Times New Roman" w:hAnsi="Times New Roman"/>
                <w:sz w:val="19"/>
                <w:szCs w:val="19"/>
                <w:color w:val="auto"/>
              </w:rPr>
              <w:t>Name</w:t>
            </w:r>
          </w:p>
        </w:tc>
        <w:tc>
          <w:tcPr>
            <w:tcW w:w="3100" w:type="dxa"/>
            <w:vAlign w:val="bottom"/>
          </w:tcPr>
          <w:p>
            <w:pPr>
              <w:jc w:val="center"/>
              <w:ind w:right="1163"/>
              <w:spacing w:after="0"/>
              <w:rPr>
                <w:sz w:val="20"/>
                <w:szCs w:val="20"/>
                <w:color w:val="auto"/>
              </w:rPr>
            </w:pPr>
            <w:r>
              <w:rPr>
                <w:rFonts w:ascii="Times New Roman" w:cs="Times New Roman" w:eastAsia="Times New Roman" w:hAnsi="Times New Roman"/>
                <w:sz w:val="19"/>
                <w:szCs w:val="19"/>
                <w:color w:val="auto"/>
              </w:rPr>
              <w:t>Philip Febbo</w:t>
            </w:r>
          </w:p>
        </w:tc>
      </w:tr>
      <w:tr>
        <w:trPr>
          <w:trHeight w:val="249"/>
        </w:trPr>
        <w:tc>
          <w:tcPr>
            <w:tcW w:w="2980" w:type="dxa"/>
            <w:vAlign w:val="bottom"/>
          </w:tcPr>
          <w:p>
            <w:pPr>
              <w:spacing w:after="0"/>
              <w:rPr>
                <w:sz w:val="21"/>
                <w:szCs w:val="21"/>
                <w:color w:val="auto"/>
              </w:rPr>
            </w:pPr>
          </w:p>
        </w:tc>
        <w:tc>
          <w:tcPr>
            <w:tcW w:w="2660" w:type="dxa"/>
            <w:vAlign w:val="bottom"/>
          </w:tcPr>
          <w:p>
            <w:pPr>
              <w:ind w:left="1820"/>
              <w:spacing w:after="0"/>
              <w:rPr>
                <w:sz w:val="20"/>
                <w:szCs w:val="20"/>
                <w:color w:val="auto"/>
              </w:rPr>
            </w:pPr>
            <w:r>
              <w:rPr>
                <w:rFonts w:ascii="Times New Roman" w:cs="Times New Roman" w:eastAsia="Times New Roman" w:hAnsi="Times New Roman"/>
                <w:sz w:val="19"/>
                <w:szCs w:val="19"/>
                <w:color w:val="auto"/>
              </w:rPr>
              <w:t>Date:</w:t>
            </w:r>
          </w:p>
        </w:tc>
        <w:tc>
          <w:tcPr>
            <w:tcW w:w="1240" w:type="dxa"/>
            <w:vAlign w:val="bottom"/>
            <w:tcBorders>
              <w:top w:val="single" w:sz="8" w:color="auto"/>
              <w:bottom w:val="single" w:sz="8" w:color="auto"/>
            </w:tcBorders>
          </w:tcPr>
          <w:p>
            <w:pPr>
              <w:spacing w:after="0"/>
              <w:rPr>
                <w:sz w:val="21"/>
                <w:szCs w:val="21"/>
                <w:color w:val="auto"/>
              </w:rPr>
            </w:pPr>
          </w:p>
        </w:tc>
        <w:tc>
          <w:tcPr>
            <w:tcW w:w="3100" w:type="dxa"/>
            <w:vAlign w:val="bottom"/>
            <w:tcBorders>
              <w:top w:val="single" w:sz="8" w:color="auto"/>
              <w:bottom w:val="single" w:sz="8" w:color="auto"/>
            </w:tcBorders>
          </w:tcPr>
          <w:p>
            <w:pPr>
              <w:jc w:val="center"/>
              <w:ind w:right="1143"/>
              <w:spacing w:after="0"/>
              <w:rPr>
                <w:sz w:val="20"/>
                <w:szCs w:val="20"/>
                <w:color w:val="auto"/>
              </w:rPr>
            </w:pPr>
            <w:r>
              <w:rPr>
                <w:rFonts w:ascii="Times New Roman" w:cs="Times New Roman" w:eastAsia="Times New Roman" w:hAnsi="Times New Roman"/>
                <w:sz w:val="19"/>
                <w:szCs w:val="19"/>
                <w:color w:val="auto"/>
              </w:rPr>
              <w:t>9/13/2023</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1F1D22"/>
        </w:rPr>
        <w:t>[</w:t>
      </w:r>
      <w:r>
        <w:rPr>
          <w:rFonts w:ascii="Times New Roman" w:cs="Times New Roman" w:eastAsia="Times New Roman" w:hAnsi="Times New Roman"/>
          <w:sz w:val="19"/>
          <w:szCs w:val="19"/>
          <w:b w:val="1"/>
          <w:bCs w:val="1"/>
          <w:i w:val="1"/>
          <w:iCs w:val="1"/>
          <w:color w:val="1F1D22"/>
        </w:rPr>
        <w:t>Signature page of the Change of Control and Severance Agreement]</w:t>
      </w:r>
    </w:p>
    <w:p>
      <w:pPr>
        <w:sectPr>
          <w:pgSz w:w="11900" w:h="16838" w:orient="portrait"/>
          <w:cols w:equalWidth="0" w:num="1">
            <w:col w:w="10760"/>
          </w:cols>
          <w:pgMar w:left="400" w:top="1387" w:right="739" w:bottom="1440" w:gutter="0" w:footer="0" w:header="0"/>
        </w:sectPr>
      </w:pPr>
    </w:p>
    <w:bookmarkStart w:id="161" w:name="page162"/>
    <w:bookmarkEnd w:id="161"/>
    <w:p>
      <w:pPr>
        <w:jc w:val="center"/>
        <w:ind w:right="-29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FORM OF RELEASE OF CLAIMS</w:t>
      </w:r>
    </w:p>
    <w:p>
      <w:pPr>
        <w:spacing w:after="0" w:line="86" w:lineRule="exact"/>
        <w:rPr>
          <w:sz w:val="20"/>
          <w:szCs w:val="20"/>
          <w:color w:val="auto"/>
        </w:rPr>
      </w:pPr>
    </w:p>
    <w:p>
      <w:pPr>
        <w:ind w:firstLine="634"/>
        <w:spacing w:after="0" w:line="245" w:lineRule="auto"/>
        <w:rPr>
          <w:sz w:val="20"/>
          <w:szCs w:val="20"/>
          <w:color w:val="auto"/>
        </w:rPr>
      </w:pPr>
      <w:r>
        <w:rPr>
          <w:rFonts w:ascii="Times New Roman" w:cs="Times New Roman" w:eastAsia="Times New Roman" w:hAnsi="Times New Roman"/>
          <w:sz w:val="19"/>
          <w:szCs w:val="19"/>
          <w:color w:val="auto"/>
        </w:rPr>
        <w:t>This release of claims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by and between Veracyte,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Name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The Company and Executive are sometimes collectively referred to herein as the “</w:t>
      </w:r>
      <w:r>
        <w:rPr>
          <w:rFonts w:ascii="Times New Roman" w:cs="Times New Roman" w:eastAsia="Times New Roman" w:hAnsi="Times New Roman"/>
          <w:sz w:val="19"/>
          <w:szCs w:val="19"/>
          <w:b w:val="1"/>
          <w:bCs w:val="1"/>
          <w:i w:val="1"/>
          <w:iCs w:val="1"/>
          <w:color w:val="auto"/>
        </w:rPr>
        <w:t>Parties</w:t>
      </w:r>
      <w:r>
        <w:rPr>
          <w:rFonts w:ascii="Times New Roman" w:cs="Times New Roman" w:eastAsia="Times New Roman" w:hAnsi="Times New Roman"/>
          <w:sz w:val="19"/>
          <w:szCs w:val="19"/>
          <w:color w:val="auto"/>
        </w:rPr>
        <w:t>” and individually referred to as a “</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86" w:lineRule="exact"/>
        <w:rPr>
          <w:sz w:val="20"/>
          <w:szCs w:val="20"/>
          <w:color w:val="auto"/>
        </w:rPr>
      </w:pPr>
    </w:p>
    <w:p>
      <w:pPr>
        <w:ind w:right="60" w:firstLine="634"/>
        <w:spacing w:after="0" w:line="24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previously signed a Confidential Information and Invention Assignment Agreement with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Confidentiality Agreement</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620"/>
        <w:spacing w:after="0"/>
        <w:tabs>
          <w:tab w:leader="none" w:pos="9360" w:val="left"/>
        </w:tabs>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signed a Change of Control and Severance Agreement with the company on</w:t>
      </w:r>
      <w:r>
        <w:rPr>
          <w:sz w:val="20"/>
          <w:szCs w:val="20"/>
          <w:color w:val="auto"/>
        </w:rPr>
        <w:tab/>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-3175</wp:posOffset>
            </wp:positionV>
            <wp:extent cx="2241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224155" cy="8255"/>
                    </a:xfrm>
                    <a:prstGeom prst="rect">
                      <a:avLst/>
                    </a:prstGeom>
                    <a:noFill/>
                  </pic:spPr>
                </pic:pic>
              </a:graphicData>
            </a:graphic>
          </wp:anchor>
        </w:drawing>
      </w:r>
    </w:p>
    <w:p>
      <w:pPr>
        <w:ind w:right="60"/>
        <w:spacing w:after="0" w:line="228" w:lineRule="auto"/>
        <w:rPr>
          <w:sz w:val="20"/>
          <w:szCs w:val="20"/>
          <w:color w:val="auto"/>
        </w:rPr>
      </w:pP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which, among other things, provides for certain severance benefits to be paid to Executive by the Company upon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termination of Executive’s employment;</w:t>
      </w:r>
    </w:p>
    <w:p>
      <w:pPr>
        <w:spacing w:after="0" w:line="41" w:lineRule="exact"/>
        <w:rPr>
          <w:sz w:val="20"/>
          <w:szCs w:val="20"/>
          <w:color w:val="auto"/>
        </w:rPr>
      </w:pPr>
    </w:p>
    <w:p>
      <w:pPr>
        <w:ind w:left="620"/>
        <w:spacing w:after="0"/>
        <w:tabs>
          <w:tab w:leader="none" w:pos="5700" w:val="left"/>
        </w:tabs>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was employed by the Company until</w:t>
      </w:r>
      <w:r>
        <w:rPr>
          <w:sz w:val="20"/>
          <w:szCs w:val="20"/>
          <w:color w:val="auto"/>
        </w:rPr>
        <w:tab/>
      </w:r>
      <w:r>
        <w:rPr>
          <w:rFonts w:ascii="Times New Roman" w:cs="Times New Roman" w:eastAsia="Times New Roman" w:hAnsi="Times New Roman"/>
          <w:sz w:val="19"/>
          <w:szCs w:val="19"/>
          <w:color w:val="auto"/>
        </w:rPr>
        <w:t>, when Executive’s employment was terminated (“</w:t>
      </w:r>
      <w:r>
        <w:rPr>
          <w:rFonts w:ascii="Times New Roman" w:cs="Times New Roman" w:eastAsia="Times New Roman" w:hAnsi="Times New Roman"/>
          <w:sz w:val="19"/>
          <w:szCs w:val="19"/>
          <w:b w:val="1"/>
          <w:bCs w:val="1"/>
          <w:i w:val="1"/>
          <w:iCs w:val="1"/>
          <w:color w:val="auto"/>
        </w:rPr>
        <w:t>Termination</w:t>
      </w:r>
    </w:p>
    <w:p>
      <w:pPr>
        <w:spacing w:after="0"/>
        <w:rPr>
          <w:sz w:val="20"/>
          <w:szCs w:val="20"/>
          <w:color w:val="auto"/>
        </w:rPr>
      </w:pP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-137795</wp:posOffset>
            </wp:positionV>
            <wp:extent cx="139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in accordance with Section 4 of the Severance Agreement between the Company and Executive, Executive has</w:t>
      </w:r>
    </w:p>
    <w:p>
      <w:pPr>
        <w:spacing w:after="0" w:line="6"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9"/>
          <w:szCs w:val="19"/>
          <w:color w:val="auto"/>
        </w:rPr>
        <w:t>agreed to enter into and not revoke a standard release of claims in favor of the Company as a condition to receiving the severance benefits described in the Severance Agreement; and</w:t>
      </w:r>
    </w:p>
    <w:p>
      <w:pPr>
        <w:spacing w:after="0" w:line="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Parties wish to resolve any and all disputes, claims, complaints, grievances, charges, actions, petitions and</w:t>
      </w:r>
    </w:p>
    <w:p>
      <w:pPr>
        <w:spacing w:after="0" w:line="6" w:lineRule="exact"/>
        <w:rPr>
          <w:sz w:val="20"/>
          <w:szCs w:val="20"/>
          <w:color w:val="auto"/>
        </w:rPr>
      </w:pPr>
    </w:p>
    <w:p>
      <w:pPr>
        <w:ind w:right="60"/>
        <w:spacing w:after="0" w:line="210" w:lineRule="auto"/>
        <w:rPr>
          <w:sz w:val="20"/>
          <w:szCs w:val="20"/>
          <w:color w:val="auto"/>
        </w:rPr>
      </w:pPr>
      <w:r>
        <w:rPr>
          <w:rFonts w:ascii="Times New Roman" w:cs="Times New Roman" w:eastAsia="Times New Roman" w:hAnsi="Times New Roman"/>
          <w:sz w:val="19"/>
          <w:szCs w:val="19"/>
          <w:color w:val="auto"/>
        </w:rPr>
        <w:t>demands that Executive may have against the Company and any of the Releasees (as defined below), including, but not limited to, any and all claims arising out of or in any way related to Executive’s employment relationship with the Company and the termination of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relationship.</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for good and valuable consideration, including the mutual promises and covenants made herein, the</w:t>
      </w:r>
    </w:p>
    <w:p>
      <w:pPr>
        <w:spacing w:after="0"/>
        <w:rPr>
          <w:sz w:val="20"/>
          <w:szCs w:val="20"/>
          <w:color w:val="auto"/>
        </w:rPr>
      </w:pPr>
      <w:r>
        <w:rPr>
          <w:rFonts w:ascii="Times New Roman" w:cs="Times New Roman" w:eastAsia="Times New Roman" w:hAnsi="Times New Roman"/>
          <w:sz w:val="19"/>
          <w:szCs w:val="19"/>
          <w:color w:val="auto"/>
        </w:rPr>
        <w:t>Company and Executive hereby agree as follows:</w:t>
      </w:r>
    </w:p>
    <w:p>
      <w:pPr>
        <w:spacing w:after="0" w:line="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103" w:lineRule="exact"/>
        <w:rPr>
          <w:sz w:val="20"/>
          <w:szCs w:val="20"/>
          <w:color w:val="auto"/>
        </w:rPr>
      </w:pPr>
    </w:p>
    <w:p>
      <w:pPr>
        <w:ind w:left="620"/>
        <w:spacing w:after="0"/>
        <w:tabs>
          <w:tab w:leader="none" w:pos="94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Executive’s employment with the Company terminated on the Termination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86" w:lineRule="exact"/>
        <w:rPr>
          <w:sz w:val="20"/>
          <w:szCs w:val="20"/>
          <w:color w:val="auto"/>
        </w:rPr>
      </w:pPr>
    </w:p>
    <w:p>
      <w:pPr>
        <w:jc w:val="both"/>
        <w:ind w:right="20" w:firstLine="628"/>
        <w:spacing w:after="0"/>
        <w:tabs>
          <w:tab w:leader="none" w:pos="100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Salary and Receipt of All Benefits</w:t>
      </w:r>
      <w:r>
        <w:rPr>
          <w:rFonts w:ascii="Times New Roman" w:cs="Times New Roman" w:eastAsia="Times New Roman" w:hAnsi="Times New Roman"/>
          <w:sz w:val="19"/>
          <w:szCs w:val="19"/>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78" w:lineRule="exact"/>
        <w:rPr>
          <w:rFonts w:ascii="Times New Roman" w:cs="Times New Roman" w:eastAsia="Times New Roman" w:hAnsi="Times New Roman"/>
          <w:sz w:val="19"/>
          <w:szCs w:val="19"/>
          <w:color w:val="auto"/>
        </w:rPr>
      </w:pPr>
    </w:p>
    <w:p>
      <w:pPr>
        <w:jc w:val="both"/>
        <w:ind w:firstLine="628"/>
        <w:spacing w:after="0"/>
        <w:tabs>
          <w:tab w:leader="none" w:pos="1053"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85" w:lineRule="exact"/>
        <w:rPr>
          <w:sz w:val="20"/>
          <w:szCs w:val="20"/>
          <w:color w:val="auto"/>
        </w:rPr>
      </w:pPr>
    </w:p>
    <w:p>
      <w:pPr>
        <w:ind w:right="880" w:firstLine="1263"/>
        <w:spacing w:after="0" w:line="255" w:lineRule="auto"/>
        <w:tabs>
          <w:tab w:leader="none" w:pos="1746"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Executive’s employment relationship with the Company and the termination of that relationship;</w:t>
      </w:r>
    </w:p>
    <w:p>
      <w:pPr>
        <w:spacing w:after="0" w:line="25" w:lineRule="exact"/>
        <w:rPr>
          <w:rFonts w:ascii="Times New Roman" w:cs="Times New Roman" w:eastAsia="Times New Roman" w:hAnsi="Times New Roman"/>
          <w:sz w:val="19"/>
          <w:szCs w:val="19"/>
          <w:color w:val="auto"/>
        </w:rPr>
      </w:pPr>
    </w:p>
    <w:p>
      <w:pPr>
        <w:ind w:right="200" w:firstLine="1263"/>
        <w:spacing w:after="0" w:line="255" w:lineRule="auto"/>
        <w:tabs>
          <w:tab w:leader="none" w:pos="1703"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Executive’s right to purchase, or actual purchase of shares of stock of the Company, including, without limitation, any claims for fraud,</w:t>
      </w:r>
    </w:p>
    <w:p>
      <w:pPr>
        <w:sectPr>
          <w:pgSz w:w="11900" w:h="16838" w:orient="portrait"/>
          <w:cols w:equalWidth="0" w:num="1">
            <w:col w:w="10740"/>
          </w:cols>
          <w:pgMar w:left="420" w:top="1383" w:right="739" w:bottom="1440" w:gutter="0" w:footer="0" w:header="0"/>
        </w:sectPr>
      </w:pPr>
    </w:p>
    <w:bookmarkStart w:id="162" w:name="page163"/>
    <w:bookmarkEnd w:id="162"/>
    <w:p>
      <w:pPr>
        <w:ind w:left="6" w:right="320"/>
        <w:spacing w:after="0" w:line="255" w:lineRule="auto"/>
        <w:rPr>
          <w:sz w:val="20"/>
          <w:szCs w:val="20"/>
          <w:color w:val="auto"/>
        </w:rPr>
      </w:pPr>
      <w:r>
        <w:rPr>
          <w:rFonts w:ascii="Times New Roman" w:cs="Times New Roman" w:eastAsia="Times New Roman" w:hAnsi="Times New Roman"/>
          <w:sz w:val="19"/>
          <w:szCs w:val="19"/>
          <w:color w:val="auto"/>
        </w:rPr>
        <w:t>misrepresentation, breach of fiduciary duty, breach of duty under applicable state corporate law, and securities fraud under any state or federal law;</w:t>
      </w:r>
    </w:p>
    <w:p>
      <w:pPr>
        <w:spacing w:after="0" w:line="39" w:lineRule="exact"/>
        <w:rPr>
          <w:sz w:val="20"/>
          <w:szCs w:val="20"/>
          <w:color w:val="auto"/>
        </w:rPr>
      </w:pPr>
    </w:p>
    <w:p>
      <w:pPr>
        <w:jc w:val="both"/>
        <w:ind w:left="6" w:right="100" w:firstLine="1263"/>
        <w:spacing w:after="0" w:line="224" w:lineRule="auto"/>
        <w:tabs>
          <w:tab w:leader="none" w:pos="1715"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52" w:lineRule="exact"/>
        <w:rPr>
          <w:rFonts w:ascii="Times New Roman" w:cs="Times New Roman" w:eastAsia="Times New Roman" w:hAnsi="Times New Roman"/>
          <w:sz w:val="19"/>
          <w:szCs w:val="19"/>
          <w:color w:val="auto"/>
        </w:rPr>
      </w:pPr>
    </w:p>
    <w:p>
      <w:pPr>
        <w:jc w:val="both"/>
        <w:ind w:left="6" w:right="160" w:firstLine="1263"/>
        <w:spacing w:after="0" w:line="223" w:lineRule="auto"/>
        <w:tabs>
          <w:tab w:leader="none" w:pos="1718"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 Oxley Act of2002; the California Family Rights Act; the California Labor Code; the California Workers’ Compensation Act; and the California Fair Employment and Housing Act;</w:t>
      </w:r>
    </w:p>
    <w:p>
      <w:pPr>
        <w:spacing w:after="0" w:line="52" w:lineRule="exact"/>
        <w:rPr>
          <w:rFonts w:ascii="Times New Roman" w:cs="Times New Roman" w:eastAsia="Times New Roman" w:hAnsi="Times New Roman"/>
          <w:sz w:val="19"/>
          <w:szCs w:val="19"/>
          <w:color w:val="auto"/>
        </w:rPr>
      </w:pPr>
    </w:p>
    <w:p>
      <w:pPr>
        <w:ind w:left="1686" w:hanging="415"/>
        <w:spacing w:after="0"/>
        <w:tabs>
          <w:tab w:leader="none" w:pos="1686"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the federal, or any state, constitution;</w:t>
      </w:r>
    </w:p>
    <w:p>
      <w:pPr>
        <w:spacing w:after="0" w:line="72" w:lineRule="exact"/>
        <w:rPr>
          <w:rFonts w:ascii="Times New Roman" w:cs="Times New Roman" w:eastAsia="Times New Roman" w:hAnsi="Times New Roman"/>
          <w:sz w:val="19"/>
          <w:szCs w:val="19"/>
          <w:color w:val="auto"/>
        </w:rPr>
      </w:pPr>
    </w:p>
    <w:p>
      <w:pPr>
        <w:ind w:left="1766" w:hanging="497"/>
        <w:spacing w:after="0"/>
        <w:tabs>
          <w:tab w:leader="none" w:pos="1766"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arising out of any other laws and regulations relating to employment or employment</w:t>
      </w:r>
    </w:p>
    <w:p>
      <w:pPr>
        <w:spacing w:after="0" w:line="2" w:lineRule="exact"/>
        <w:rPr>
          <w:rFonts w:ascii="Times New Roman" w:cs="Times New Roman" w:eastAsia="Times New Roman" w:hAnsi="Times New Roman"/>
          <w:sz w:val="19"/>
          <w:szCs w:val="19"/>
          <w:color w:val="auto"/>
        </w:rPr>
      </w:pPr>
    </w:p>
    <w:p>
      <w:pPr>
        <w:ind w:left="6"/>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discrimination;</w:t>
      </w:r>
    </w:p>
    <w:p>
      <w:pPr>
        <w:spacing w:after="0" w:line="63" w:lineRule="exact"/>
        <w:rPr>
          <w:rFonts w:ascii="Times New Roman" w:cs="Times New Roman" w:eastAsia="Times New Roman" w:hAnsi="Times New Roman"/>
          <w:sz w:val="19"/>
          <w:szCs w:val="19"/>
          <w:color w:val="auto"/>
        </w:rPr>
      </w:pPr>
    </w:p>
    <w:p>
      <w:pPr>
        <w:ind w:left="6" w:right="280" w:firstLine="1263"/>
        <w:spacing w:after="0" w:line="241" w:lineRule="auto"/>
        <w:tabs>
          <w:tab w:leader="none" w:pos="1715"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 for any loss, cost, damage, or expense arising out of any dispute over the non- withholding or other tax treatment of any of the proceeds received by Executive as a result of this Agreement; and</w:t>
      </w:r>
    </w:p>
    <w:p>
      <w:pPr>
        <w:spacing w:after="0" w:line="50" w:lineRule="exact"/>
        <w:rPr>
          <w:rFonts w:ascii="Times New Roman" w:cs="Times New Roman" w:eastAsia="Times New Roman" w:hAnsi="Times New Roman"/>
          <w:sz w:val="19"/>
          <w:szCs w:val="19"/>
          <w:color w:val="auto"/>
        </w:rPr>
      </w:pPr>
    </w:p>
    <w:p>
      <w:pPr>
        <w:ind w:left="1686" w:hanging="415"/>
        <w:spacing w:after="0"/>
        <w:tabs>
          <w:tab w:leader="none" w:pos="1686"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attorneys’ fees and costs.</w:t>
      </w:r>
    </w:p>
    <w:p>
      <w:pPr>
        <w:spacing w:after="0" w:line="82" w:lineRule="exact"/>
        <w:rPr>
          <w:sz w:val="20"/>
          <w:szCs w:val="20"/>
          <w:color w:val="auto"/>
        </w:rPr>
      </w:pPr>
    </w:p>
    <w:p>
      <w:pPr>
        <w:jc w:val="both"/>
        <w:ind w:left="6"/>
        <w:spacing w:after="0" w:line="225" w:lineRule="auto"/>
        <w:rPr>
          <w:sz w:val="20"/>
          <w:szCs w:val="20"/>
          <w:color w:val="auto"/>
        </w:rPr>
      </w:pPr>
      <w:r>
        <w:rPr>
          <w:rFonts w:ascii="Times New Roman" w:cs="Times New Roman" w:eastAsia="Times New Roman" w:hAnsi="Times New Roman"/>
          <w:sz w:val="19"/>
          <w:szCs w:val="19"/>
          <w:color w:val="auto"/>
        </w:rPr>
        <w:t>Executive agrees that the release set forth in this Section 3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will be and remain in effect in all respects as a complete general release as to the matters released. The Release does not extend to any severance obligations due Executive under the Severance Agreement.</w:t>
      </w:r>
    </w:p>
    <w:p>
      <w:pPr>
        <w:ind w:left="6"/>
        <w:spacing w:after="0" w:line="218" w:lineRule="auto"/>
        <w:rPr>
          <w:sz w:val="20"/>
          <w:szCs w:val="20"/>
          <w:color w:val="auto"/>
        </w:rPr>
      </w:pPr>
      <w:r>
        <w:rPr>
          <w:rFonts w:ascii="Times New Roman" w:cs="Times New Roman" w:eastAsia="Times New Roman" w:hAnsi="Times New Roman"/>
          <w:sz w:val="19"/>
          <w:szCs w:val="19"/>
          <w:color w:val="auto"/>
        </w:rPr>
        <w:t>The Release does not release claims that cannot be released as a matter of law. Executive represents that Executive has made no assignment</w:t>
      </w:r>
    </w:p>
    <w:p>
      <w:pPr>
        <w:ind w:left="6"/>
        <w:spacing w:after="0" w:line="210" w:lineRule="auto"/>
        <w:rPr>
          <w:sz w:val="20"/>
          <w:szCs w:val="20"/>
          <w:color w:val="auto"/>
        </w:rPr>
      </w:pPr>
      <w:r>
        <w:rPr>
          <w:rFonts w:ascii="Times New Roman" w:cs="Times New Roman" w:eastAsia="Times New Roman" w:hAnsi="Times New Roman"/>
          <w:sz w:val="19"/>
          <w:szCs w:val="19"/>
          <w:color w:val="auto"/>
        </w:rPr>
        <w:t>or transfer of any right, claim, complaint, charge, duty, obligation, demand, cause of action, or other matter waived or released by this Section 3. Nothing in this Agreement waives Executive’s rights to indemnification or any payments under any fiduciary insurance policy, if</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any, provided by any act or agreement of the Company, state or federal law or policy of insurance.</w:t>
      </w:r>
    </w:p>
    <w:p>
      <w:pPr>
        <w:spacing w:after="0" w:line="64" w:lineRule="exact"/>
        <w:rPr>
          <w:sz w:val="20"/>
          <w:szCs w:val="20"/>
          <w:color w:val="auto"/>
        </w:rPr>
      </w:pPr>
    </w:p>
    <w:p>
      <w:pPr>
        <w:jc w:val="both"/>
        <w:ind w:left="6" w:right="200" w:firstLine="628"/>
        <w:spacing w:after="0" w:line="222" w:lineRule="auto"/>
        <w:tabs>
          <w:tab w:leader="none" w:pos="993"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Rights</w:t>
      </w:r>
      <w:r>
        <w:rPr>
          <w:rFonts w:ascii="Times New Roman" w:cs="Times New Roman" w:eastAsia="Times New Roman" w:hAnsi="Times New Roman"/>
          <w:sz w:val="19"/>
          <w:szCs w:val="19"/>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19"/>
          <w:szCs w:val="19"/>
          <w:b w:val="1"/>
          <w:bCs w:val="1"/>
          <w:i w:val="1"/>
          <w:iCs w:val="1"/>
          <w:color w:val="auto"/>
        </w:rPr>
        <w:t>Government Agencies</w:t>
      </w:r>
      <w:r>
        <w:rPr>
          <w:rFonts w:ascii="Times New Roman" w:cs="Times New Roman" w:eastAsia="Times New Roman" w:hAnsi="Times New Roman"/>
          <w:sz w:val="19"/>
          <w:szCs w:val="19"/>
          <w:color w:val="auto"/>
        </w:rPr>
        <w:t>”).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41" w:lineRule="exact"/>
        <w:rPr>
          <w:rFonts w:ascii="Times New Roman" w:cs="Times New Roman" w:eastAsia="Times New Roman" w:hAnsi="Times New Roman"/>
          <w:sz w:val="19"/>
          <w:szCs w:val="19"/>
          <w:color w:val="auto"/>
        </w:rPr>
      </w:pPr>
    </w:p>
    <w:p>
      <w:pPr>
        <w:jc w:val="both"/>
        <w:ind w:left="6" w:right="560" w:firstLine="628"/>
        <w:spacing w:after="0" w:line="217" w:lineRule="auto"/>
        <w:tabs>
          <w:tab w:leader="none" w:pos="993"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Acknowledgment of Waiver of Claims under ADEA</w:t>
      </w:r>
      <w:r>
        <w:rPr>
          <w:rFonts w:ascii="Times New Roman" w:cs="Times New Roman" w:eastAsia="Times New Roman" w:hAnsi="Times New Roman"/>
          <w:sz w:val="19"/>
          <w:szCs w:val="19"/>
          <w:color w:val="auto"/>
        </w:rPr>
        <w:t>. Executive acknowledges that Executive is waiving and releasing any rights Executive may have under the Age Discrimination in Employment Act of 1967 (“</w:t>
      </w:r>
      <w:r>
        <w:rPr>
          <w:rFonts w:ascii="Times New Roman" w:cs="Times New Roman" w:eastAsia="Times New Roman" w:hAnsi="Times New Roman"/>
          <w:sz w:val="19"/>
          <w:szCs w:val="19"/>
          <w:b w:val="1"/>
          <w:bCs w:val="1"/>
          <w:i w:val="1"/>
          <w:iCs w:val="1"/>
          <w:color w:val="auto"/>
        </w:rPr>
        <w:t>ADEA</w:t>
      </w:r>
      <w:r>
        <w:rPr>
          <w:rFonts w:ascii="Times New Roman" w:cs="Times New Roman" w:eastAsia="Times New Roman" w:hAnsi="Times New Roman"/>
          <w:sz w:val="19"/>
          <w:szCs w:val="19"/>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9"/>
          <w:szCs w:val="19"/>
          <w:b w:val="1"/>
          <w:bCs w:val="1"/>
          <w:i w:val="1"/>
          <w:iCs w:val="1"/>
          <w:color w:val="auto"/>
        </w:rPr>
        <w:t>prior</w:t>
      </w:r>
      <w:r>
        <w:rPr>
          <w:rFonts w:ascii="Times New Roman" w:cs="Times New Roman" w:eastAsia="Times New Roman" w:hAnsi="Times New Roman"/>
          <w:sz w:val="19"/>
          <w:szCs w:val="19"/>
          <w:color w:val="auto"/>
        </w:rPr>
        <w:t xml:space="preserve"> to executing this Agreement;</w:t>
      </w:r>
    </w:p>
    <w:p>
      <w:pPr>
        <w:spacing w:after="0" w:line="1" w:lineRule="exact"/>
        <w:rPr>
          <w:rFonts w:ascii="Times New Roman" w:cs="Times New Roman" w:eastAsia="Times New Roman" w:hAnsi="Times New Roman"/>
          <w:sz w:val="19"/>
          <w:szCs w:val="19"/>
          <w:color w:val="auto"/>
        </w:rPr>
      </w:pPr>
    </w:p>
    <w:p>
      <w:pPr>
        <w:ind w:left="286" w:hanging="286"/>
        <w:spacing w:after="0" w:line="218" w:lineRule="auto"/>
        <w:tabs>
          <w:tab w:leader="none" w:pos="286"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at least 21 days within which to consider this Agreement; (c) Executive has 7 days following the execution of this</w:t>
      </w:r>
    </w:p>
    <w:p>
      <w:pPr>
        <w:ind w:left="6"/>
        <w:spacing w:after="0" w:line="218" w:lineRule="auto"/>
        <w:rPr>
          <w:sz w:val="20"/>
          <w:szCs w:val="20"/>
          <w:color w:val="auto"/>
        </w:rPr>
      </w:pPr>
      <w:r>
        <w:rPr>
          <w:rFonts w:ascii="Times New Roman" w:cs="Times New Roman" w:eastAsia="Times New Roman" w:hAnsi="Times New Roman"/>
          <w:sz w:val="19"/>
          <w:szCs w:val="19"/>
          <w:color w:val="auto"/>
        </w:rPr>
        <w:t>Agreement by the parties to revoke the Agreement; (d) this Agreement will not be effective until the revocation period has expired;</w:t>
      </w:r>
    </w:p>
    <w:p>
      <w:pPr>
        <w:ind w:left="6" w:right="560"/>
        <w:spacing w:after="0" w:line="210" w:lineRule="auto"/>
        <w:rPr>
          <w:sz w:val="20"/>
          <w:szCs w:val="20"/>
          <w:color w:val="auto"/>
        </w:rPr>
      </w:pPr>
      <w:r>
        <w:rPr>
          <w:rFonts w:ascii="Times New Roman" w:cs="Times New Roman" w:eastAsia="Times New Roman" w:hAnsi="Times New Roman"/>
          <w:sz w:val="19"/>
          <w:szCs w:val="19"/>
          <w:color w:val="auto"/>
        </w:rPr>
        <w:t>and (e) nothing in this Agreement prevents or precludes Executive from challenging or seeking a determination in good faith of the validity of this waiver under the ADEA, nor does it impose any condition precedent, penalties or costs for doing so, unless</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color w:val="auto"/>
        </w:rPr>
        <w:t>specifically authorized by federal law. In</w:t>
      </w:r>
    </w:p>
    <w:p>
      <w:pPr>
        <w:sectPr>
          <w:pgSz w:w="11900" w:h="16838" w:orient="portrait"/>
          <w:cols w:equalWidth="0" w:num="1">
            <w:col w:w="10866"/>
          </w:cols>
          <w:pgMar w:left="414" w:top="1387" w:right="619" w:bottom="1440" w:gutter="0" w:footer="0" w:header="0"/>
        </w:sectPr>
      </w:pPr>
    </w:p>
    <w:bookmarkStart w:id="163" w:name="page164"/>
    <w:bookmarkEnd w:id="163"/>
    <w:p>
      <w:pPr>
        <w:ind w:right="460"/>
        <w:spacing w:after="0" w:line="230" w:lineRule="auto"/>
        <w:rPr>
          <w:sz w:val="20"/>
          <w:szCs w:val="20"/>
          <w:color w:val="auto"/>
        </w:rPr>
      </w:pPr>
      <w:r>
        <w:rPr>
          <w:rFonts w:ascii="Times New Roman" w:cs="Times New Roman" w:eastAsia="Times New Roman" w:hAnsi="Times New Roman"/>
          <w:sz w:val="19"/>
          <w:szCs w:val="19"/>
          <w:color w:val="auto"/>
        </w:rPr>
        <w:t>the event Executive signs this Agreement and delivers it to the Company in less than the 21-day period identified above, Executive hereby acknowledges that Executive has freely and voluntarily chosen to waive the time period allotted for considering this</w:t>
      </w:r>
    </w:p>
    <w:p>
      <w:pPr>
        <w:ind w:right="460"/>
        <w:spacing w:after="0" w:line="228" w:lineRule="auto"/>
        <w:rPr>
          <w:sz w:val="20"/>
          <w:szCs w:val="20"/>
          <w:color w:val="auto"/>
        </w:rPr>
      </w:pPr>
      <w:r>
        <w:rPr>
          <w:rFonts w:ascii="Times New Roman" w:cs="Times New Roman" w:eastAsia="Times New Roman" w:hAnsi="Times New Roman"/>
          <w:sz w:val="19"/>
          <w:szCs w:val="19"/>
          <w:color w:val="auto"/>
        </w:rPr>
        <w:t>Agreement. Executive acknowledges and understands that revocation must be accomplished by a written notification to the Chief Executive Officer of the Company that is received prior to the Effective Date.]</w:t>
      </w:r>
    </w:p>
    <w:p>
      <w:pPr>
        <w:spacing w:after="0" w:line="53" w:lineRule="exact"/>
        <w:rPr>
          <w:sz w:val="20"/>
          <w:szCs w:val="20"/>
          <w:color w:val="auto"/>
        </w:rPr>
      </w:pPr>
    </w:p>
    <w:p>
      <w:pPr>
        <w:ind w:right="260" w:firstLine="628"/>
        <w:spacing w:after="0" w:line="255" w:lineRule="auto"/>
        <w:tabs>
          <w:tab w:leader="none" w:pos="1093"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California Civil Code Section 1542</w:t>
      </w:r>
      <w:r>
        <w:rPr>
          <w:rFonts w:ascii="Times New Roman" w:cs="Times New Roman" w:eastAsia="Times New Roman" w:hAnsi="Times New Roman"/>
          <w:sz w:val="19"/>
          <w:szCs w:val="19"/>
          <w:color w:val="auto"/>
        </w:rPr>
        <w:t>. Executive acknowledges that Executive has been advised to consult with legal counsel and is familiar with the provisions of California Civil Code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1542, a statute that otherwise prohibits the release of unknown claims, which provides as follows:</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A GENERAL RELEASE DOES NOT EXTEND TO CLAIMS WHICH THE CREDITOR DOES NOT KNOW</w:t>
      </w:r>
    </w:p>
    <w:p>
      <w:pPr>
        <w:spacing w:after="0" w:line="2" w:lineRule="exact"/>
        <w:rPr>
          <w:sz w:val="20"/>
          <w:szCs w:val="20"/>
          <w:color w:val="auto"/>
        </w:rPr>
      </w:pPr>
    </w:p>
    <w:p>
      <w:pPr>
        <w:ind w:left="1260" w:right="720"/>
        <w:spacing w:after="0" w:line="210" w:lineRule="auto"/>
        <w:rPr>
          <w:sz w:val="20"/>
          <w:szCs w:val="20"/>
          <w:color w:val="auto"/>
        </w:rPr>
      </w:pPr>
      <w:r>
        <w:rPr>
          <w:rFonts w:ascii="Times New Roman" w:cs="Times New Roman" w:eastAsia="Times New Roman" w:hAnsi="Times New Roman"/>
          <w:sz w:val="19"/>
          <w:szCs w:val="19"/>
          <w:color w:val="auto"/>
        </w:rPr>
        <w:t>OR SUSPECT TO EXIST IN HIS OR HER FAVOR AT THE TIME OF EXECUTING THE RELEASE, WHICH IF KNOWN BY HIM OR HER MUST HAVE MATERIALLY AFFECTED HIS OR HER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SETTLEMENT WITH THE DEBTOR.</w:t>
      </w:r>
    </w:p>
    <w:p>
      <w:pPr>
        <w:spacing w:after="0" w:line="6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9"/>
          <w:szCs w:val="19"/>
          <w:color w:val="auto"/>
        </w:rPr>
        <w:t>Executive, being aware of California Civil Code Section 1542, agrees to expressly waive any rights Executive may have thereunder, as well as under any other statute or common law principles of similar effect.</w:t>
      </w:r>
    </w:p>
    <w:p>
      <w:pPr>
        <w:spacing w:after="0" w:line="51" w:lineRule="exact"/>
        <w:rPr>
          <w:sz w:val="20"/>
          <w:szCs w:val="20"/>
          <w:color w:val="auto"/>
        </w:rPr>
      </w:pPr>
    </w:p>
    <w:p>
      <w:pPr>
        <w:ind w:right="360" w:firstLine="628"/>
        <w:spacing w:after="0" w:line="255" w:lineRule="auto"/>
        <w:tabs>
          <w:tab w:leader="none" w:pos="1079"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Pending or Future Lawsuits</w:t>
      </w:r>
      <w:r>
        <w:rPr>
          <w:rFonts w:ascii="Times New Roman" w:cs="Times New Roman" w:eastAsia="Times New Roman" w:hAnsi="Times New Roman"/>
          <w:sz w:val="19"/>
          <w:szCs w:val="19"/>
          <w:color w:val="auto"/>
        </w:rPr>
        <w:t>. Executive represents that Executive has no lawsuits, claims, or actions pending in Executive’s name, or on behalf of any other person or entity, against the</w:t>
      </w:r>
    </w:p>
    <w:p>
      <w:pPr>
        <w:spacing w:after="0" w:line="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Company or any of the other Releasees. Executive also represents that Executive does not intend to bring any claims on Executive’s own behalf or on behalf of any other person or entity against the Company or any of the other Releasees.</w:t>
      </w:r>
    </w:p>
    <w:p>
      <w:pPr>
        <w:spacing w:after="0" w:line="39" w:lineRule="exact"/>
        <w:rPr>
          <w:sz w:val="20"/>
          <w:szCs w:val="20"/>
          <w:color w:val="auto"/>
        </w:rPr>
      </w:pPr>
    </w:p>
    <w:p>
      <w:pPr>
        <w:ind w:right="20" w:firstLine="628"/>
        <w:spacing w:after="0" w:line="241" w:lineRule="auto"/>
        <w:tabs>
          <w:tab w:leader="none" w:pos="10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Sufficiency of Consideration</w:t>
      </w:r>
      <w:r>
        <w:rPr>
          <w:rFonts w:ascii="Times New Roman" w:cs="Times New Roman" w:eastAsia="Times New Roman" w:hAnsi="Times New Roman"/>
          <w:sz w:val="19"/>
          <w:szCs w:val="19"/>
          <w:color w:val="auto"/>
        </w:rPr>
        <w:t>. Executive hereby acknowledges and agrees that Executive has received good and sufficient consideration for every promise, duty, release, obligation, agreement and right contained in this Release.</w:t>
      </w:r>
    </w:p>
    <w:p>
      <w:pPr>
        <w:spacing w:after="0" w:line="50" w:lineRule="exact"/>
        <w:rPr>
          <w:rFonts w:ascii="Times New Roman" w:cs="Times New Roman" w:eastAsia="Times New Roman" w:hAnsi="Times New Roman"/>
          <w:sz w:val="19"/>
          <w:szCs w:val="19"/>
          <w:color w:val="auto"/>
        </w:rPr>
      </w:pPr>
    </w:p>
    <w:p>
      <w:pPr>
        <w:jc w:val="both"/>
        <w:ind w:right="340" w:firstLine="628"/>
        <w:spacing w:after="0" w:line="222" w:lineRule="auto"/>
        <w:tabs>
          <w:tab w:leader="none" w:pos="1093"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54" w:lineRule="exact"/>
        <w:rPr>
          <w:rFonts w:ascii="Times New Roman" w:cs="Times New Roman" w:eastAsia="Times New Roman" w:hAnsi="Times New Roman"/>
          <w:sz w:val="19"/>
          <w:szCs w:val="19"/>
          <w:color w:val="auto"/>
        </w:rPr>
      </w:pPr>
    </w:p>
    <w:p>
      <w:pPr>
        <w:jc w:val="both"/>
        <w:ind w:right="60" w:firstLine="628"/>
        <w:spacing w:after="0"/>
        <w:tabs>
          <w:tab w:leader="none" w:pos="1203"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 Passwords and Password-protected Documents</w:t>
      </w:r>
      <w:r>
        <w:rPr>
          <w:rFonts w:ascii="Times New Roman" w:cs="Times New Roman" w:eastAsia="Times New Roman" w:hAnsi="Times New Roman"/>
          <w:sz w:val="19"/>
          <w:szCs w:val="19"/>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91" w:lineRule="exact"/>
        <w:rPr>
          <w:rFonts w:ascii="Times New Roman" w:cs="Times New Roman" w:eastAsia="Times New Roman" w:hAnsi="Times New Roman"/>
          <w:sz w:val="19"/>
          <w:szCs w:val="19"/>
          <w:color w:val="auto"/>
        </w:rPr>
      </w:pPr>
    </w:p>
    <w:p>
      <w:pPr>
        <w:jc w:val="both"/>
        <w:ind w:right="40" w:firstLine="628"/>
        <w:spacing w:after="0"/>
        <w:tabs>
          <w:tab w:leader="none" w:pos="1129"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Cooperation</w:t>
      </w:r>
      <w:r>
        <w:rPr>
          <w:rFonts w:ascii="Times New Roman" w:cs="Times New Roman" w:eastAsia="Times New Roman" w:hAnsi="Times New Roman"/>
          <w:sz w:val="19"/>
          <w:szCs w:val="19"/>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78" w:lineRule="exact"/>
        <w:rPr>
          <w:rFonts w:ascii="Times New Roman" w:cs="Times New Roman" w:eastAsia="Times New Roman" w:hAnsi="Times New Roman"/>
          <w:sz w:val="19"/>
          <w:szCs w:val="19"/>
          <w:color w:val="auto"/>
        </w:rPr>
      </w:pPr>
    </w:p>
    <w:p>
      <w:pPr>
        <w:ind w:left="1100" w:hanging="472"/>
        <w:spacing w:after="0"/>
        <w:tabs>
          <w:tab w:leader="none" w:pos="11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Executive agrees that Executive will not in any way, directly or indirectly, do or say anything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time which disparages the Company, its business interests or reputation, or that of any of the other Released Parties.</w:t>
      </w:r>
    </w:p>
    <w:p>
      <w:pPr>
        <w:sectPr>
          <w:pgSz w:w="11900" w:h="16838" w:orient="portrait"/>
          <w:cols w:equalWidth="0" w:num="1">
            <w:col w:w="10760"/>
          </w:cols>
          <w:pgMar w:left="420" w:top="1387" w:right="719" w:bottom="1440" w:gutter="0" w:footer="0" w:header="0"/>
        </w:sectPr>
      </w:pPr>
    </w:p>
    <w:bookmarkStart w:id="164" w:name="page165"/>
    <w:bookmarkEnd w:id="164"/>
    <w:p>
      <w:pPr>
        <w:jc w:val="both"/>
        <w:ind w:left="-628" w:firstLine="628"/>
        <w:spacing w:after="0" w:line="229" w:lineRule="auto"/>
        <w:tabs>
          <w:tab w:leader="none" w:pos="52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Admission of Liability</w:t>
      </w:r>
      <w:r>
        <w:rPr>
          <w:rFonts w:ascii="Times New Roman" w:cs="Times New Roman" w:eastAsia="Times New Roman" w:hAnsi="Times New Roman"/>
          <w:sz w:val="19"/>
          <w:szCs w:val="19"/>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52" w:lineRule="exact"/>
        <w:rPr>
          <w:rFonts w:ascii="Times New Roman" w:cs="Times New Roman" w:eastAsia="Times New Roman" w:hAnsi="Times New Roman"/>
          <w:sz w:val="19"/>
          <w:szCs w:val="19"/>
          <w:color w:val="auto"/>
        </w:rPr>
      </w:pPr>
    </w:p>
    <w:p>
      <w:pPr>
        <w:jc w:val="both"/>
        <w:ind w:left="-628" w:right="140" w:firstLine="628"/>
        <w:spacing w:after="0" w:line="229" w:lineRule="auto"/>
        <w:tabs>
          <w:tab w:leader="none" w:pos="48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Solicitation of Employees</w:t>
      </w:r>
      <w:r>
        <w:rPr>
          <w:rFonts w:ascii="Times New Roman" w:cs="Times New Roman" w:eastAsia="Times New Roman" w:hAnsi="Times New Roman"/>
          <w:sz w:val="19"/>
          <w:szCs w:val="19"/>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52" w:lineRule="exact"/>
        <w:rPr>
          <w:rFonts w:ascii="Times New Roman" w:cs="Times New Roman" w:eastAsia="Times New Roman" w:hAnsi="Times New Roman"/>
          <w:sz w:val="19"/>
          <w:szCs w:val="19"/>
          <w:color w:val="auto"/>
        </w:rPr>
      </w:pPr>
    </w:p>
    <w:p>
      <w:pPr>
        <w:ind w:left="-628" w:right="120" w:firstLine="628"/>
        <w:spacing w:after="0" w:line="241" w:lineRule="auto"/>
        <w:tabs>
          <w:tab w:leader="none" w:pos="44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w:t>
      </w:r>
      <w:r>
        <w:rPr>
          <w:rFonts w:ascii="Times New Roman" w:cs="Times New Roman" w:eastAsia="Times New Roman" w:hAnsi="Times New Roman"/>
          <w:sz w:val="19"/>
          <w:szCs w:val="19"/>
          <w:color w:val="auto"/>
        </w:rPr>
        <w:t>. The Parties will each bear their own costs, attorneys’ fees and other fees incurred in connection with the preparation of this Agreement.</w:t>
      </w:r>
    </w:p>
    <w:p>
      <w:pPr>
        <w:spacing w:after="0" w:line="50" w:lineRule="exact"/>
        <w:rPr>
          <w:rFonts w:ascii="Times New Roman" w:cs="Times New Roman" w:eastAsia="Times New Roman" w:hAnsi="Times New Roman"/>
          <w:sz w:val="19"/>
          <w:szCs w:val="19"/>
          <w:color w:val="auto"/>
        </w:rPr>
      </w:pPr>
    </w:p>
    <w:p>
      <w:pPr>
        <w:jc w:val="both"/>
        <w:ind w:left="-628" w:firstLine="628"/>
        <w:spacing w:after="0" w:line="225" w:lineRule="auto"/>
        <w:tabs>
          <w:tab w:leader="none" w:pos="54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EMPLOYMENT ARBITRATION RULES &amp; PROCEDURES (“</w:t>
      </w:r>
      <w:r>
        <w:rPr>
          <w:rFonts w:ascii="Times New Roman" w:cs="Times New Roman" w:eastAsia="Times New Roman" w:hAnsi="Times New Roman"/>
          <w:sz w:val="19"/>
          <w:szCs w:val="19"/>
          <w:b w:val="1"/>
          <w:bCs w:val="1"/>
          <w:i w:val="1"/>
          <w:iCs w:val="1"/>
          <w:color w:val="auto"/>
        </w:rPr>
        <w:t>JAMS RULES</w:t>
      </w:r>
      <w:r>
        <w:rPr>
          <w:rFonts w:ascii="Times New Roman" w:cs="Times New Roman" w:eastAsia="Times New Roman" w:hAnsi="Times New Roman"/>
          <w:sz w:val="19"/>
          <w:szCs w:val="19"/>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p>
    <w:p>
      <w:pPr>
        <w:spacing w:after="0" w:line="59" w:lineRule="exact"/>
        <w:rPr>
          <w:rFonts w:ascii="Times New Roman" w:cs="Times New Roman" w:eastAsia="Times New Roman" w:hAnsi="Times New Roman"/>
          <w:sz w:val="19"/>
          <w:szCs w:val="19"/>
          <w:color w:val="auto"/>
        </w:rPr>
      </w:pPr>
    </w:p>
    <w:p>
      <w:pPr>
        <w:jc w:val="both"/>
        <w:ind w:left="-628" w:right="120" w:firstLine="628"/>
        <w:spacing w:after="0" w:line="227" w:lineRule="auto"/>
        <w:tabs>
          <w:tab w:leader="none" w:pos="46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38" w:lineRule="exact"/>
        <w:rPr>
          <w:rFonts w:ascii="Times New Roman" w:cs="Times New Roman" w:eastAsia="Times New Roman" w:hAnsi="Times New Roman"/>
          <w:sz w:val="19"/>
          <w:szCs w:val="19"/>
          <w:color w:val="auto"/>
        </w:rPr>
      </w:pPr>
    </w:p>
    <w:p>
      <w:pPr>
        <w:jc w:val="both"/>
        <w:ind w:left="-628" w:right="80" w:firstLine="628"/>
        <w:spacing w:after="0" w:line="237" w:lineRule="auto"/>
        <w:tabs>
          <w:tab w:leader="none" w:pos="54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Representations</w:t>
      </w:r>
      <w:r>
        <w:rPr>
          <w:rFonts w:ascii="Times New Roman" w:cs="Times New Roman" w:eastAsia="Times New Roman" w:hAnsi="Times New Roman"/>
          <w:sz w:val="19"/>
          <w:szCs w:val="19"/>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40" w:lineRule="exact"/>
        <w:rPr>
          <w:rFonts w:ascii="Times New Roman" w:cs="Times New Roman" w:eastAsia="Times New Roman" w:hAnsi="Times New Roman"/>
          <w:sz w:val="19"/>
          <w:szCs w:val="19"/>
          <w:color w:val="auto"/>
        </w:rPr>
      </w:pPr>
    </w:p>
    <w:p>
      <w:pPr>
        <w:jc w:val="both"/>
        <w:ind w:left="-628" w:firstLine="628"/>
        <w:spacing w:after="0" w:line="233" w:lineRule="auto"/>
        <w:tabs>
          <w:tab w:leader="none" w:pos="45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ectPr>
          <w:pgSz w:w="11900" w:h="16838" w:orient="portrait"/>
          <w:cols w:equalWidth="0" w:num="1">
            <w:col w:w="10112"/>
          </w:cols>
          <w:pgMar w:left="1048" w:top="1388" w:right="739" w:bottom="1440" w:gutter="0" w:footer="0" w:header="0"/>
        </w:sectPr>
      </w:pPr>
    </w:p>
    <w:bookmarkStart w:id="165" w:name="page166"/>
    <w:bookmarkEnd w:id="165"/>
    <w:p>
      <w:pPr>
        <w:jc w:val="both"/>
        <w:ind w:right="260" w:firstLine="628"/>
        <w:spacing w:after="0" w:line="227" w:lineRule="auto"/>
        <w:tabs>
          <w:tab w:leader="none" w:pos="122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40" w:lineRule="exact"/>
        <w:rPr>
          <w:rFonts w:ascii="Times New Roman" w:cs="Times New Roman" w:eastAsia="Times New Roman" w:hAnsi="Times New Roman"/>
          <w:sz w:val="19"/>
          <w:szCs w:val="19"/>
          <w:color w:val="auto"/>
        </w:rPr>
      </w:pPr>
    </w:p>
    <w:p>
      <w:pPr>
        <w:ind w:left="1100" w:hanging="472"/>
        <w:spacing w:after="0"/>
        <w:tabs>
          <w:tab w:leader="none" w:pos="110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Oral Modification</w:t>
      </w:r>
      <w:r>
        <w:rPr>
          <w:rFonts w:ascii="Times New Roman" w:cs="Times New Roman" w:eastAsia="Times New Roman" w:hAnsi="Times New Roman"/>
          <w:sz w:val="19"/>
          <w:szCs w:val="19"/>
          <w:color w:val="auto"/>
        </w:rPr>
        <w:t>. This Agreement may only be amended in writing signed by Executive and the Chairman of</w:t>
      </w:r>
    </w:p>
    <w:p>
      <w:pPr>
        <w:spacing w:after="0"/>
        <w:rPr>
          <w:sz w:val="20"/>
          <w:szCs w:val="20"/>
          <w:color w:val="auto"/>
        </w:rPr>
      </w:pPr>
      <w:r>
        <w:rPr>
          <w:rFonts w:ascii="Times New Roman" w:cs="Times New Roman" w:eastAsia="Times New Roman" w:hAnsi="Times New Roman"/>
          <w:sz w:val="19"/>
          <w:szCs w:val="19"/>
          <w:color w:val="auto"/>
        </w:rPr>
        <w:t>the Board of Directors of the Company.</w:t>
      </w:r>
    </w:p>
    <w:p>
      <w:pPr>
        <w:spacing w:after="0" w:line="64" w:lineRule="exact"/>
        <w:rPr>
          <w:sz w:val="20"/>
          <w:szCs w:val="20"/>
          <w:color w:val="auto"/>
        </w:rPr>
      </w:pPr>
    </w:p>
    <w:p>
      <w:pPr>
        <w:ind w:left="-100" w:firstLine="729"/>
        <w:spacing w:after="0" w:line="255" w:lineRule="auto"/>
        <w:tabs>
          <w:tab w:leader="none" w:pos="1113"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will be governed by the laws of the State of California, without regard for choice-of-law provisions. Executive consents to personal and exclusive jurisdiction and venue in the State of California.</w:t>
      </w:r>
    </w:p>
    <w:p>
      <w:pPr>
        <w:spacing w:after="0" w:line="25" w:lineRule="exact"/>
        <w:rPr>
          <w:rFonts w:ascii="Times New Roman" w:cs="Times New Roman" w:eastAsia="Times New Roman" w:hAnsi="Times New Roman"/>
          <w:sz w:val="19"/>
          <w:szCs w:val="19"/>
          <w:color w:val="auto"/>
        </w:rPr>
      </w:pPr>
    </w:p>
    <w:p>
      <w:pPr>
        <w:jc w:val="both"/>
        <w:ind w:left="-100" w:firstLine="729"/>
        <w:spacing w:after="0" w:line="229" w:lineRule="auto"/>
        <w:tabs>
          <w:tab w:leader="none" w:pos="106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[Executive understands that this Agreement will be null and void if not executed by Executive within 21 days. Each Party has seven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OR [This Agreement will be effective after it has been signed or executed by both Parties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52" w:lineRule="exact"/>
        <w:rPr>
          <w:rFonts w:ascii="Times New Roman" w:cs="Times New Roman" w:eastAsia="Times New Roman" w:hAnsi="Times New Roman"/>
          <w:sz w:val="19"/>
          <w:szCs w:val="19"/>
          <w:color w:val="auto"/>
        </w:rPr>
      </w:pPr>
    </w:p>
    <w:p>
      <w:pPr>
        <w:jc w:val="both"/>
        <w:ind w:right="380" w:firstLine="628"/>
        <w:spacing w:after="0"/>
        <w:tabs>
          <w:tab w:leader="none" w:pos="1071"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251" w:lineRule="exact"/>
        <w:rPr>
          <w:rFonts w:ascii="Times New Roman" w:cs="Times New Roman" w:eastAsia="Times New Roman" w:hAnsi="Times New Roman"/>
          <w:sz w:val="19"/>
          <w:szCs w:val="19"/>
          <w:color w:val="auto"/>
        </w:rPr>
      </w:pPr>
    </w:p>
    <w:p>
      <w:pPr>
        <w:jc w:val="both"/>
        <w:ind w:right="320" w:firstLine="628"/>
        <w:spacing w:after="0" w:line="233" w:lineRule="auto"/>
        <w:tabs>
          <w:tab w:leader="none" w:pos="128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51" w:lineRule="exact"/>
        <w:rPr>
          <w:rFonts w:ascii="Times New Roman" w:cs="Times New Roman" w:eastAsia="Times New Roman" w:hAnsi="Times New Roman"/>
          <w:sz w:val="19"/>
          <w:szCs w:val="19"/>
          <w:color w:val="auto"/>
        </w:rPr>
      </w:pPr>
    </w:p>
    <w:p>
      <w:pPr>
        <w:ind w:left="1680" w:hanging="415"/>
        <w:spacing w:after="0"/>
        <w:tabs>
          <w:tab w:leader="none" w:pos="1680"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read this Agreement;</w:t>
      </w:r>
    </w:p>
    <w:p>
      <w:pPr>
        <w:spacing w:after="0" w:line="72" w:lineRule="exact"/>
        <w:rPr>
          <w:rFonts w:ascii="Times New Roman" w:cs="Times New Roman" w:eastAsia="Times New Roman" w:hAnsi="Times New Roman"/>
          <w:sz w:val="19"/>
          <w:szCs w:val="19"/>
          <w:color w:val="auto"/>
        </w:rPr>
      </w:pPr>
    </w:p>
    <w:p>
      <w:pPr>
        <w:ind w:left="1900" w:right="200" w:hanging="635"/>
        <w:spacing w:after="0" w:line="255" w:lineRule="auto"/>
        <w:tabs>
          <w:tab w:leader="none" w:pos="1727"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been represented in the preparation, negotiation, and execution of this Agreement by legal counsel of Executive’s own choice or has elected not to retain legal counsel;</w:t>
      </w:r>
    </w:p>
    <w:p>
      <w:pPr>
        <w:spacing w:after="0" w:line="38" w:lineRule="exact"/>
        <w:rPr>
          <w:rFonts w:ascii="Times New Roman" w:cs="Times New Roman" w:eastAsia="Times New Roman" w:hAnsi="Times New Roman"/>
          <w:sz w:val="19"/>
          <w:szCs w:val="19"/>
          <w:color w:val="auto"/>
        </w:rPr>
      </w:pPr>
    </w:p>
    <w:p>
      <w:pPr>
        <w:ind w:left="1680" w:hanging="415"/>
        <w:spacing w:after="0"/>
        <w:tabs>
          <w:tab w:leader="none" w:pos="1680"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understands the terms and consequences of this Agreement and of the releases it contains; and</w:t>
      </w:r>
    </w:p>
    <w:p>
      <w:pPr>
        <w:spacing w:after="0" w:line="72" w:lineRule="exact"/>
        <w:rPr>
          <w:rFonts w:ascii="Times New Roman" w:cs="Times New Roman" w:eastAsia="Times New Roman" w:hAnsi="Times New Roman"/>
          <w:sz w:val="19"/>
          <w:szCs w:val="19"/>
          <w:color w:val="auto"/>
        </w:rPr>
      </w:pPr>
    </w:p>
    <w:p>
      <w:pPr>
        <w:ind w:left="1680" w:hanging="415"/>
        <w:spacing w:after="0"/>
        <w:tabs>
          <w:tab w:leader="none" w:pos="1680"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is fully aware of the legal and binding effect of this Agreement.</w:t>
      </w:r>
    </w:p>
    <w:p>
      <w:pPr>
        <w:spacing w:after="0" w:line="85" w:lineRule="exact"/>
        <w:rPr>
          <w:rFonts w:ascii="Times New Roman" w:cs="Times New Roman" w:eastAsia="Times New Roman" w:hAnsi="Times New Roman"/>
          <w:sz w:val="19"/>
          <w:szCs w:val="19"/>
          <w:color w:val="auto"/>
        </w:rPr>
      </w:pPr>
    </w:p>
    <w:p>
      <w:pPr>
        <w:ind w:left="38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b w:val="1"/>
          <w:bCs w:val="1"/>
          <w:i w:val="1"/>
          <w:iCs w:val="1"/>
          <w:color w:val="auto"/>
        </w:rPr>
        <w:t>[Signature page to Release of Claims follows]</w:t>
      </w:r>
    </w:p>
    <w:p>
      <w:pPr>
        <w:sectPr>
          <w:pgSz w:w="11900" w:h="16838" w:orient="portrait"/>
          <w:cols w:equalWidth="0" w:num="1">
            <w:col w:w="10840"/>
          </w:cols>
          <w:pgMar w:left="420" w:top="1387" w:right="639" w:bottom="1440" w:gutter="0" w:footer="0" w:header="0"/>
        </w:sectPr>
      </w:pPr>
    </w:p>
    <w:bookmarkStart w:id="166" w:name="page167"/>
    <w:bookmarkEnd w:id="166"/>
    <w:p>
      <w:pPr>
        <w:ind w:left="2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COMPANY</w:t>
            </w:r>
          </w:p>
        </w:tc>
        <w:tc>
          <w:tcPr>
            <w:tcW w:w="7400" w:type="dxa"/>
            <w:vAlign w:val="bottom"/>
            <w:gridSpan w:val="2"/>
          </w:tcPr>
          <w:p>
            <w:pPr>
              <w:ind w:left="2220"/>
              <w:spacing w:after="0"/>
              <w:rPr>
                <w:sz w:val="20"/>
                <w:szCs w:val="20"/>
                <w:color w:val="auto"/>
              </w:rPr>
            </w:pPr>
            <w:r>
              <w:rPr>
                <w:rFonts w:ascii="Times New Roman" w:cs="Times New Roman" w:eastAsia="Times New Roman" w:hAnsi="Times New Roman"/>
                <w:sz w:val="19"/>
                <w:szCs w:val="19"/>
                <w:b w:val="1"/>
                <w:bCs w:val="1"/>
                <w:color w:val="auto"/>
              </w:rPr>
              <w:t>VERACYTE, INC.</w:t>
            </w:r>
          </w:p>
        </w:tc>
        <w:tc>
          <w:tcPr>
            <w:tcW w:w="0" w:type="dxa"/>
            <w:vAlign w:val="bottom"/>
          </w:tcPr>
          <w:p>
            <w:pPr>
              <w:spacing w:after="0"/>
              <w:rPr>
                <w:sz w:val="1"/>
                <w:szCs w:val="1"/>
                <w:color w:val="auto"/>
              </w:rPr>
            </w:pPr>
          </w:p>
        </w:tc>
      </w:tr>
      <w:tr>
        <w:trPr>
          <w:trHeight w:val="254"/>
        </w:trPr>
        <w:tc>
          <w:tcPr>
            <w:tcW w:w="2580" w:type="dxa"/>
            <w:vAlign w:val="bottom"/>
          </w:tcPr>
          <w:p>
            <w:pPr>
              <w:spacing w:after="0"/>
              <w:rPr>
                <w:sz w:val="22"/>
                <w:szCs w:val="22"/>
                <w:color w:val="auto"/>
              </w:rPr>
            </w:pPr>
          </w:p>
        </w:tc>
        <w:tc>
          <w:tcPr>
            <w:tcW w:w="7400" w:type="dxa"/>
            <w:vAlign w:val="bottom"/>
            <w:gridSpan w:val="2"/>
          </w:tcPr>
          <w:p>
            <w:pPr>
              <w:ind w:left="2220"/>
              <w:spacing w:after="0"/>
              <w:rPr>
                <w:sz w:val="20"/>
                <w:szCs w:val="20"/>
                <w:color w:val="auto"/>
              </w:rPr>
            </w:pPr>
            <w:r>
              <w:rPr>
                <w:rFonts w:ascii="Times New Roman" w:cs="Times New Roman" w:eastAsia="Times New Roman" w:hAnsi="Times New Roman"/>
                <w:sz w:val="19"/>
                <w:szCs w:val="19"/>
                <w:color w:val="auto"/>
              </w:rPr>
              <w:t>By:</w:t>
            </w:r>
          </w:p>
        </w:tc>
        <w:tc>
          <w:tcPr>
            <w:tcW w:w="0" w:type="dxa"/>
            <w:vAlign w:val="bottom"/>
          </w:tcPr>
          <w:p>
            <w:pPr>
              <w:spacing w:after="0"/>
              <w:rPr>
                <w:sz w:val="1"/>
                <w:szCs w:val="1"/>
                <w:color w:val="auto"/>
              </w:rPr>
            </w:pPr>
          </w:p>
        </w:tc>
      </w:tr>
      <w:tr>
        <w:trPr>
          <w:trHeight w:val="231"/>
        </w:trPr>
        <w:tc>
          <w:tcPr>
            <w:tcW w:w="2580" w:type="dxa"/>
            <w:vAlign w:val="bottom"/>
          </w:tcPr>
          <w:p>
            <w:pPr>
              <w:spacing w:after="0"/>
              <w:rPr>
                <w:sz w:val="20"/>
                <w:szCs w:val="20"/>
                <w:color w:val="auto"/>
              </w:rPr>
            </w:pPr>
          </w:p>
        </w:tc>
        <w:tc>
          <w:tcPr>
            <w:tcW w:w="3060" w:type="dxa"/>
            <w:vAlign w:val="bottom"/>
          </w:tcPr>
          <w:p>
            <w:pPr>
              <w:ind w:left="2220"/>
              <w:spacing w:after="0"/>
              <w:rPr>
                <w:sz w:val="20"/>
                <w:szCs w:val="20"/>
                <w:color w:val="auto"/>
              </w:rPr>
            </w:pPr>
            <w:r>
              <w:rPr>
                <w:rFonts w:ascii="Times New Roman" w:cs="Times New Roman" w:eastAsia="Times New Roman" w:hAnsi="Times New Roman"/>
                <w:sz w:val="19"/>
                <w:szCs w:val="19"/>
                <w:color w:val="auto"/>
              </w:rPr>
              <w:t>Name:</w:t>
            </w:r>
          </w:p>
        </w:tc>
        <w:tc>
          <w:tcPr>
            <w:tcW w:w="43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80" w:type="dxa"/>
            <w:vAlign w:val="bottom"/>
          </w:tcPr>
          <w:p>
            <w:pPr>
              <w:spacing w:after="0"/>
              <w:rPr>
                <w:sz w:val="20"/>
                <w:szCs w:val="20"/>
                <w:color w:val="auto"/>
              </w:rPr>
            </w:pPr>
          </w:p>
        </w:tc>
        <w:tc>
          <w:tcPr>
            <w:tcW w:w="3060" w:type="dxa"/>
            <w:vAlign w:val="bottom"/>
          </w:tcPr>
          <w:p>
            <w:pPr>
              <w:ind w:left="2220"/>
              <w:spacing w:after="0"/>
              <w:rPr>
                <w:sz w:val="20"/>
                <w:szCs w:val="20"/>
                <w:color w:val="auto"/>
              </w:rPr>
            </w:pPr>
            <w:r>
              <w:rPr>
                <w:rFonts w:ascii="Times New Roman" w:cs="Times New Roman" w:eastAsia="Times New Roman" w:hAnsi="Times New Roman"/>
                <w:sz w:val="19"/>
                <w:szCs w:val="19"/>
                <w:color w:val="auto"/>
              </w:rPr>
              <w:t>Title:</w:t>
            </w:r>
          </w:p>
        </w:tc>
        <w:tc>
          <w:tcPr>
            <w:tcW w:w="4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5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EXECUTIVE</w:t>
            </w:r>
          </w:p>
        </w:tc>
        <w:tc>
          <w:tcPr>
            <w:tcW w:w="3060" w:type="dxa"/>
            <w:vAlign w:val="bottom"/>
          </w:tcPr>
          <w:p>
            <w:pPr>
              <w:ind w:left="2220"/>
              <w:spacing w:after="0"/>
              <w:rPr>
                <w:sz w:val="20"/>
                <w:szCs w:val="20"/>
                <w:color w:val="auto"/>
              </w:rPr>
            </w:pPr>
            <w:r>
              <w:rPr>
                <w:rFonts w:ascii="Times New Roman" w:cs="Times New Roman" w:eastAsia="Times New Roman" w:hAnsi="Times New Roman"/>
                <w:sz w:val="19"/>
                <w:szCs w:val="19"/>
                <w:color w:val="auto"/>
              </w:rPr>
              <w:t>Date:</w:t>
            </w:r>
          </w:p>
        </w:tc>
        <w:tc>
          <w:tcPr>
            <w:tcW w:w="4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93"/>
        </w:trPr>
        <w:tc>
          <w:tcPr>
            <w:tcW w:w="2580" w:type="dxa"/>
            <w:vAlign w:val="bottom"/>
            <w:vMerge w:val="continue"/>
          </w:tcPr>
          <w:p>
            <w:pPr>
              <w:spacing w:after="0"/>
              <w:rPr>
                <w:sz w:val="24"/>
                <w:szCs w:val="24"/>
                <w:color w:val="auto"/>
              </w:rPr>
            </w:pPr>
          </w:p>
        </w:tc>
        <w:tc>
          <w:tcPr>
            <w:tcW w:w="7400" w:type="dxa"/>
            <w:vAlign w:val="bottom"/>
            <w:gridSpan w:val="2"/>
          </w:tcPr>
          <w:p>
            <w:pPr>
              <w:ind w:left="2220"/>
              <w:spacing w:after="0"/>
              <w:rPr>
                <w:sz w:val="20"/>
                <w:szCs w:val="20"/>
                <w:color w:val="auto"/>
              </w:rPr>
            </w:pPr>
            <w:r>
              <w:rPr>
                <w:rFonts w:ascii="Times New Roman" w:cs="Times New Roman" w:eastAsia="Times New Roman" w:hAnsi="Times New Roman"/>
                <w:sz w:val="19"/>
                <w:szCs w:val="19"/>
                <w:color w:val="auto"/>
              </w:rPr>
              <w:t>By:</w:t>
            </w: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(Signature)</w:t>
            </w:r>
          </w:p>
        </w:tc>
        <w:tc>
          <w:tcPr>
            <w:tcW w:w="0" w:type="dxa"/>
            <w:vAlign w:val="bottom"/>
          </w:tcPr>
          <w:p>
            <w:pPr>
              <w:spacing w:after="0"/>
              <w:rPr>
                <w:sz w:val="1"/>
                <w:szCs w:val="1"/>
                <w:color w:val="auto"/>
              </w:rPr>
            </w:pPr>
          </w:p>
        </w:tc>
      </w:tr>
      <w:tr>
        <w:trPr>
          <w:trHeight w:val="254"/>
        </w:trPr>
        <w:tc>
          <w:tcPr>
            <w:tcW w:w="2580" w:type="dxa"/>
            <w:vAlign w:val="bottom"/>
          </w:tcPr>
          <w:p>
            <w:pPr>
              <w:spacing w:after="0"/>
              <w:rPr>
                <w:sz w:val="22"/>
                <w:szCs w:val="22"/>
                <w:color w:val="auto"/>
              </w:rPr>
            </w:pPr>
          </w:p>
        </w:tc>
        <w:tc>
          <w:tcPr>
            <w:tcW w:w="7400" w:type="dxa"/>
            <w:vAlign w:val="bottom"/>
            <w:gridSpan w:val="2"/>
          </w:tcPr>
          <w:p>
            <w:pPr>
              <w:ind w:left="2220"/>
              <w:spacing w:after="0"/>
              <w:rPr>
                <w:sz w:val="20"/>
                <w:szCs w:val="20"/>
                <w:color w:val="auto"/>
              </w:rPr>
            </w:pPr>
            <w:r>
              <w:rPr>
                <w:rFonts w:ascii="Times New Roman" w:cs="Times New Roman" w:eastAsia="Times New Roman" w:hAnsi="Times New Roman"/>
                <w:sz w:val="19"/>
                <w:szCs w:val="19"/>
                <w:color w:val="auto"/>
              </w:rPr>
              <w:t>Title:</w:t>
            </w:r>
          </w:p>
        </w:tc>
        <w:tc>
          <w:tcPr>
            <w:tcW w:w="0" w:type="dxa"/>
            <w:vAlign w:val="bottom"/>
          </w:tcPr>
          <w:p>
            <w:pPr>
              <w:spacing w:after="0"/>
              <w:rPr>
                <w:sz w:val="1"/>
                <w:szCs w:val="1"/>
                <w:color w:val="auto"/>
              </w:rPr>
            </w:pPr>
          </w:p>
        </w:tc>
      </w:tr>
      <w:tr>
        <w:trPr>
          <w:trHeight w:val="235"/>
        </w:trPr>
        <w:tc>
          <w:tcPr>
            <w:tcW w:w="2580" w:type="dxa"/>
            <w:vAlign w:val="bottom"/>
          </w:tcPr>
          <w:p>
            <w:pPr>
              <w:spacing w:after="0"/>
              <w:rPr>
                <w:sz w:val="20"/>
                <w:szCs w:val="20"/>
                <w:color w:val="auto"/>
              </w:rPr>
            </w:pPr>
          </w:p>
        </w:tc>
        <w:tc>
          <w:tcPr>
            <w:tcW w:w="3060" w:type="dxa"/>
            <w:vAlign w:val="bottom"/>
          </w:tcPr>
          <w:p>
            <w:pPr>
              <w:ind w:left="2220"/>
              <w:spacing w:after="0"/>
              <w:rPr>
                <w:sz w:val="20"/>
                <w:szCs w:val="20"/>
                <w:color w:val="auto"/>
              </w:rPr>
            </w:pPr>
            <w:r>
              <w:rPr>
                <w:rFonts w:ascii="Times New Roman" w:cs="Times New Roman" w:eastAsia="Times New Roman" w:hAnsi="Times New Roman"/>
                <w:sz w:val="19"/>
                <w:szCs w:val="19"/>
                <w:color w:val="auto"/>
              </w:rPr>
              <w:t>Date:</w:t>
            </w:r>
          </w:p>
        </w:tc>
        <w:tc>
          <w:tcPr>
            <w:tcW w:w="43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1"/>
        </w:trPr>
        <w:tc>
          <w:tcPr>
            <w:tcW w:w="2580" w:type="dxa"/>
            <w:vAlign w:val="bottom"/>
          </w:tcPr>
          <w:p>
            <w:pPr>
              <w:spacing w:after="0"/>
              <w:rPr>
                <w:sz w:val="24"/>
                <w:szCs w:val="24"/>
                <w:color w:val="auto"/>
              </w:rPr>
            </w:pPr>
          </w:p>
        </w:tc>
        <w:tc>
          <w:tcPr>
            <w:tcW w:w="7400" w:type="dxa"/>
            <w:vAlign w:val="bottom"/>
            <w:gridSpan w:val="2"/>
          </w:tcPr>
          <w:p>
            <w:pPr>
              <w:ind w:left="1460"/>
              <w:spacing w:after="0"/>
              <w:rPr>
                <w:sz w:val="20"/>
                <w:szCs w:val="20"/>
                <w:color w:val="auto"/>
              </w:rPr>
            </w:pPr>
            <w:r>
              <w:rPr>
                <w:rFonts w:ascii="Times New Roman" w:cs="Times New Roman" w:eastAsia="Times New Roman" w:hAnsi="Times New Roman"/>
                <w:sz w:val="19"/>
                <w:szCs w:val="19"/>
                <w:b w:val="1"/>
                <w:bCs w:val="1"/>
                <w:color w:val="1F1D22"/>
              </w:rPr>
              <w:t>[</w:t>
            </w:r>
            <w:r>
              <w:rPr>
                <w:rFonts w:ascii="Times New Roman" w:cs="Times New Roman" w:eastAsia="Times New Roman" w:hAnsi="Times New Roman"/>
                <w:sz w:val="19"/>
                <w:szCs w:val="19"/>
                <w:b w:val="1"/>
                <w:bCs w:val="1"/>
                <w:i w:val="1"/>
                <w:iCs w:val="1"/>
                <w:color w:val="1F1D22"/>
              </w:rPr>
              <w:t>Signature page to Release of Claims]</w:t>
            </w:r>
          </w:p>
        </w:tc>
        <w:tc>
          <w:tcPr>
            <w:tcW w:w="0" w:type="dxa"/>
            <w:vAlign w:val="bottom"/>
          </w:tcPr>
          <w:p>
            <w:pPr>
              <w:spacing w:after="0"/>
              <w:rPr>
                <w:sz w:val="1"/>
                <w:szCs w:val="1"/>
                <w:color w:val="auto"/>
              </w:rPr>
            </w:pPr>
          </w:p>
        </w:tc>
      </w:tr>
    </w:tbl>
    <w:p>
      <w:pPr>
        <w:sectPr>
          <w:pgSz w:w="11900" w:h="16838" w:orient="portrait"/>
          <w:cols w:equalWidth="0" w:num="1">
            <w:col w:w="10059"/>
          </w:cols>
          <w:pgMar w:left="400" w:top="1361" w:right="144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9"/>
          <w:szCs w:val="19"/>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609600</wp:posOffset>
            </wp:positionV>
            <wp:extent cx="27901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2790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9"/>
          <w:szCs w:val="19"/>
          <w:b w:val="1"/>
          <w:bCs w:val="1"/>
          <w:color w:val="auto"/>
        </w:rPr>
        <w:t>C2I Genomics, Inc.</w:t>
      </w:r>
    </w:p>
    <w:p>
      <w:pPr>
        <w:spacing w:after="0" w:line="73"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9"/>
          <w:szCs w:val="19"/>
          <w:b w:val="1"/>
          <w:bCs w:val="1"/>
          <w:color w:val="auto"/>
        </w:rPr>
        <w:t>2019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180975</wp:posOffset>
            </wp:positionV>
            <wp:extent cx="27901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2790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Unless otherwise defined, terms used herein shall have the meaning ascribed to them in Section 2 hereof.</w:t>
      </w:r>
    </w:p>
    <w:p>
      <w:pPr>
        <w:spacing w:after="0" w:line="124" w:lineRule="exact"/>
        <w:rPr>
          <w:sz w:val="20"/>
          <w:szCs w:val="20"/>
          <w:color w:val="auto"/>
        </w:rPr>
      </w:pPr>
    </w:p>
    <w:p>
      <w:pPr>
        <w:ind w:left="340" w:hanging="334"/>
        <w:spacing w:after="0"/>
        <w:tabs>
          <w:tab w:leader="none" w:pos="34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PURPOSE; TYPES OF AWARDS; CONSTRUCTION</w:t>
      </w:r>
      <w:r>
        <w:rPr>
          <w:rFonts w:ascii="Times New Roman" w:cs="Times New Roman" w:eastAsia="Times New Roman" w:hAnsi="Times New Roman"/>
          <w:sz w:val="19"/>
          <w:szCs w:val="19"/>
          <w:color w:val="auto"/>
        </w:rPr>
        <w:t>.</w:t>
      </w:r>
    </w:p>
    <w:p>
      <w:pPr>
        <w:spacing w:after="0" w:line="59" w:lineRule="exact"/>
        <w:rPr>
          <w:sz w:val="20"/>
          <w:szCs w:val="20"/>
          <w:color w:val="auto"/>
        </w:rPr>
      </w:pPr>
    </w:p>
    <w:p>
      <w:pPr>
        <w:ind w:firstLine="635"/>
        <w:spacing w:after="0" w:line="225" w:lineRule="auto"/>
        <w:rPr>
          <w:sz w:val="20"/>
          <w:szCs w:val="20"/>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u w:val="single" w:color="auto"/>
          <w:color w:val="auto"/>
        </w:rPr>
        <w:t>Purpose</w:t>
      </w:r>
      <w:r>
        <w:rPr>
          <w:rFonts w:ascii="Times New Roman" w:cs="Times New Roman" w:eastAsia="Times New Roman" w:hAnsi="Times New Roman"/>
          <w:sz w:val="19"/>
          <w:szCs w:val="19"/>
          <w:color w:val="auto"/>
        </w:rPr>
        <w:t>. The purpose of this 2019 Stock Incentive Plan (as amended, this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xml:space="preserve">”) is to afford an incentive to Service Providers of </w:t>
      </w:r>
      <w:r>
        <w:rPr>
          <w:rFonts w:ascii="Times New Roman" w:cs="Times New Roman" w:eastAsia="Times New Roman" w:hAnsi="Times New Roman"/>
          <w:sz w:val="19"/>
          <w:szCs w:val="19"/>
          <w:u w:val="single" w:color="auto"/>
          <w:color w:val="auto"/>
        </w:rPr>
        <w:t>C2I Genomics, Inc.</w:t>
      </w:r>
      <w:r>
        <w:rPr>
          <w:rFonts w:ascii="Times New Roman" w:cs="Times New Roman" w:eastAsia="Times New Roman" w:hAnsi="Times New Roman"/>
          <w:sz w:val="19"/>
          <w:szCs w:val="19"/>
          <w:color w:val="auto"/>
        </w:rPr>
        <w:t>, a corporation incorporated under the laws of the State of Delaware (together with any successor corporation thereto, the</w:t>
      </w:r>
    </w:p>
    <w:p>
      <w:pPr>
        <w:spacing w:after="0" w:line="21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or any Affiliate of the Company, which now exists or hereafter is organized or acquired by the Company or its Affiliates, to</w:t>
      </w:r>
    </w:p>
    <w:p>
      <w:pPr>
        <w:spacing w:after="0" w:line="210" w:lineRule="auto"/>
        <w:rPr>
          <w:sz w:val="20"/>
          <w:szCs w:val="20"/>
          <w:color w:val="auto"/>
        </w:rPr>
      </w:pPr>
      <w:r>
        <w:rPr>
          <w:rFonts w:ascii="Times New Roman" w:cs="Times New Roman" w:eastAsia="Times New Roman" w:hAnsi="Times New Roman"/>
          <w:sz w:val="19"/>
          <w:szCs w:val="19"/>
          <w:color w:val="auto"/>
        </w:rPr>
        <w:t>continue as Service Providers, to increase their efforts on behalf of the Company or its Affiliates and to promote the success of the Company’s business, by providing such Service Providers with opportunities to acquire a proprietary interest in the Company by the issuance of Shares or</w:t>
      </w:r>
    </w:p>
    <w:p>
      <w:pPr>
        <w:spacing w:after="0" w:line="219" w:lineRule="auto"/>
        <w:rPr>
          <w:sz w:val="20"/>
          <w:szCs w:val="20"/>
          <w:color w:val="auto"/>
        </w:rPr>
      </w:pPr>
      <w:r>
        <w:rPr>
          <w:rFonts w:ascii="Times New Roman" w:cs="Times New Roman" w:eastAsia="Times New Roman" w:hAnsi="Times New Roman"/>
          <w:sz w:val="19"/>
          <w:szCs w:val="19"/>
          <w:color w:val="auto"/>
        </w:rPr>
        <w:t>restricted Stock (“</w:t>
      </w:r>
      <w:r>
        <w:rPr>
          <w:rFonts w:ascii="Times New Roman" w:cs="Times New Roman" w:eastAsia="Times New Roman" w:hAnsi="Times New Roman"/>
          <w:sz w:val="19"/>
          <w:szCs w:val="19"/>
          <w:b w:val="1"/>
          <w:bCs w:val="1"/>
          <w:color w:val="auto"/>
        </w:rPr>
        <w:t>Restricted Stock</w:t>
      </w:r>
      <w:r>
        <w:rPr>
          <w:rFonts w:ascii="Times New Roman" w:cs="Times New Roman" w:eastAsia="Times New Roman" w:hAnsi="Times New Roman"/>
          <w:sz w:val="19"/>
          <w:szCs w:val="19"/>
          <w:color w:val="auto"/>
        </w:rPr>
        <w:t>”) of the Company, and by the grant of options to purchase Shares (“</w:t>
      </w:r>
      <w:r>
        <w:rPr>
          <w:rFonts w:ascii="Times New Roman" w:cs="Times New Roman" w:eastAsia="Times New Roman" w:hAnsi="Times New Roman"/>
          <w:sz w:val="19"/>
          <w:szCs w:val="19"/>
          <w:b w:val="1"/>
          <w:bCs w:val="1"/>
          <w:color w:val="auto"/>
        </w:rPr>
        <w:t>Options</w:t>
      </w:r>
      <w:r>
        <w:rPr>
          <w:rFonts w:ascii="Times New Roman" w:cs="Times New Roman" w:eastAsia="Times New Roman" w:hAnsi="Times New Roman"/>
          <w:sz w:val="19"/>
          <w:szCs w:val="19"/>
          <w:color w:val="auto"/>
        </w:rPr>
        <w:t>”), Restricted Stock Units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RSUs</w:t>
      </w:r>
      <w:r>
        <w:rPr>
          <w:rFonts w:ascii="Times New Roman" w:cs="Times New Roman" w:eastAsia="Times New Roman" w:hAnsi="Times New Roman"/>
          <w:sz w:val="19"/>
          <w:szCs w:val="19"/>
          <w:color w:val="auto"/>
        </w:rPr>
        <w:t>”) and other Share-based Awards pursuant to Sections 11 through 13 of this Plan. In addition, Awards may be granted under this Plan as donations, for any purpose that the Board finds appropriate, at its discretion.</w:t>
      </w:r>
    </w:p>
    <w:p>
      <w:pPr>
        <w:spacing w:after="0" w:line="2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9"/>
          <w:szCs w:val="19"/>
          <w:u w:val="single" w:color="auto"/>
          <w:color w:val="auto"/>
        </w:rPr>
        <w:t>Types of Awards</w:t>
      </w:r>
      <w:r>
        <w:rPr>
          <w:rFonts w:ascii="Times New Roman" w:cs="Times New Roman" w:eastAsia="Times New Roman" w:hAnsi="Times New Roman"/>
          <w:sz w:val="19"/>
          <w:szCs w:val="19"/>
          <w:color w:val="auto"/>
        </w:rPr>
        <w:t>. This Plan is intended to enable the Company to issue Awards under various tax regimes, including:</w:t>
      </w:r>
    </w:p>
    <w:p>
      <w:pPr>
        <w:spacing w:after="0" w:line="73" w:lineRule="exact"/>
        <w:rPr>
          <w:sz w:val="20"/>
          <w:szCs w:val="20"/>
          <w:color w:val="auto"/>
        </w:rPr>
      </w:pPr>
    </w:p>
    <w:p>
      <w:pPr>
        <w:jc w:val="both"/>
        <w:ind w:left="640" w:right="1260" w:firstLine="636"/>
        <w:spacing w:after="0" w:line="223" w:lineRule="auto"/>
        <w:tabs>
          <w:tab w:leader="none" w:pos="1681"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and subject to the provisions of Section 102 of the Ordinance (or the corresponding provision of any subsequently enacted statute, as amended from time to time), and all regulations and interpretations adopted by any competent authority, including the Israel Tax Authority (the “</w:t>
      </w:r>
      <w:r>
        <w:rPr>
          <w:rFonts w:ascii="Times New Roman" w:cs="Times New Roman" w:eastAsia="Times New Roman" w:hAnsi="Times New Roman"/>
          <w:sz w:val="19"/>
          <w:szCs w:val="19"/>
          <w:b w:val="1"/>
          <w:bCs w:val="1"/>
          <w:color w:val="auto"/>
        </w:rPr>
        <w:t>ITA</w:t>
      </w:r>
      <w:r>
        <w:rPr>
          <w:rFonts w:ascii="Times New Roman" w:cs="Times New Roman" w:eastAsia="Times New Roman" w:hAnsi="Times New Roman"/>
          <w:sz w:val="19"/>
          <w:szCs w:val="19"/>
          <w:color w:val="auto"/>
        </w:rPr>
        <w:t>”), including the Income Tax Rules (Tax Benefits in Stock Issuance to Employees) 5763-2003 or such other rules so adopted from time to time (the “</w:t>
      </w: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 (such Awards that are intended to be (as set forth in the Award Agreement) and which qualify as such under Section 102 of the Ordinance and the Rules, “</w:t>
      </w:r>
      <w:r>
        <w:rPr>
          <w:rFonts w:ascii="Times New Roman" w:cs="Times New Roman" w:eastAsia="Times New Roman" w:hAnsi="Times New Roman"/>
          <w:sz w:val="19"/>
          <w:szCs w:val="19"/>
          <w:b w:val="1"/>
          <w:bCs w:val="1"/>
          <w:color w:val="auto"/>
        </w:rPr>
        <w:t>102 Awards</w:t>
      </w:r>
      <w:r>
        <w:rPr>
          <w:rFonts w:ascii="Times New Roman" w:cs="Times New Roman" w:eastAsia="Times New Roman" w:hAnsi="Times New Roman"/>
          <w:sz w:val="19"/>
          <w:szCs w:val="19"/>
          <w:color w:val="auto"/>
        </w:rPr>
        <w:t>”);</w:t>
      </w:r>
    </w:p>
    <w:p>
      <w:pPr>
        <w:spacing w:after="0" w:line="26" w:lineRule="exact"/>
        <w:rPr>
          <w:rFonts w:ascii="Times New Roman" w:cs="Times New Roman" w:eastAsia="Times New Roman" w:hAnsi="Times New Roman"/>
          <w:sz w:val="19"/>
          <w:szCs w:val="19"/>
          <w:color w:val="auto"/>
        </w:rPr>
      </w:pPr>
    </w:p>
    <w:p>
      <w:pPr>
        <w:ind w:left="640" w:right="1260" w:firstLine="636"/>
        <w:spacing w:after="0" w:line="241" w:lineRule="auto"/>
        <w:tabs>
          <w:tab w:leader="none" w:pos="1788"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pursuant to Section 3(9) of the Ordinance or the corresponding provision of any subsequently enacted statute, as amended from time to time (such Awards, “</w:t>
      </w:r>
      <w:r>
        <w:rPr>
          <w:rFonts w:ascii="Times New Roman" w:cs="Times New Roman" w:eastAsia="Times New Roman" w:hAnsi="Times New Roman"/>
          <w:sz w:val="19"/>
          <w:szCs w:val="19"/>
          <w:b w:val="1"/>
          <w:bCs w:val="1"/>
          <w:color w:val="auto"/>
        </w:rPr>
        <w:t>3(9) Awards</w:t>
      </w:r>
      <w:r>
        <w:rPr>
          <w:rFonts w:ascii="Times New Roman" w:cs="Times New Roman" w:eastAsia="Times New Roman" w:hAnsi="Times New Roman"/>
          <w:sz w:val="19"/>
          <w:szCs w:val="19"/>
          <w:color w:val="auto"/>
        </w:rPr>
        <w:t>”);</w:t>
      </w:r>
    </w:p>
    <w:p>
      <w:pPr>
        <w:spacing w:after="0" w:line="37" w:lineRule="exact"/>
        <w:rPr>
          <w:rFonts w:ascii="Times New Roman" w:cs="Times New Roman" w:eastAsia="Times New Roman" w:hAnsi="Times New Roman"/>
          <w:sz w:val="19"/>
          <w:szCs w:val="19"/>
          <w:color w:val="auto"/>
        </w:rPr>
      </w:pPr>
    </w:p>
    <w:p>
      <w:pPr>
        <w:jc w:val="both"/>
        <w:ind w:left="640" w:right="1260" w:firstLine="636"/>
        <w:spacing w:after="0" w:line="224" w:lineRule="auto"/>
        <w:tabs>
          <w:tab w:leader="none" w:pos="1796"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Incentive Stock Options within the meaning of Section 422 of the Code, or the corresponding provision of any subsequently enacted United States federal tax statute, as amended from time to time, to be granted to Employees who are deemed to be residents of the United States, for purposes of taxation, or are otherwise subject to U.S. Federal income tax (such Awards that are intended to be (as set forth in the Award Agreement) and which qualify as an incentive stock option within the meaning of Section 422(b) of the Code, “</w:t>
      </w:r>
      <w:r>
        <w:rPr>
          <w:rFonts w:ascii="Times New Roman" w:cs="Times New Roman" w:eastAsia="Times New Roman" w:hAnsi="Times New Roman"/>
          <w:sz w:val="19"/>
          <w:szCs w:val="19"/>
          <w:b w:val="1"/>
          <w:bCs w:val="1"/>
          <w:color w:val="auto"/>
        </w:rPr>
        <w:t>Incentive Stock Options</w:t>
      </w:r>
      <w:r>
        <w:rPr>
          <w:rFonts w:ascii="Times New Roman" w:cs="Times New Roman" w:eastAsia="Times New Roman" w:hAnsi="Times New Roman"/>
          <w:sz w:val="19"/>
          <w:szCs w:val="19"/>
          <w:color w:val="auto"/>
        </w:rPr>
        <w:t>”); and</w:t>
      </w:r>
    </w:p>
    <w:p>
      <w:pPr>
        <w:spacing w:after="0" w:line="25" w:lineRule="exact"/>
        <w:rPr>
          <w:rFonts w:ascii="Times New Roman" w:cs="Times New Roman" w:eastAsia="Times New Roman" w:hAnsi="Times New Roman"/>
          <w:sz w:val="19"/>
          <w:szCs w:val="19"/>
          <w:color w:val="auto"/>
        </w:rPr>
      </w:pPr>
    </w:p>
    <w:p>
      <w:pPr>
        <w:jc w:val="both"/>
        <w:ind w:left="640" w:right="1260" w:firstLine="636"/>
        <w:spacing w:after="0" w:line="237" w:lineRule="auto"/>
        <w:tabs>
          <w:tab w:leader="none" w:pos="1768"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Options not intended to be (as set forth in the Award Agreement) or which do not qualify as an Incentive Stock Option to be granted to Service Providers who are deemed to be residents of the United States for purposes of taxation, or are otherwise subject to U.S. Federal income tax (“</w:t>
      </w:r>
      <w:r>
        <w:rPr>
          <w:rFonts w:ascii="Times New Roman" w:cs="Times New Roman" w:eastAsia="Times New Roman" w:hAnsi="Times New Roman"/>
          <w:sz w:val="19"/>
          <w:szCs w:val="19"/>
          <w:b w:val="1"/>
          <w:bCs w:val="1"/>
          <w:color w:val="auto"/>
        </w:rPr>
        <w:t>Nonqualified Stock Options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In addition to the issuance of Awards under the relevant tax regimes in the United States of America and the State of Israel, and without derogating from the generality of Section 25, this Plan contemplates issuances to Grantees in other jurisdictions or under other tax regimes with</w:t>
      </w:r>
    </w:p>
    <w:p>
      <w:pPr>
        <w:spacing w:after="0" w:line="219" w:lineRule="auto"/>
        <w:rPr>
          <w:sz w:val="20"/>
          <w:szCs w:val="20"/>
          <w:color w:val="auto"/>
        </w:rPr>
      </w:pPr>
      <w:r>
        <w:rPr>
          <w:rFonts w:ascii="Times New Roman" w:cs="Times New Roman" w:eastAsia="Times New Roman" w:hAnsi="Times New Roman"/>
          <w:sz w:val="19"/>
          <w:szCs w:val="19"/>
          <w:color w:val="auto"/>
        </w:rPr>
        <w:t>respect to which the Committee is empowered, but is not required, to make the requisite adjustments in this Plan and set forth the relevant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conditions in an appendix to this Plan or in the Company’s agreement with the Grantee in order to comply with the requirements of such other tax regimes.</w:t>
      </w:r>
    </w:p>
    <w:p>
      <w:pPr>
        <w:spacing w:after="0" w:line="2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9"/>
          <w:szCs w:val="19"/>
          <w:u w:val="single" w:color="auto"/>
          <w:color w:val="auto"/>
        </w:rPr>
        <w:t>Company Status</w:t>
      </w:r>
      <w:r>
        <w:rPr>
          <w:rFonts w:ascii="Times New Roman" w:cs="Times New Roman" w:eastAsia="Times New Roman" w:hAnsi="Times New Roman"/>
          <w:sz w:val="19"/>
          <w:szCs w:val="19"/>
          <w:color w:val="auto"/>
        </w:rPr>
        <w:t>. This Plan contemplates the issuance of Awards by the Company, both as a private and public company.</w:t>
      </w:r>
    </w:p>
    <w:p>
      <w:pPr>
        <w:spacing w:after="0" w:line="59" w:lineRule="exact"/>
        <w:rPr>
          <w:sz w:val="20"/>
          <w:szCs w:val="20"/>
          <w:color w:val="auto"/>
        </w:rPr>
      </w:pPr>
    </w:p>
    <w:p>
      <w:pPr>
        <w:ind w:firstLine="635"/>
        <w:spacing w:after="0" w:line="230"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19"/>
          <w:szCs w:val="19"/>
          <w:u w:val="single" w:color="auto"/>
          <w:color w:val="auto"/>
        </w:rPr>
        <w:t>Construction</w:t>
      </w:r>
      <w:r>
        <w:rPr>
          <w:rFonts w:ascii="Times New Roman" w:cs="Times New Roman" w:eastAsia="Times New Roman" w:hAnsi="Times New Roman"/>
          <w:sz w:val="19"/>
          <w:szCs w:val="19"/>
          <w:color w:val="auto"/>
        </w:rPr>
        <w:t>. To the extent any provision herein conflicts with the conditions of any relevant tax law, rule or regulation which are relied upon for tax relief in respect of a particular Award to a Grantee, the Committee is empowered, but is not required, hereunder to determine</w:t>
      </w:r>
    </w:p>
    <w:p>
      <w:pPr>
        <w:spacing w:after="0" w:line="210" w:lineRule="auto"/>
        <w:rPr>
          <w:sz w:val="20"/>
          <w:szCs w:val="20"/>
          <w:color w:val="auto"/>
        </w:rPr>
      </w:pPr>
      <w:r>
        <w:rPr>
          <w:rFonts w:ascii="Times New Roman" w:cs="Times New Roman" w:eastAsia="Times New Roman" w:hAnsi="Times New Roman"/>
          <w:sz w:val="19"/>
          <w:szCs w:val="19"/>
          <w:color w:val="auto"/>
        </w:rPr>
        <w:t>that the provisions of such law, rule or regulation shall prevail over those of this Plan and to interpret and enforce such prevailing provisions. With respect to 102 Awards, if and to the extent any action or the exercise or application of any provision hereof or authority granted hereby is</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conditioned or subject to obtaining a ruling or tax determination from the ITA, to the extent required by applicable law, then the taking of any such action or</w:t>
      </w:r>
    </w:p>
    <w:p>
      <w:pPr>
        <w:sectPr>
          <w:pgSz w:w="11900" w:h="16838" w:orient="portrait"/>
          <w:cols w:equalWidth="0" w:num="1">
            <w:col w:w="11240"/>
          </w:cols>
          <w:pgMar w:left="320" w:top="126" w:right="339" w:bottom="1440" w:gutter="0" w:footer="0" w:header="0"/>
        </w:sectPr>
      </w:pPr>
    </w:p>
    <w:bookmarkStart w:id="168" w:name="page169"/>
    <w:bookmarkEnd w:id="168"/>
    <w:p>
      <w:pPr>
        <w:spacing w:after="0" w:line="230" w:lineRule="auto"/>
        <w:rPr>
          <w:sz w:val="20"/>
          <w:szCs w:val="20"/>
          <w:color w:val="auto"/>
        </w:rPr>
      </w:pPr>
      <w:r>
        <w:rPr>
          <w:rFonts w:ascii="Times New Roman" w:cs="Times New Roman" w:eastAsia="Times New Roman" w:hAnsi="Times New Roman"/>
          <w:sz w:val="19"/>
          <w:szCs w:val="19"/>
          <w:color w:val="auto"/>
        </w:rPr>
        <w:t>the exercise or application of such section or authority with respect to 102 Awards shall be conditioned upon obtaining such ruling or tax determination, and, if obtained, shall be subject to any condition set forth therein; it being clarified that there is no obligation to apply for any</w:t>
      </w:r>
    </w:p>
    <w:p>
      <w:pPr>
        <w:spacing w:after="0" w:line="228" w:lineRule="auto"/>
        <w:rPr>
          <w:sz w:val="20"/>
          <w:szCs w:val="20"/>
          <w:color w:val="auto"/>
        </w:rPr>
      </w:pPr>
      <w:r>
        <w:rPr>
          <w:rFonts w:ascii="Times New Roman" w:cs="Times New Roman" w:eastAsia="Times New Roman" w:hAnsi="Times New Roman"/>
          <w:sz w:val="19"/>
          <w:szCs w:val="19"/>
          <w:color w:val="auto"/>
        </w:rPr>
        <w:t>such ruling or tax determination (which shall be in the sole discretion of the Committee) and no assurance is made that if applied any such ruling or tax determination will be obtained (or the conditions thereof).</w:t>
      </w:r>
    </w:p>
    <w:p>
      <w:pPr>
        <w:spacing w:after="0" w:line="35" w:lineRule="exact"/>
        <w:rPr>
          <w:sz w:val="20"/>
          <w:szCs w:val="20"/>
          <w:color w:val="auto"/>
        </w:rPr>
      </w:pPr>
    </w:p>
    <w:p>
      <w:pPr>
        <w:ind w:left="340" w:hanging="334"/>
        <w:spacing w:after="0"/>
        <w:tabs>
          <w:tab w:leader="none" w:pos="34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ind w:firstLine="635"/>
        <w:spacing w:after="0" w:line="222"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Terms Generally</w:t>
      </w:r>
      <w:r>
        <w:rPr>
          <w:rFonts w:ascii="Times New Roman" w:cs="Times New Roman" w:eastAsia="Times New Roman" w:hAnsi="Times New Roman"/>
          <w:sz w:val="19"/>
          <w:szCs w:val="19"/>
          <w:color w:val="auto"/>
        </w:rPr>
        <w:t>. Except when otherwise indicated by the context, (i) the singular shall include the plural and the plural shall include the singular; (ii) any pronoun shall include the corresponding masculine, feminine and neuter forms; (iii) any definition of or reference</w:t>
      </w:r>
    </w:p>
    <w:p>
      <w:pPr>
        <w:spacing w:after="0" w:line="219" w:lineRule="auto"/>
        <w:rPr>
          <w:sz w:val="20"/>
          <w:szCs w:val="20"/>
          <w:color w:val="auto"/>
        </w:rPr>
      </w:pPr>
      <w:r>
        <w:rPr>
          <w:rFonts w:ascii="Times New Roman" w:cs="Times New Roman" w:eastAsia="Times New Roman" w:hAnsi="Times New Roman"/>
          <w:sz w:val="19"/>
          <w:szCs w:val="19"/>
          <w:color w:val="auto"/>
        </w:rPr>
        <w:t>to any agreement, instrument or other document herein shall be construed as referring to such agreement, instrument or other document as from</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time to time amended, restated, supplemented or otherwise modified (subject to any restrictions on such amendments, restatements, supplements or modifications set forth therein or herein), (iv) references to any law, constitution, statute, treaty, regulation, rule or ordinance, including any</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section or other part thereof shall refer to it as amended from time to time and shall include any successor thereof, (v) reference to a “company” or “entity” shall include a, partnership, corporation, limited liability company, association, trust, unincorporated organization, or a government</w:t>
      </w:r>
    </w:p>
    <w:p>
      <w:pPr>
        <w:spacing w:after="0" w:line="219" w:lineRule="auto"/>
        <w:rPr>
          <w:sz w:val="20"/>
          <w:szCs w:val="20"/>
          <w:color w:val="auto"/>
        </w:rPr>
      </w:pPr>
      <w:r>
        <w:rPr>
          <w:rFonts w:ascii="Times New Roman" w:cs="Times New Roman" w:eastAsia="Times New Roman" w:hAnsi="Times New Roman"/>
          <w:sz w:val="19"/>
          <w:szCs w:val="19"/>
          <w:color w:val="auto"/>
        </w:rPr>
        <w:t>or agency or political subdivision thereof, and reference to a “person” shall mean any of the foregoing or an individual, (vi) the words “herein”,</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“hereof” and “hereunder”, and words of similar import, shall be construed to refer to this Plan in its entirety, and not to any particular provision hereof, (vii) all references herein to Sections shall be construed to refer to Sections to this Plan; (viii) the words “include”, “includes”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shall be deemed to be followed by the phrase “without limitation”; and (ix) use of the term “or” is not intended to be exclusive.</w:t>
      </w:r>
    </w:p>
    <w:p>
      <w:pPr>
        <w:spacing w:after="0" w:line="37"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The following terms shall have the meanings ascribed to them in this Section 2:</w:t>
      </w:r>
    </w:p>
    <w:p>
      <w:pPr>
        <w:spacing w:after="0" w:line="55"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19"/>
          <w:szCs w:val="19"/>
          <w:color w:val="auto"/>
        </w:rPr>
        <w:t>2.3. “</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shall mean, (i) with respect to any person, any other person that, directly or indirectly through one or more intermediaries, controls, is controlled by, or is under common control with, such person (with the term “control” or “controlled by”</w:t>
      </w:r>
    </w:p>
    <w:p>
      <w:pPr>
        <w:spacing w:after="0" w:line="1" w:lineRule="exact"/>
        <w:rPr>
          <w:sz w:val="20"/>
          <w:szCs w:val="20"/>
          <w:color w:val="auto"/>
        </w:rPr>
      </w:pPr>
    </w:p>
    <w:p>
      <w:pPr>
        <w:ind w:left="640"/>
        <w:spacing w:after="0" w:line="210" w:lineRule="auto"/>
        <w:rPr>
          <w:sz w:val="20"/>
          <w:szCs w:val="20"/>
          <w:color w:val="auto"/>
        </w:rPr>
      </w:pPr>
      <w:r>
        <w:rPr>
          <w:rFonts w:ascii="Times New Roman" w:cs="Times New Roman" w:eastAsia="Times New Roman" w:hAnsi="Times New Roman"/>
          <w:sz w:val="19"/>
          <w:szCs w:val="19"/>
          <w:color w:val="auto"/>
        </w:rPr>
        <w:t>within the meaning of Rule 405 of Regulation C under the Securities Act), including, without limitation, any Parent or Subsidiary, or (ii) for the purpose of 102 Awards, “</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shall only mean an “employing company” within the meaning and subject to the conditions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of Section 102(a) of the Ordinance.</w:t>
      </w:r>
    </w:p>
    <w:p>
      <w:pPr>
        <w:spacing w:after="0" w:line="33"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Applicable Law</w:t>
      </w:r>
      <w:r>
        <w:rPr>
          <w:rFonts w:ascii="Times New Roman" w:cs="Times New Roman" w:eastAsia="Times New Roman" w:hAnsi="Times New Roman"/>
          <w:sz w:val="19"/>
          <w:szCs w:val="19"/>
          <w:color w:val="auto"/>
        </w:rPr>
        <w:t>” shall mean any applicable law, rule, regulation, statute, pronouncement, policy, interpretation, judgment,</w:t>
      </w:r>
    </w:p>
    <w:p>
      <w:pPr>
        <w:spacing w:after="0" w:line="6" w:lineRule="exact"/>
        <w:rPr>
          <w:sz w:val="20"/>
          <w:szCs w:val="20"/>
          <w:color w:val="auto"/>
        </w:rPr>
      </w:pPr>
    </w:p>
    <w:p>
      <w:pPr>
        <w:ind w:left="640"/>
        <w:spacing w:after="0" w:line="210" w:lineRule="auto"/>
        <w:rPr>
          <w:sz w:val="20"/>
          <w:szCs w:val="20"/>
          <w:color w:val="auto"/>
        </w:rPr>
      </w:pPr>
      <w:r>
        <w:rPr>
          <w:rFonts w:ascii="Times New Roman" w:cs="Times New Roman" w:eastAsia="Times New Roman" w:hAnsi="Times New Roman"/>
          <w:sz w:val="19"/>
          <w:szCs w:val="19"/>
          <w:color w:val="auto"/>
        </w:rPr>
        <w:t>order or decree of any federal, provincial, state or local governmental, regulatory or adjudicative authority or agency, of any jurisdiction, and the rules and regulations of any stock exchange, over-the-counter market or trading system on which the Company’s capital stock is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then traded or listed.</w:t>
      </w:r>
    </w:p>
    <w:p>
      <w:pPr>
        <w:spacing w:after="0" w:line="33"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2.5.</w:t>
        <w:tab/>
        <w:t>“</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shall mean any Option, Restricted Stock, RSUs, Shares or any other Share-based award granted under this Plan.</w:t>
      </w:r>
    </w:p>
    <w:p>
      <w:pPr>
        <w:spacing w:after="0" w:line="59"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2.6.</w:t>
        <w:tab/>
        <w:t>“</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shall mean the Board of Directors of the Company.</w:t>
      </w:r>
    </w:p>
    <w:p>
      <w:pPr>
        <w:spacing w:after="0" w:line="59" w:lineRule="exact"/>
        <w:rPr>
          <w:sz w:val="20"/>
          <w:szCs w:val="20"/>
          <w:color w:val="auto"/>
        </w:rPr>
      </w:pPr>
    </w:p>
    <w:p>
      <w:pPr>
        <w:ind w:left="640"/>
        <w:spacing w:after="0" w:line="260" w:lineRule="auto"/>
        <w:rPr>
          <w:sz w:val="20"/>
          <w:szCs w:val="20"/>
          <w:color w:val="auto"/>
        </w:rPr>
      </w:pPr>
      <w:r>
        <w:rPr>
          <w:rFonts w:ascii="Times New Roman" w:cs="Times New Roman" w:eastAsia="Times New Roman" w:hAnsi="Times New Roman"/>
          <w:sz w:val="19"/>
          <w:szCs w:val="19"/>
          <w:color w:val="auto"/>
        </w:rPr>
        <w:t>2.7. “</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shall mean the United States Internal Revenue Code of 1986, and any applicable regulations promulgated thereunder, all as amended.</w:t>
      </w:r>
    </w:p>
    <w:p>
      <w:pPr>
        <w:spacing w:after="0" w:line="3"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2.8.</w:t>
        <w:tab/>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mean a committee established or appointed by the Board to administer this Plan, subject to Section 3.1.</w:t>
      </w:r>
    </w:p>
    <w:p>
      <w:pPr>
        <w:spacing w:after="0" w:line="59" w:lineRule="exact"/>
        <w:rPr>
          <w:sz w:val="20"/>
          <w:szCs w:val="20"/>
          <w:color w:val="auto"/>
        </w:rPr>
      </w:pPr>
    </w:p>
    <w:p>
      <w:pPr>
        <w:ind w:left="640"/>
        <w:spacing w:after="0" w:line="245" w:lineRule="auto"/>
        <w:rPr>
          <w:sz w:val="20"/>
          <w:szCs w:val="20"/>
          <w:color w:val="auto"/>
        </w:rPr>
      </w:pPr>
      <w:r>
        <w:rPr>
          <w:rFonts w:ascii="Times New Roman" w:cs="Times New Roman" w:eastAsia="Times New Roman" w:hAnsi="Times New Roman"/>
          <w:sz w:val="19"/>
          <w:szCs w:val="19"/>
          <w:color w:val="auto"/>
        </w:rPr>
        <w:t>2.9. “</w:t>
      </w:r>
      <w:r>
        <w:rPr>
          <w:rFonts w:ascii="Times New Roman" w:cs="Times New Roman" w:eastAsia="Times New Roman" w:hAnsi="Times New Roman"/>
          <w:sz w:val="19"/>
          <w:szCs w:val="19"/>
          <w:b w:val="1"/>
          <w:bCs w:val="1"/>
          <w:color w:val="auto"/>
        </w:rPr>
        <w:t>Companies Law</w:t>
      </w:r>
      <w:r>
        <w:rPr>
          <w:rFonts w:ascii="Times New Roman" w:cs="Times New Roman" w:eastAsia="Times New Roman" w:hAnsi="Times New Roman"/>
          <w:sz w:val="19"/>
          <w:szCs w:val="19"/>
          <w:color w:val="auto"/>
        </w:rPr>
        <w:t>” shall mean the Israel Companies Law, 5759-1999, and the regulations promulgated thereunder, all as amended from time to time.</w:t>
      </w:r>
    </w:p>
    <w:p>
      <w:pPr>
        <w:spacing w:after="0" w:line="17"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19"/>
          <w:szCs w:val="19"/>
          <w:color w:val="auto"/>
        </w:rPr>
        <w:t>2.10.</w:t>
        <w:tab/>
        <w:t>“</w:t>
      </w:r>
      <w:r>
        <w:rPr>
          <w:rFonts w:ascii="Times New Roman" w:cs="Times New Roman" w:eastAsia="Times New Roman" w:hAnsi="Times New Roman"/>
          <w:sz w:val="19"/>
          <w:szCs w:val="19"/>
          <w:b w:val="1"/>
          <w:bCs w:val="1"/>
          <w:color w:val="auto"/>
        </w:rPr>
        <w:t>Controlling Stockholder</w:t>
      </w:r>
      <w:r>
        <w:rPr>
          <w:rFonts w:ascii="Times New Roman" w:cs="Times New Roman" w:eastAsia="Times New Roman" w:hAnsi="Times New Roman"/>
          <w:sz w:val="19"/>
          <w:szCs w:val="19"/>
          <w:color w:val="auto"/>
        </w:rPr>
        <w:t>” shall have the meaning set forth in Section 32(9) of the Ordinance.</w:t>
      </w:r>
    </w:p>
    <w:p>
      <w:pPr>
        <w:spacing w:after="0" w:line="59" w:lineRule="exact"/>
        <w:rPr>
          <w:sz w:val="20"/>
          <w:szCs w:val="20"/>
          <w:color w:val="auto"/>
        </w:rPr>
      </w:pPr>
    </w:p>
    <w:p>
      <w:pPr>
        <w:ind w:left="640"/>
        <w:spacing w:after="0" w:line="232" w:lineRule="auto"/>
        <w:rPr>
          <w:sz w:val="20"/>
          <w:szCs w:val="20"/>
          <w:color w:val="auto"/>
        </w:rPr>
      </w:pPr>
      <w:r>
        <w:rPr>
          <w:rFonts w:ascii="Times New Roman" w:cs="Times New Roman" w:eastAsia="Times New Roman" w:hAnsi="Times New Roman"/>
          <w:sz w:val="19"/>
          <w:szCs w:val="19"/>
          <w:color w:val="auto"/>
        </w:rPr>
        <w:t>2.11. “</w:t>
      </w:r>
      <w:r>
        <w:rPr>
          <w:rFonts w:ascii="Times New Roman" w:cs="Times New Roman" w:eastAsia="Times New Roman" w:hAnsi="Times New Roman"/>
          <w:sz w:val="19"/>
          <w:szCs w:val="19"/>
          <w:b w:val="1"/>
          <w:bCs w:val="1"/>
          <w:color w:val="auto"/>
        </w:rPr>
        <w:t>Disability</w:t>
      </w:r>
      <w:r>
        <w:rPr>
          <w:rFonts w:ascii="Times New Roman" w:cs="Times New Roman" w:eastAsia="Times New Roman" w:hAnsi="Times New Roman"/>
          <w:sz w:val="19"/>
          <w:szCs w:val="19"/>
          <w:color w:val="auto"/>
        </w:rPr>
        <w:t>” shall mean (i) the inability of a Grantee to engage in any substantial gainful activity or to perform the major duties of the Grantee’s position with the Company or its Affiliates by reason of any medically determinable physical or mental impairment</w:t>
      </w:r>
    </w:p>
    <w:p>
      <w:pPr>
        <w:spacing w:after="0" w:line="1" w:lineRule="exact"/>
        <w:rPr>
          <w:sz w:val="20"/>
          <w:szCs w:val="20"/>
          <w:color w:val="auto"/>
        </w:rPr>
      </w:pPr>
    </w:p>
    <w:p>
      <w:pPr>
        <w:ind w:left="640"/>
        <w:spacing w:after="0" w:line="210" w:lineRule="auto"/>
        <w:rPr>
          <w:sz w:val="20"/>
          <w:szCs w:val="20"/>
          <w:color w:val="auto"/>
        </w:rPr>
      </w:pPr>
      <w:r>
        <w:rPr>
          <w:rFonts w:ascii="Times New Roman" w:cs="Times New Roman" w:eastAsia="Times New Roman" w:hAnsi="Times New Roman"/>
          <w:sz w:val="19"/>
          <w:szCs w:val="19"/>
          <w:color w:val="auto"/>
        </w:rPr>
        <w:t>which has lasted or can be expected to last for a continuous period of not less than 12 months (or such other period as determined by the Committee), as determined by a qualified doctor acceptable to the Company, (ii) if applicable, a “permanent and total disability” as</w:t>
      </w:r>
    </w:p>
    <w:p>
      <w:pPr>
        <w:ind w:left="640"/>
        <w:spacing w:after="0" w:line="219" w:lineRule="auto"/>
        <w:rPr>
          <w:sz w:val="20"/>
          <w:szCs w:val="20"/>
          <w:color w:val="auto"/>
        </w:rPr>
      </w:pPr>
      <w:r>
        <w:rPr>
          <w:rFonts w:ascii="Times New Roman" w:cs="Times New Roman" w:eastAsia="Times New Roman" w:hAnsi="Times New Roman"/>
          <w:sz w:val="19"/>
          <w:szCs w:val="19"/>
          <w:color w:val="auto"/>
        </w:rPr>
        <w:t>defined in Section 22(e)(3) of the Code or Section 409A(a)(2)(c)(i) of the Code, as amended from time to time, or (iii) as defined in a</w:t>
      </w:r>
    </w:p>
    <w:p>
      <w:pPr>
        <w:spacing w:after="0" w:line="1" w:lineRule="exact"/>
        <w:rPr>
          <w:sz w:val="20"/>
          <w:szCs w:val="20"/>
          <w:color w:val="auto"/>
        </w:rPr>
      </w:pPr>
    </w:p>
    <w:p>
      <w:pPr>
        <w:ind w:left="640"/>
        <w:spacing w:after="0" w:line="210" w:lineRule="auto"/>
        <w:rPr>
          <w:sz w:val="20"/>
          <w:szCs w:val="20"/>
          <w:color w:val="auto"/>
        </w:rPr>
      </w:pPr>
      <w:r>
        <w:rPr>
          <w:rFonts w:ascii="Times New Roman" w:cs="Times New Roman" w:eastAsia="Times New Roman" w:hAnsi="Times New Roman"/>
          <w:sz w:val="19"/>
          <w:szCs w:val="19"/>
          <w:color w:val="auto"/>
        </w:rPr>
        <w:t>policy of the Company that the Committee deems applicable to this Plan, or that makes reference to this Plan, for purposes of this definition. Notwithstanding the foregoing, for Awards that are subject to Section 409A of the Code, Disability shall mean that a</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Participant is disabled under Section 409A(a)(2)(C)(i) or (ii) of the Code.</w:t>
      </w:r>
    </w:p>
    <w:p>
      <w:pPr>
        <w:spacing w:after="0" w:line="33"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9"/>
          <w:szCs w:val="19"/>
          <w:color w:val="auto"/>
        </w:rPr>
        <w:t>2.12.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Employee</w:t>
      </w:r>
      <w:r>
        <w:rPr>
          <w:rFonts w:ascii="Times New Roman" w:cs="Times New Roman" w:eastAsia="Times New Roman" w:hAnsi="Times New Roman"/>
          <w:sz w:val="19"/>
          <w:szCs w:val="19"/>
          <w:color w:val="auto"/>
        </w:rPr>
        <w:t>” shall mean any person treated as an employee (including an officer or a director who is also treated as an</w:t>
      </w:r>
    </w:p>
    <w:p>
      <w:pPr>
        <w:spacing w:after="0" w:line="6" w:lineRule="exact"/>
        <w:rPr>
          <w:sz w:val="20"/>
          <w:szCs w:val="20"/>
          <w:color w:val="auto"/>
        </w:rPr>
      </w:pPr>
    </w:p>
    <w:p>
      <w:pPr>
        <w:ind w:left="640"/>
        <w:spacing w:after="0" w:line="228" w:lineRule="auto"/>
        <w:rPr>
          <w:sz w:val="20"/>
          <w:szCs w:val="20"/>
          <w:color w:val="auto"/>
        </w:rPr>
      </w:pPr>
      <w:r>
        <w:rPr>
          <w:rFonts w:ascii="Times New Roman" w:cs="Times New Roman" w:eastAsia="Times New Roman" w:hAnsi="Times New Roman"/>
          <w:sz w:val="19"/>
          <w:szCs w:val="19"/>
          <w:color w:val="auto"/>
        </w:rPr>
        <w:t>employee) in the records of the Company or any of its Affiliates (and in the case of 102 Awards, subject to Section 9.3 or in the case of Incentive Stock Options, who is an employee for purposes of Section 422 of the Code); provided, however, that neither service as a</w:t>
      </w:r>
    </w:p>
    <w:p>
      <w:pPr>
        <w:sectPr>
          <w:pgSz w:w="11900" w:h="16838" w:orient="portrait"/>
          <w:cols w:equalWidth="0" w:num="1">
            <w:col w:w="11240"/>
          </w:cols>
          <w:pgMar w:left="320" w:top="1242" w:right="339" w:bottom="1440" w:gutter="0" w:footer="0" w:header="0"/>
        </w:sectPr>
      </w:pPr>
    </w:p>
    <w:bookmarkStart w:id="169" w:name="page170"/>
    <w:bookmarkEnd w:id="169"/>
    <w:p>
      <w:pPr>
        <w:spacing w:after="0" w:line="230" w:lineRule="auto"/>
        <w:rPr>
          <w:sz w:val="20"/>
          <w:szCs w:val="20"/>
          <w:color w:val="auto"/>
        </w:rPr>
      </w:pPr>
      <w:r>
        <w:rPr>
          <w:rFonts w:ascii="Times New Roman" w:cs="Times New Roman" w:eastAsia="Times New Roman" w:hAnsi="Times New Roman"/>
          <w:sz w:val="19"/>
          <w:szCs w:val="19"/>
          <w:color w:val="auto"/>
        </w:rPr>
        <w:t>director nor payment of a director’s fee shall be sufficient to constitute employment for purposes of this Plan. The Company shall determine in good faith and in the exercise of its discretion whether an individual has become or has ceased to be an Employee and the</w:t>
      </w:r>
    </w:p>
    <w:p>
      <w:pPr>
        <w:spacing w:after="0" w:line="210" w:lineRule="auto"/>
        <w:rPr>
          <w:sz w:val="20"/>
          <w:szCs w:val="20"/>
          <w:color w:val="auto"/>
        </w:rPr>
      </w:pPr>
      <w:r>
        <w:rPr>
          <w:rFonts w:ascii="Times New Roman" w:cs="Times New Roman" w:eastAsia="Times New Roman" w:hAnsi="Times New Roman"/>
          <w:sz w:val="19"/>
          <w:szCs w:val="19"/>
          <w:color w:val="auto"/>
        </w:rPr>
        <w:t>effective date of such individual’s employment or termination of employment, as the case may be. For purposes of a person’s rights, if any, under this Plan as of the time of the Company’s determination, all such determinations by the Company shall be final, binding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conclusive, notwithstanding that the Company or any court of law or governmental agency subsequently makes a contrary determination.</w:t>
      </w:r>
    </w:p>
    <w:p>
      <w:pPr>
        <w:spacing w:after="0" w:line="23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2.13. “</w:t>
      </w:r>
      <w:r>
        <w:rPr>
          <w:rFonts w:ascii="Times New Roman" w:cs="Times New Roman" w:eastAsia="Times New Roman" w:hAnsi="Times New Roman"/>
          <w:sz w:val="19"/>
          <w:szCs w:val="19"/>
          <w:b w:val="1"/>
          <w:bCs w:val="1"/>
          <w:color w:val="auto"/>
        </w:rPr>
        <w:t>employment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employed</w:t>
      </w:r>
      <w:r>
        <w:rPr>
          <w:rFonts w:ascii="Times New Roman" w:cs="Times New Roman" w:eastAsia="Times New Roman" w:hAnsi="Times New Roman"/>
          <w:sz w:val="19"/>
          <w:szCs w:val="19"/>
          <w:color w:val="auto"/>
        </w:rPr>
        <w:t>” and words of similar import shall be deemed to refer to the employment of Employees or to the services of any other Service Provider, as the case may be.</w:t>
      </w:r>
    </w:p>
    <w:p>
      <w:pPr>
        <w:spacing w:after="0" w:line="30"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2.14. “</w:t>
      </w:r>
      <w:r>
        <w:rPr>
          <w:rFonts w:ascii="Times New Roman" w:cs="Times New Roman" w:eastAsia="Times New Roman" w:hAnsi="Times New Roman"/>
          <w:sz w:val="19"/>
          <w:szCs w:val="19"/>
          <w:b w:val="1"/>
          <w:bCs w:val="1"/>
          <w:color w:val="auto"/>
        </w:rPr>
        <w:t>exercise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exercised</w:t>
      </w:r>
      <w:r>
        <w:rPr>
          <w:rFonts w:ascii="Times New Roman" w:cs="Times New Roman" w:eastAsia="Times New Roman" w:hAnsi="Times New Roman"/>
          <w:sz w:val="19"/>
          <w:szCs w:val="19"/>
          <w:color w:val="auto"/>
        </w:rPr>
        <w:t>” and words of similar import, when referring to an Award that does not require exercise or that is settled upon vesting (such as may be the case with RSUs or Restricted Stock, if so determined in their terms), shall be deemed to refer to the</w:t>
      </w:r>
    </w:p>
    <w:p>
      <w:pPr>
        <w:spacing w:after="0"/>
        <w:rPr>
          <w:sz w:val="20"/>
          <w:szCs w:val="20"/>
          <w:color w:val="auto"/>
        </w:rPr>
      </w:pPr>
      <w:r>
        <w:rPr>
          <w:rFonts w:ascii="Times New Roman" w:cs="Times New Roman" w:eastAsia="Times New Roman" w:hAnsi="Times New Roman"/>
          <w:sz w:val="19"/>
          <w:szCs w:val="19"/>
          <w:color w:val="auto"/>
        </w:rPr>
        <w:t>vesting of such an Award (regardless of whether or not the wording included reference to vesting of such an Awards explicitly).</w:t>
      </w:r>
    </w:p>
    <w:p>
      <w:pPr>
        <w:spacing w:after="0" w:line="3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9"/>
          <w:szCs w:val="19"/>
          <w:color w:val="auto"/>
        </w:rPr>
        <w:t>2.15.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Exercise Period</w:t>
      </w:r>
      <w:r>
        <w:rPr>
          <w:rFonts w:ascii="Times New Roman" w:cs="Times New Roman" w:eastAsia="Times New Roman" w:hAnsi="Times New Roman"/>
          <w:sz w:val="19"/>
          <w:szCs w:val="19"/>
          <w:color w:val="auto"/>
        </w:rPr>
        <w:t>” shall mean the period, commencing on the date of grant of an Award, during which an Award shall be</w:t>
      </w:r>
    </w:p>
    <w:p>
      <w:pPr>
        <w:spacing w:after="0" w:line="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exercisable, subject to any vesting provisions thereof (including any acceleration thereof, if any) and subject to the termination provisions hereof.</w:t>
      </w:r>
    </w:p>
    <w:p>
      <w:pPr>
        <w:spacing w:after="0" w:line="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2.16. “</w:t>
      </w:r>
      <w:r>
        <w:rPr>
          <w:rFonts w:ascii="Times New Roman" w:cs="Times New Roman" w:eastAsia="Times New Roman" w:hAnsi="Times New Roman"/>
          <w:sz w:val="19"/>
          <w:szCs w:val="19"/>
          <w:b w:val="1"/>
          <w:bCs w:val="1"/>
          <w:color w:val="auto"/>
        </w:rPr>
        <w:t>Exercise Price</w:t>
      </w:r>
      <w:r>
        <w:rPr>
          <w:rFonts w:ascii="Times New Roman" w:cs="Times New Roman" w:eastAsia="Times New Roman" w:hAnsi="Times New Roman"/>
          <w:sz w:val="19"/>
          <w:szCs w:val="19"/>
          <w:color w:val="auto"/>
        </w:rPr>
        <w:t>” shall mean the exercise price for each Share covered by an Option or the purchase price for each Share covered by any other Award.</w:t>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9"/>
          <w:szCs w:val="19"/>
          <w:color w:val="auto"/>
        </w:rPr>
        <w:t>2.17.</w:t>
        <w:tab/>
        <w:t>“</w:t>
      </w:r>
      <w:r>
        <w:rPr>
          <w:rFonts w:ascii="Times New Roman" w:cs="Times New Roman" w:eastAsia="Times New Roman" w:hAnsi="Times New Roman"/>
          <w:sz w:val="19"/>
          <w:szCs w:val="19"/>
          <w:b w:val="1"/>
          <w:bCs w:val="1"/>
          <w:color w:val="auto"/>
        </w:rPr>
        <w:t>Fair Market Value</w:t>
      </w:r>
      <w:r>
        <w:rPr>
          <w:rFonts w:ascii="Times New Roman" w:cs="Times New Roman" w:eastAsia="Times New Roman" w:hAnsi="Times New Roman"/>
          <w:sz w:val="19"/>
          <w:szCs w:val="19"/>
          <w:color w:val="auto"/>
        </w:rPr>
        <w:t>” shall mean, as of any date, the value of a Share or other securities, property or rights as determined by the</w:t>
      </w:r>
    </w:p>
    <w:p>
      <w:pPr>
        <w:spacing w:after="0" w:line="6"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Board, in its discretion, subject to the following: (i) if, on such date, the Shares are listed on any securities exchange, the average closing sales price per Share on which the Shares are principally traded over the thirty (30) day calendar period preceding the subject date</w:t>
      </w:r>
    </w:p>
    <w:p>
      <w:pPr>
        <w:spacing w:after="0" w:line="219" w:lineRule="auto"/>
        <w:rPr>
          <w:sz w:val="20"/>
          <w:szCs w:val="20"/>
          <w:color w:val="auto"/>
        </w:rPr>
      </w:pPr>
      <w:r>
        <w:rPr>
          <w:rFonts w:ascii="Times New Roman" w:cs="Times New Roman" w:eastAsia="Times New Roman" w:hAnsi="Times New Roman"/>
          <w:sz w:val="19"/>
          <w:szCs w:val="19"/>
          <w:color w:val="auto"/>
        </w:rPr>
        <w:t>(utilizing all trading days during such 30 calendar day period), as reported in The Wall Street Journal or such other source as the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Company deems reliable; (ii) if, on such date, the Shares are then quoted in an over-the-counter market, the average of the closing bid and asked prices for the Shares in that market during the thirty (30) day calendar period preceding the subject date (utilizing all trading</w:t>
      </w:r>
    </w:p>
    <w:p>
      <w:pPr>
        <w:spacing w:after="0" w:line="219" w:lineRule="auto"/>
        <w:rPr>
          <w:sz w:val="20"/>
          <w:szCs w:val="20"/>
          <w:color w:val="auto"/>
        </w:rPr>
      </w:pPr>
      <w:r>
        <w:rPr>
          <w:rFonts w:ascii="Times New Roman" w:cs="Times New Roman" w:eastAsia="Times New Roman" w:hAnsi="Times New Roman"/>
          <w:sz w:val="19"/>
          <w:szCs w:val="19"/>
          <w:color w:val="auto"/>
        </w:rPr>
        <w:t>days during such 30 calendar day period), as reported in The Wall Street Journal or such other source as the Company deems reliable; or</w:t>
      </w:r>
    </w:p>
    <w:p>
      <w:pPr>
        <w:spacing w:after="0" w:line="1" w:lineRule="exact"/>
        <w:rPr>
          <w:sz w:val="20"/>
          <w:szCs w:val="20"/>
          <w:color w:val="auto"/>
        </w:rPr>
      </w:pPr>
    </w:p>
    <w:p>
      <w:pPr>
        <w:jc w:val="both"/>
        <w:ind w:firstLine="1"/>
        <w:spacing w:after="0" w:line="216" w:lineRule="auto"/>
        <w:tabs>
          <w:tab w:leader="none" w:pos="35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on such date, the Shares are not then listed on a securities exchange or quoted in an over-the-counter market, or in case of any other securities, property or rights, such value as the Committee, in its sole discretion, shall determine, with full authority to determine the method for making such determination and which determination shall be conclusive and binding on all parties, and shall be made after such consultations with outside legal, accounting and other experts as the Committee may deem advisable; provided, however, that, if applicable, the Fair Market Value of the Shares shall be determined in a manner that is intended to satisfy the applicable requirements of and subject to Section 409A of the Code, and with respect to Incentive Stock Options, in a manner that is intended to satisfy the applicable requirements of and subject to Section 422 of the Code, subject to Section 422(c)(7) of the Code. The Committee shall maintain a written record of its method of determining such value. If the Shares are listed or quoted on more than one established stock exchange or over-the-counter market, the Committee shall determine the principal such exchange or market and utilize the price of the Shares on that exchange or market (determined as per the method described in clauses (i) or (ii) above, as applicable) for the purpose of determining Fair Market Value.</w:t>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9"/>
          <w:szCs w:val="19"/>
          <w:color w:val="auto"/>
        </w:rPr>
        <w:t>2.18.</w:t>
        <w:tab/>
        <w:t>“</w:t>
      </w:r>
      <w:r>
        <w:rPr>
          <w:rFonts w:ascii="Times New Roman" w:cs="Times New Roman" w:eastAsia="Times New Roman" w:hAnsi="Times New Roman"/>
          <w:sz w:val="19"/>
          <w:szCs w:val="19"/>
          <w:b w:val="1"/>
          <w:bCs w:val="1"/>
          <w:color w:val="auto"/>
        </w:rPr>
        <w:t>Grantee</w:t>
      </w:r>
      <w:r>
        <w:rPr>
          <w:rFonts w:ascii="Times New Roman" w:cs="Times New Roman" w:eastAsia="Times New Roman" w:hAnsi="Times New Roman"/>
          <w:sz w:val="19"/>
          <w:szCs w:val="19"/>
          <w:color w:val="auto"/>
        </w:rPr>
        <w:t>” shall mean a person who has been granted an Award(s) under this Plan.</w:t>
      </w:r>
    </w:p>
    <w:p>
      <w:pPr>
        <w:spacing w:after="0" w:line="5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2.19. “</w:t>
      </w:r>
      <w:r>
        <w:rPr>
          <w:rFonts w:ascii="Times New Roman" w:cs="Times New Roman" w:eastAsia="Times New Roman" w:hAnsi="Times New Roman"/>
          <w:sz w:val="19"/>
          <w:szCs w:val="19"/>
          <w:b w:val="1"/>
          <w:bCs w:val="1"/>
          <w:color w:val="auto"/>
        </w:rPr>
        <w:t>Ordinance</w:t>
      </w:r>
      <w:r>
        <w:rPr>
          <w:rFonts w:ascii="Times New Roman" w:cs="Times New Roman" w:eastAsia="Times New Roman" w:hAnsi="Times New Roman"/>
          <w:sz w:val="19"/>
          <w:szCs w:val="19"/>
          <w:color w:val="auto"/>
        </w:rPr>
        <w:t>” shall mean the Israeli Income Tax Ordinance (New Version) 1961, and the regulations and rules (including the Rules) promulgated thereunder, all as amended from time to time.</w:t>
      </w:r>
    </w:p>
    <w:p>
      <w:pPr>
        <w:spacing w:after="0" w:line="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9"/>
          <w:szCs w:val="19"/>
          <w:color w:val="auto"/>
        </w:rPr>
        <w:t>2.20.</w:t>
        <w:tab/>
        <w:t>“</w:t>
      </w:r>
      <w:r>
        <w:rPr>
          <w:rFonts w:ascii="Times New Roman" w:cs="Times New Roman" w:eastAsia="Times New Roman" w:hAnsi="Times New Roman"/>
          <w:sz w:val="19"/>
          <w:szCs w:val="19"/>
          <w:b w:val="1"/>
          <w:bCs w:val="1"/>
          <w:color w:val="auto"/>
        </w:rPr>
        <w:t>Parent</w:t>
      </w:r>
      <w:r>
        <w:rPr>
          <w:rFonts w:ascii="Times New Roman" w:cs="Times New Roman" w:eastAsia="Times New Roman" w:hAnsi="Times New Roman"/>
          <w:sz w:val="19"/>
          <w:szCs w:val="19"/>
          <w:color w:val="auto"/>
        </w:rPr>
        <w:t>” shall mean any company (other than the Company), which now exists or is hereafter organized, (i) in an unbroken</w:t>
      </w:r>
    </w:p>
    <w:p>
      <w:pPr>
        <w:spacing w:after="0" w:line="6"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chain of companies ending with the Company if, at the time of granting an Award, each of the companies (other than the Company) owns stock possessing fifty percent (50%) or more of the total combined voting power of all classes of stock in one of the other</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companies in such chain, or (ii) if applicable and for purposes of Incentive Stock Options, that is a “parent corporation” of the Company, as defined in Section 424(e) of the Code.</w:t>
      </w:r>
    </w:p>
    <w:p>
      <w:pPr>
        <w:spacing w:after="0" w:line="2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2.21. “</w:t>
      </w:r>
      <w:r>
        <w:rPr>
          <w:rFonts w:ascii="Times New Roman" w:cs="Times New Roman" w:eastAsia="Times New Roman" w:hAnsi="Times New Roman"/>
          <w:sz w:val="19"/>
          <w:szCs w:val="19"/>
          <w:b w:val="1"/>
          <w:bCs w:val="1"/>
          <w:color w:val="auto"/>
        </w:rPr>
        <w:t>Retirement</w:t>
      </w:r>
      <w:r>
        <w:rPr>
          <w:rFonts w:ascii="Times New Roman" w:cs="Times New Roman" w:eastAsia="Times New Roman" w:hAnsi="Times New Roman"/>
          <w:sz w:val="19"/>
          <w:szCs w:val="19"/>
          <w:color w:val="auto"/>
        </w:rPr>
        <w:t>” shall mean a Grantee’s retirement pursuant to Applicable Law or in accordance with the terms of any tax-qualified retirement plan maintained by the Company or any of its Affiliates in which the Grantee participates or is subject to.</w:t>
      </w:r>
    </w:p>
    <w:p>
      <w:pPr>
        <w:spacing w:after="0" w:line="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2.22. “</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shall mean the U.S. Securities Act of 1933, and the rules and regulations promulgated thereunder, all as amended from time to time.</w:t>
      </w:r>
    </w:p>
    <w:p>
      <w:pPr>
        <w:spacing w:after="0" w:line="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9"/>
          <w:szCs w:val="19"/>
          <w:color w:val="auto"/>
        </w:rPr>
        <w:t>2.23.</w:t>
        <w:tab/>
        <w:t>“</w:t>
      </w:r>
      <w:r>
        <w:rPr>
          <w:rFonts w:ascii="Times New Roman" w:cs="Times New Roman" w:eastAsia="Times New Roman" w:hAnsi="Times New Roman"/>
          <w:sz w:val="19"/>
          <w:szCs w:val="19"/>
          <w:b w:val="1"/>
          <w:bCs w:val="1"/>
          <w:color w:val="auto"/>
        </w:rPr>
        <w:t>Service Provider</w:t>
      </w:r>
      <w:r>
        <w:rPr>
          <w:rFonts w:ascii="Times New Roman" w:cs="Times New Roman" w:eastAsia="Times New Roman" w:hAnsi="Times New Roman"/>
          <w:sz w:val="19"/>
          <w:szCs w:val="19"/>
          <w:color w:val="auto"/>
        </w:rPr>
        <w:t>” shall mean an Employee, director, officer, consultant, advisor and any other person or entity who provides</w:t>
      </w:r>
    </w:p>
    <w:p>
      <w:pPr>
        <w:spacing w:after="0" w:line="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services to the Company or any Parent, Subsidiary or Affiliate thereof. Service Providers shall include prospective Service Providers to whom Awards are granted</w:t>
      </w:r>
    </w:p>
    <w:p>
      <w:pPr>
        <w:sectPr>
          <w:pgSz w:w="11900" w:h="16838" w:orient="portrait"/>
          <w:cols w:equalWidth="0" w:num="1">
            <w:col w:w="10600"/>
          </w:cols>
          <w:pgMar w:left="960" w:top="1242" w:right="339" w:bottom="1440" w:gutter="0" w:footer="0" w:header="0"/>
        </w:sectPr>
      </w:pPr>
    </w:p>
    <w:bookmarkStart w:id="170" w:name="page171"/>
    <w:bookmarkEnd w:id="170"/>
    <w:p>
      <w:pPr>
        <w:jc w:val="both"/>
        <w:spacing w:after="0" w:line="255" w:lineRule="auto"/>
        <w:rPr>
          <w:sz w:val="20"/>
          <w:szCs w:val="20"/>
          <w:color w:val="auto"/>
        </w:rPr>
      </w:pPr>
      <w:r>
        <w:rPr>
          <w:rFonts w:ascii="Times New Roman" w:cs="Times New Roman" w:eastAsia="Times New Roman" w:hAnsi="Times New Roman"/>
          <w:sz w:val="19"/>
          <w:szCs w:val="19"/>
          <w:color w:val="auto"/>
        </w:rPr>
        <w:t>in connection with written offers of an employment or other service relationship with the Company or any Parent, Subsidiary or any Affiliates thereof, provided, however, that such employment or service shall have actually commenced.</w:t>
      </w:r>
    </w:p>
    <w:p>
      <w:pPr>
        <w:spacing w:after="0" w:line="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2.24.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xml:space="preserve">” shall mean shares of Common Stock, of </w:t>
      </w:r>
      <w:r>
        <w:rPr>
          <w:rFonts w:ascii="Times New Roman" w:cs="Times New Roman" w:eastAsia="Times New Roman" w:hAnsi="Times New Roman"/>
          <w:sz w:val="19"/>
          <w:szCs w:val="19"/>
          <w:u w:val="single" w:color="auto"/>
          <w:color w:val="auto"/>
        </w:rPr>
        <w:t>US$ 0.001</w:t>
      </w:r>
      <w:r>
        <w:rPr>
          <w:rFonts w:ascii="Times New Roman" w:cs="Times New Roman" w:eastAsia="Times New Roman" w:hAnsi="Times New Roman"/>
          <w:sz w:val="19"/>
          <w:szCs w:val="19"/>
          <w:color w:val="auto"/>
        </w:rPr>
        <w:t xml:space="preserve"> par value of the Company (as adjusted for stock split, reverse stock split, bonus shares, combination or other recapitalization events), or shares of such other class of shares of the Company as shall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be designated by the Board in respect of the relevant Award(s). “Shares” include any securities, property or rights issued or distributed with respect thereto.</w:t>
      </w:r>
    </w:p>
    <w:p>
      <w:pPr>
        <w:spacing w:after="0" w:line="2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2.25.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shall mean any company (other than the Company), which now exists or is hereafter organized or acquired by the Company, (i) in an unbroken chain of companies beginning with the Company if, at the time of granting an Award, each of the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companies other than the last company in the unbroken chain owns stock possessing fifty percent (50%) or more of the total combined voting power of all classes of stock in one of the other companies in such chain, or (ii) if applicable and for purposes of Incentive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Options, that is a “subsidiary corporation” of the Company, as defined in Section 424(f) of the Code.</w:t>
      </w:r>
    </w:p>
    <w:p>
      <w:pPr>
        <w:spacing w:after="0" w:line="3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9"/>
          <w:szCs w:val="19"/>
          <w:color w:val="auto"/>
        </w:rPr>
        <w:t>2.26.</w:t>
        <w:tab/>
        <w:t>“</w:t>
      </w: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shall mean (a) all federal, state, local or foreign taxes, charges, fees, imposts, levies or other assessments, including all</w:t>
      </w:r>
    </w:p>
    <w:p>
      <w:pPr>
        <w:spacing w:after="0" w:line="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income, capital gains, alternative or add-on minimum, transfer, value added tax, real and personal property, withholding, payroll, employment, escheat, social security, disability, national security, health tax, wealth surtax, stamp, registration and estimated taxes,</w:t>
      </w:r>
    </w:p>
    <w:p>
      <w:pPr>
        <w:spacing w:after="0" w:line="219" w:lineRule="auto"/>
        <w:rPr>
          <w:sz w:val="20"/>
          <w:szCs w:val="20"/>
          <w:color w:val="auto"/>
        </w:rPr>
      </w:pPr>
      <w:r>
        <w:rPr>
          <w:rFonts w:ascii="Times New Roman" w:cs="Times New Roman" w:eastAsia="Times New Roman" w:hAnsi="Times New Roman"/>
          <w:sz w:val="19"/>
          <w:szCs w:val="19"/>
          <w:color w:val="auto"/>
        </w:rPr>
        <w:t>customs duties, fees, assessments and charges of any similar kind whatsoever (including under Section 280G of the Code) or other tax</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of any kind whatsoever, (b) all interest, indexation differentials, penalties, fines, additions to tax or additional amounts imposed by any taxing authority in connection with any item described in clause (a), (c) any transferee or successor liability in respect of any items</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described in clauses (a) or (b) payable by reason of contract, assumption, transferee liability, successor liability, operation of Applicable Law, or as a result of any express or implied obligation to assume Taxes or to indemnify any other person, and (d) any liability for the</w:t>
      </w:r>
    </w:p>
    <w:p>
      <w:pPr>
        <w:spacing w:after="0" w:line="219" w:lineRule="auto"/>
        <w:rPr>
          <w:sz w:val="20"/>
          <w:szCs w:val="20"/>
          <w:color w:val="auto"/>
        </w:rPr>
      </w:pPr>
      <w:r>
        <w:rPr>
          <w:rFonts w:ascii="Times New Roman" w:cs="Times New Roman" w:eastAsia="Times New Roman" w:hAnsi="Times New Roman"/>
          <w:sz w:val="19"/>
          <w:szCs w:val="19"/>
          <w:color w:val="auto"/>
        </w:rPr>
        <w:t>payment of any amounts of the type described in clause (a) or (b) payable as a result of being a member of an affiliated, consolidated,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combined, unitary or aggregate or other group for any taxable period, including under U.S. Treasury Regulations Section 1.1502-6(a) (or any predecessor or successor thereof of any analogous or similar provision under Law) or otherwise.</w:t>
      </w:r>
    </w:p>
    <w:p>
      <w:pPr>
        <w:spacing w:after="0" w:line="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2.27. “</w:t>
      </w:r>
      <w:r>
        <w:rPr>
          <w:rFonts w:ascii="Times New Roman" w:cs="Times New Roman" w:eastAsia="Times New Roman" w:hAnsi="Times New Roman"/>
          <w:sz w:val="19"/>
          <w:szCs w:val="19"/>
          <w:b w:val="1"/>
          <w:bCs w:val="1"/>
          <w:color w:val="auto"/>
        </w:rPr>
        <w:t>Ten Percent Stockholder</w:t>
      </w:r>
      <w:r>
        <w:rPr>
          <w:rFonts w:ascii="Times New Roman" w:cs="Times New Roman" w:eastAsia="Times New Roman" w:hAnsi="Times New Roman"/>
          <w:sz w:val="19"/>
          <w:szCs w:val="19"/>
          <w:color w:val="auto"/>
        </w:rPr>
        <w:t>” shall mean a Grantee who, at the time an Award is granted to the Grantee, owns stock possessing more than ten percent (10%) of the total combined voting power of all classes of stock of the Company or any Parent or Subsidiary, within the meaning of Section 422(b)(6) of the Code.</w:t>
      </w:r>
    </w:p>
    <w:p>
      <w:pPr>
        <w:spacing w:after="0" w:line="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2.28. “</w:t>
      </w:r>
      <w:r>
        <w:rPr>
          <w:rFonts w:ascii="Times New Roman" w:cs="Times New Roman" w:eastAsia="Times New Roman" w:hAnsi="Times New Roman"/>
          <w:sz w:val="19"/>
          <w:szCs w:val="19"/>
          <w:b w:val="1"/>
          <w:bCs w:val="1"/>
          <w:color w:val="auto"/>
        </w:rPr>
        <w:t>Trustee</w:t>
      </w:r>
      <w:r>
        <w:rPr>
          <w:rFonts w:ascii="Times New Roman" w:cs="Times New Roman" w:eastAsia="Times New Roman" w:hAnsi="Times New Roman"/>
          <w:sz w:val="19"/>
          <w:szCs w:val="19"/>
          <w:color w:val="auto"/>
        </w:rPr>
        <w:t>” shall mean the trustee appointed by the Committee to hold the Awards (and, in relation with 102 Trustee Awards, approved by the ITA), if so appointed.</w:t>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9"/>
          <w:szCs w:val="19"/>
          <w:color w:val="auto"/>
        </w:rPr>
        <w:t>2.29.</w:t>
      </w:r>
      <w:r>
        <w:rPr>
          <w:sz w:val="20"/>
          <w:szCs w:val="20"/>
          <w:color w:val="auto"/>
        </w:rPr>
        <w:tab/>
      </w:r>
      <w:r>
        <w:rPr>
          <w:rFonts w:ascii="Times New Roman" w:cs="Times New Roman" w:eastAsia="Times New Roman" w:hAnsi="Times New Roman"/>
          <w:sz w:val="19"/>
          <w:szCs w:val="19"/>
          <w:u w:val="single" w:color="auto"/>
          <w:color w:val="auto"/>
        </w:rPr>
        <w:t>Other Defined Terms</w:t>
      </w:r>
      <w:r>
        <w:rPr>
          <w:rFonts w:ascii="Times New Roman" w:cs="Times New Roman" w:eastAsia="Times New Roman" w:hAnsi="Times New Roman"/>
          <w:sz w:val="19"/>
          <w:szCs w:val="19"/>
          <w:color w:val="auto"/>
        </w:rPr>
        <w:t>. The following terms shall have the meanings ascribed to them in the Sections set forth below:</w:t>
      </w:r>
    </w:p>
    <w:p>
      <w:pPr>
        <w:sectPr>
          <w:pgSz w:w="11900" w:h="16838" w:orient="portrait"/>
          <w:cols w:equalWidth="0" w:num="1">
            <w:col w:w="10600"/>
          </w:cols>
          <w:pgMar w:left="960" w:top="1242" w:right="339" w:bottom="1440" w:gutter="0" w:footer="0" w:header="0"/>
        </w:sectPr>
      </w:pPr>
    </w:p>
    <w:bookmarkStart w:id="171" w:name="page172"/>
    <w:bookmarkEnd w:id="171"/>
    <w:tbl>
      <w:tblPr>
        <w:tblLayout w:type="fixed"/>
        <w:tblInd w:w="740" w:type="dxa"/>
        <w:tblCellMar>
          <w:top w:w="0" w:type="dxa"/>
          <w:left w:w="0" w:type="dxa"/>
          <w:bottom w:w="0" w:type="dxa"/>
          <w:right w:w="0" w:type="dxa"/>
        </w:tblCellMar>
      </w:tblP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Term</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b w:val="1"/>
                <w:bCs w:val="1"/>
                <w:color w:val="auto"/>
              </w:rPr>
              <w:t>Section</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102 Awards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1.2(i)</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102 Capital Gains Track Awards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9.1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102 Non-Trustee Awards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9.2</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102 Ordinary Income Track Awards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9.1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102 Trustee Awards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9.1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3(9) Awards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1.2(ii)</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Award Agreement</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6</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Cause</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6.6.4.4</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Company</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Effective Date</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24.1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Election</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9.2</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Eligible 102 Grantees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9.3.1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Incentive Stock Options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1.2(iii)</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Information</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16.4</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ITA</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1.2(i)</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Market Stand-Off</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17</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Market Stand-Off Period</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17</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Merger/Sale</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14.2</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Nonqualified Stock Options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1.2(iv)</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Plan</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Pool</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5.1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Prior Plans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5.2</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Recapitalization</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14.1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Required Holding Period</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9.5</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Restricted Period</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11.2</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Restricted Stock Agreement</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Restricted Stock Unit Agreement</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12</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Restricted Stock</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RSUs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Rules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1.2(i)</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Securities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17.1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Successor Corporation</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14.2.1</w:t>
            </w:r>
          </w:p>
        </w:tc>
      </w:tr>
      <w:tr>
        <w:trPr>
          <w:trHeight w:val="318"/>
        </w:trPr>
        <w:tc>
          <w:tcPr>
            <w:tcW w:w="4380" w:type="dxa"/>
            <w:vAlign w:val="bottom"/>
          </w:tcPr>
          <w:p>
            <w:pPr>
              <w:spacing w:after="0"/>
              <w:rPr>
                <w:sz w:val="20"/>
                <w:szCs w:val="20"/>
                <w:color w:val="auto"/>
              </w:rPr>
            </w:pPr>
            <w:r>
              <w:rPr>
                <w:rFonts w:ascii="Times New Roman" w:cs="Times New Roman" w:eastAsia="Times New Roman" w:hAnsi="Times New Roman"/>
                <w:sz w:val="19"/>
                <w:szCs w:val="19"/>
                <w:color w:val="auto"/>
              </w:rPr>
              <w:t>Withholding Obligations</w:t>
            </w:r>
          </w:p>
        </w:tc>
        <w:tc>
          <w:tcPr>
            <w:tcW w:w="218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18.5</w:t>
            </w:r>
          </w:p>
        </w:tc>
      </w:tr>
    </w:tbl>
    <w:p>
      <w:pPr>
        <w:spacing w:after="0" w:line="200" w:lineRule="exact"/>
        <w:rPr>
          <w:sz w:val="20"/>
          <w:szCs w:val="20"/>
          <w:color w:val="auto"/>
        </w:rPr>
      </w:pPr>
    </w:p>
    <w:p>
      <w:pPr>
        <w:spacing w:after="0" w:line="205" w:lineRule="exact"/>
        <w:rPr>
          <w:sz w:val="20"/>
          <w:szCs w:val="20"/>
          <w:color w:val="auto"/>
        </w:rPr>
      </w:pPr>
    </w:p>
    <w:p>
      <w:pPr>
        <w:ind w:left="340" w:hanging="334"/>
        <w:spacing w:after="0"/>
        <w:tabs>
          <w:tab w:leader="none" w:pos="34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ADMINISTRATION</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3.1. To the extent permitted under Applicable Law, the Certificate of Incorporation, Bylaws and any other governing document of the Company, this Plan shall be administered by the Committee. In the event that the Board does not appoint or establish a committee to administer</w:t>
      </w:r>
    </w:p>
    <w:p>
      <w:pPr>
        <w:spacing w:after="0" w:line="210" w:lineRule="auto"/>
        <w:rPr>
          <w:sz w:val="20"/>
          <w:szCs w:val="20"/>
          <w:color w:val="auto"/>
        </w:rPr>
      </w:pPr>
      <w:r>
        <w:rPr>
          <w:rFonts w:ascii="Times New Roman" w:cs="Times New Roman" w:eastAsia="Times New Roman" w:hAnsi="Times New Roman"/>
          <w:sz w:val="19"/>
          <w:szCs w:val="19"/>
          <w:color w:val="auto"/>
        </w:rPr>
        <w:t>this Plan, this Plan shall be administered by the Board, and, accordingly, any and all references herein to the Committee shall be construed as references to the Board. In the event that an action necessary for the administration of this Plan is required under Applicable Law to be taken by</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 Board without the right of delegation, or if such action or power was explicitly reserved by the Board in appointing, establishing and empowering the Committee, then such action shall be so taken by the Board. In any such event, all references herein to the Committee shall be</w:t>
      </w:r>
    </w:p>
    <w:p>
      <w:pPr>
        <w:spacing w:after="0" w:line="219" w:lineRule="auto"/>
        <w:rPr>
          <w:sz w:val="20"/>
          <w:szCs w:val="20"/>
          <w:color w:val="auto"/>
        </w:rPr>
      </w:pPr>
      <w:r>
        <w:rPr>
          <w:rFonts w:ascii="Times New Roman" w:cs="Times New Roman" w:eastAsia="Times New Roman" w:hAnsi="Times New Roman"/>
          <w:sz w:val="19"/>
          <w:szCs w:val="19"/>
          <w:color w:val="auto"/>
        </w:rPr>
        <w:t>construed as references to the Board. Even if such a Committee was appointed or established, the Board may take any actions that are stated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be vested in the Committee, and shall not be restricted or limited from exercising all rights, powers and authorities under this Plan or Applicable Law.</w:t>
      </w:r>
    </w:p>
    <w:p>
      <w:pPr>
        <w:spacing w:after="0" w:line="26"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3.2. The Board shall appoint the members of the Committee, may from time to time remove members from, or add members to, the Committee, and shall fill vacancies in the Committee, however caused, provided that the composition of the Committee shall at all times be in</w:t>
      </w:r>
    </w:p>
    <w:p>
      <w:pPr>
        <w:spacing w:after="0" w:line="210" w:lineRule="auto"/>
        <w:rPr>
          <w:sz w:val="20"/>
          <w:szCs w:val="20"/>
          <w:color w:val="auto"/>
        </w:rPr>
      </w:pPr>
      <w:r>
        <w:rPr>
          <w:rFonts w:ascii="Times New Roman" w:cs="Times New Roman" w:eastAsia="Times New Roman" w:hAnsi="Times New Roman"/>
          <w:sz w:val="19"/>
          <w:szCs w:val="19"/>
          <w:color w:val="auto"/>
        </w:rPr>
        <w:t>compliance with any mandatory requirements of Applicable Law, the Certificate of Incorporation, Bylaws and any other governing document of the Company. The Committee may select one of its members as its Chairman and shall hold its meetings at such times and places as it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determine. The Committee may appoint a</w:t>
      </w:r>
    </w:p>
    <w:p>
      <w:pPr>
        <w:sectPr>
          <w:pgSz w:w="11900" w:h="16838" w:orient="portrait"/>
          <w:cols w:equalWidth="0" w:num="1">
            <w:col w:w="11240"/>
          </w:cols>
          <w:pgMar w:left="320" w:top="1330" w:right="339" w:bottom="670" w:gutter="0" w:footer="0" w:header="0"/>
        </w:sectPr>
      </w:pPr>
    </w:p>
    <w:bookmarkStart w:id="172" w:name="page173"/>
    <w:bookmarkEnd w:id="172"/>
    <w:p>
      <w:pPr>
        <w:spacing w:after="0" w:line="255" w:lineRule="auto"/>
        <w:rPr>
          <w:sz w:val="20"/>
          <w:szCs w:val="20"/>
          <w:color w:val="auto"/>
        </w:rPr>
      </w:pPr>
      <w:r>
        <w:rPr>
          <w:rFonts w:ascii="Times New Roman" w:cs="Times New Roman" w:eastAsia="Times New Roman" w:hAnsi="Times New Roman"/>
          <w:sz w:val="19"/>
          <w:szCs w:val="19"/>
          <w:color w:val="auto"/>
        </w:rPr>
        <w:t>Secretary, who shall keep records of its meetings, and shall make such rules and regulations for the conduct of its business as it shall deem advisable and subject to mandatory requirements of Applicable Law.</w:t>
      </w:r>
    </w:p>
    <w:p>
      <w:pPr>
        <w:spacing w:after="0" w:line="12"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3.3. Subject to the terms and conditions of this Plan, any mandatory provisions of Applicable Law and any provisions of any Company policy required under mandatory provisions of Applicable Law, and in addition to the Committee’s powers contained elsewhere in this Plan, the</w:t>
      </w:r>
    </w:p>
    <w:p>
      <w:pPr>
        <w:spacing w:after="0" w:line="228" w:lineRule="auto"/>
        <w:rPr>
          <w:sz w:val="20"/>
          <w:szCs w:val="20"/>
          <w:color w:val="auto"/>
        </w:rPr>
      </w:pPr>
      <w:r>
        <w:rPr>
          <w:rFonts w:ascii="Times New Roman" w:cs="Times New Roman" w:eastAsia="Times New Roman" w:hAnsi="Times New Roman"/>
          <w:sz w:val="19"/>
          <w:szCs w:val="19"/>
          <w:color w:val="auto"/>
        </w:rPr>
        <w:t>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26" w:lineRule="exact"/>
        <w:rPr>
          <w:sz w:val="20"/>
          <w:szCs w:val="20"/>
          <w:color w:val="auto"/>
        </w:rPr>
      </w:pPr>
    </w:p>
    <w:p>
      <w:pPr>
        <w:ind w:left="1660" w:hanging="384"/>
        <w:spacing w:after="0"/>
        <w:tabs>
          <w:tab w:leader="none" w:pos="166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eligible Grantees,</w:t>
      </w:r>
    </w:p>
    <w:p>
      <w:pPr>
        <w:spacing w:after="0" w:line="59" w:lineRule="exact"/>
        <w:rPr>
          <w:rFonts w:ascii="Times New Roman" w:cs="Times New Roman" w:eastAsia="Times New Roman" w:hAnsi="Times New Roman"/>
          <w:sz w:val="19"/>
          <w:szCs w:val="19"/>
          <w:color w:val="auto"/>
        </w:rPr>
      </w:pPr>
    </w:p>
    <w:p>
      <w:pPr>
        <w:jc w:val="both"/>
        <w:ind w:left="640" w:right="1260" w:firstLine="636"/>
        <w:spacing w:after="0" w:line="237" w:lineRule="auto"/>
        <w:tabs>
          <w:tab w:leader="none" w:pos="1714"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grants of Awards and setting the terms and provisions of Award Agreements (which need not be identical) and any other agreements or instruments under which Awards are made, including the number of Shares underlying each Award and the class of Shares underlying each Award (if more than one class was designated by the Board),</w:t>
      </w:r>
    </w:p>
    <w:p>
      <w:pPr>
        <w:spacing w:after="0" w:line="27" w:lineRule="exact"/>
        <w:rPr>
          <w:rFonts w:ascii="Times New Roman" w:cs="Times New Roman" w:eastAsia="Times New Roman" w:hAnsi="Times New Roman"/>
          <w:sz w:val="19"/>
          <w:szCs w:val="19"/>
          <w:color w:val="auto"/>
        </w:rPr>
      </w:pPr>
    </w:p>
    <w:p>
      <w:pPr>
        <w:ind w:left="1760" w:hanging="484"/>
        <w:spacing w:after="0"/>
        <w:tabs>
          <w:tab w:leader="none" w:pos="176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time or times at which Awards shall be granted,</w:t>
      </w:r>
    </w:p>
    <w:p>
      <w:pPr>
        <w:spacing w:after="0" w:line="59" w:lineRule="exact"/>
        <w:rPr>
          <w:rFonts w:ascii="Times New Roman" w:cs="Times New Roman" w:eastAsia="Times New Roman" w:hAnsi="Times New Roman"/>
          <w:sz w:val="19"/>
          <w:szCs w:val="19"/>
          <w:color w:val="auto"/>
        </w:rPr>
      </w:pPr>
    </w:p>
    <w:p>
      <w:pPr>
        <w:jc w:val="both"/>
        <w:ind w:left="640" w:right="1260" w:firstLine="636"/>
        <w:spacing w:after="0"/>
        <w:tabs>
          <w:tab w:leader="none" w:pos="183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conditions and restrictions applicable to each Award (which need not be identical) and any Shares acquired upon the exercise or (if applicable) vesting thereof, including (1) designating Awards under Section 1.2; (2) the vesting schedule, the acceleration thereof and terms and conditions upon which Awards may be exercised or become vested, (3) the Exercise Price, (4) the method of payment for Shares purchased upon the exercise or (if applicable) vesting of the Awards, (5) the method for satisfaction of any tax withholding obligation arising in connection with the Awards or such Shares, including by the withholding or delivery of Shares, (6) the time of the expiration of the Awards, (7) the effect of the Grantee’s termination of employment with the Company or any of its Affiliates, and (8) all other terms, conditions and restrictions applicable to the Award or the Shares not inconsistent with the terms of this Plan,</w:t>
      </w:r>
    </w:p>
    <w:p>
      <w:pPr>
        <w:spacing w:after="0" w:line="78" w:lineRule="exact"/>
        <w:rPr>
          <w:rFonts w:ascii="Times New Roman" w:cs="Times New Roman" w:eastAsia="Times New Roman" w:hAnsi="Times New Roman"/>
          <w:sz w:val="19"/>
          <w:szCs w:val="19"/>
          <w:color w:val="auto"/>
        </w:rPr>
      </w:pPr>
    </w:p>
    <w:p>
      <w:pPr>
        <w:ind w:left="640" w:right="1260" w:firstLine="636"/>
        <w:spacing w:after="0" w:line="255" w:lineRule="auto"/>
        <w:tabs>
          <w:tab w:leader="none" w:pos="1751"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accelerate, continue, extend or defer the exercisability of any Award or the vesting thereof, including with respect to the period following a Grantee’s termination of employment or other service,</w:t>
      </w:r>
    </w:p>
    <w:p>
      <w:pPr>
        <w:spacing w:after="0" w:line="12" w:lineRule="exact"/>
        <w:rPr>
          <w:rFonts w:ascii="Times New Roman" w:cs="Times New Roman" w:eastAsia="Times New Roman" w:hAnsi="Times New Roman"/>
          <w:sz w:val="19"/>
          <w:szCs w:val="19"/>
          <w:color w:val="auto"/>
        </w:rPr>
      </w:pPr>
    </w:p>
    <w:p>
      <w:pPr>
        <w:ind w:left="640" w:right="1260" w:firstLine="636"/>
        <w:spacing w:after="0" w:line="241" w:lineRule="auto"/>
        <w:tabs>
          <w:tab w:leader="none" w:pos="1752"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interpretation of this Plan and any Award Agreement and the meaning, interpretation and applicability of terms referred to in Applicable Law,</w:t>
      </w:r>
    </w:p>
    <w:p>
      <w:pPr>
        <w:spacing w:after="0" w:line="24" w:lineRule="exact"/>
        <w:rPr>
          <w:rFonts w:ascii="Times New Roman" w:cs="Times New Roman" w:eastAsia="Times New Roman" w:hAnsi="Times New Roman"/>
          <w:sz w:val="19"/>
          <w:szCs w:val="19"/>
          <w:color w:val="auto"/>
        </w:rPr>
      </w:pPr>
    </w:p>
    <w:p>
      <w:pPr>
        <w:ind w:left="640" w:right="1260" w:firstLine="636"/>
        <w:spacing w:after="0" w:line="255" w:lineRule="auto"/>
        <w:tabs>
          <w:tab w:leader="none" w:pos="1823"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policies, guidelines, rules and regulations relating to and for carrying out this Plan, and any amendment, supplement or rescission thereof, as it may deem appropriate,</w:t>
      </w:r>
    </w:p>
    <w:p>
      <w:pPr>
        <w:spacing w:after="0" w:line="12" w:lineRule="exact"/>
        <w:rPr>
          <w:rFonts w:ascii="Times New Roman" w:cs="Times New Roman" w:eastAsia="Times New Roman" w:hAnsi="Times New Roman"/>
          <w:sz w:val="19"/>
          <w:szCs w:val="19"/>
          <w:color w:val="auto"/>
        </w:rPr>
      </w:pPr>
    </w:p>
    <w:p>
      <w:pPr>
        <w:jc w:val="both"/>
        <w:ind w:left="640" w:right="1260" w:firstLine="636"/>
        <w:spacing w:after="0" w:line="233" w:lineRule="auto"/>
        <w:tabs>
          <w:tab w:leader="none" w:pos="1896"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adopt supplements to, or alternative versions of, this Plan, including, without limitation, as it deems necessary or desirable to comply with the laws of, or to accommodate the tax regime or custom of, foreign jurisdictions whose citizens or residents may be granted Awards,</w:t>
      </w:r>
    </w:p>
    <w:p>
      <w:pPr>
        <w:spacing w:after="0" w:line="25" w:lineRule="exact"/>
        <w:rPr>
          <w:rFonts w:ascii="Times New Roman" w:cs="Times New Roman" w:eastAsia="Times New Roman" w:hAnsi="Times New Roman"/>
          <w:sz w:val="19"/>
          <w:szCs w:val="19"/>
          <w:color w:val="auto"/>
        </w:rPr>
      </w:pPr>
    </w:p>
    <w:p>
      <w:pPr>
        <w:ind w:left="1760" w:hanging="484"/>
        <w:spacing w:after="0"/>
        <w:tabs>
          <w:tab w:leader="none" w:pos="176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Fair Market Value of the Shares or other securities, property or rights,</w:t>
      </w:r>
    </w:p>
    <w:p>
      <w:pPr>
        <w:spacing w:after="0" w:line="59" w:lineRule="exact"/>
        <w:rPr>
          <w:rFonts w:ascii="Times New Roman" w:cs="Times New Roman" w:eastAsia="Times New Roman" w:hAnsi="Times New Roman"/>
          <w:sz w:val="19"/>
          <w:szCs w:val="19"/>
          <w:color w:val="auto"/>
        </w:rPr>
      </w:pPr>
    </w:p>
    <w:p>
      <w:pPr>
        <w:ind w:left="640" w:right="1260" w:firstLine="636"/>
        <w:spacing w:after="0" w:line="255" w:lineRule="auto"/>
        <w:tabs>
          <w:tab w:leader="none" w:pos="169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tax track (capital gains, ordinary income track or any other track available under the Section 102 of the Ordinance) for the purpose of 102 Awards,</w:t>
      </w:r>
    </w:p>
    <w:p>
      <w:pPr>
        <w:spacing w:after="0" w:line="12" w:lineRule="exact"/>
        <w:rPr>
          <w:rFonts w:ascii="Times New Roman" w:cs="Times New Roman" w:eastAsia="Times New Roman" w:hAnsi="Times New Roman"/>
          <w:sz w:val="19"/>
          <w:szCs w:val="19"/>
          <w:color w:val="auto"/>
        </w:rPr>
      </w:pPr>
    </w:p>
    <w:p>
      <w:pPr>
        <w:ind w:left="640" w:right="1260" w:firstLine="636"/>
        <w:spacing w:after="0" w:line="255" w:lineRule="auto"/>
        <w:tabs>
          <w:tab w:leader="none" w:pos="189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authorization and approval of conversion, substitution, cancellation or suspension under and in accordance with this Plan of any or all Awards or Shares,</w:t>
      </w:r>
    </w:p>
    <w:p>
      <w:pPr>
        <w:spacing w:after="0" w:line="12" w:lineRule="exact"/>
        <w:rPr>
          <w:rFonts w:ascii="Times New Roman" w:cs="Times New Roman" w:eastAsia="Times New Roman" w:hAnsi="Times New Roman"/>
          <w:sz w:val="19"/>
          <w:szCs w:val="19"/>
          <w:color w:val="auto"/>
        </w:rPr>
      </w:pPr>
    </w:p>
    <w:p>
      <w:pPr>
        <w:jc w:val="both"/>
        <w:ind w:left="640" w:right="1260" w:firstLine="636"/>
        <w:spacing w:after="0" w:line="229" w:lineRule="auto"/>
        <w:tabs>
          <w:tab w:leader="none" w:pos="1862"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amendment, modification, waiver or supplement of the terms of each outstanding Award (with the consent of the applicable Grantee, if such amendments refers to the increase of the Exercise Price of Awards or reduction of the number of Shared underlying an Award (but, in each case, other than as a result of an adjustment or exercise of rights in accordance with Section 14)) unless otherwise provided under the terms of this Plan,</w:t>
      </w:r>
    </w:p>
    <w:p>
      <w:pPr>
        <w:spacing w:after="0" w:line="26" w:lineRule="exact"/>
        <w:rPr>
          <w:rFonts w:ascii="Times New Roman" w:cs="Times New Roman" w:eastAsia="Times New Roman" w:hAnsi="Times New Roman"/>
          <w:sz w:val="19"/>
          <w:szCs w:val="19"/>
          <w:color w:val="auto"/>
        </w:rPr>
      </w:pPr>
    </w:p>
    <w:p>
      <w:pPr>
        <w:jc w:val="both"/>
        <w:ind w:left="640" w:right="1260" w:firstLine="636"/>
        <w:spacing w:after="0" w:line="227" w:lineRule="auto"/>
        <w:tabs>
          <w:tab w:leader="none" w:pos="1941"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and subject to the provisions of Applicable Law, to grant to a Grantee, who is the holder of an outstanding Award, in exchange for the cancellation of such Award, a new Award having an Exercise Price lower than that provided in the Award so canceled and containing such other terms and conditions as the Committee may prescribe in accordance with the provisions of this Plan or to set a new Exercise Price for the same Award lower than that previously provided in the Award,</w:t>
      </w:r>
    </w:p>
    <w:p>
      <w:pPr>
        <w:sectPr>
          <w:pgSz w:w="11900" w:h="16838" w:orient="portrait"/>
          <w:cols w:equalWidth="0" w:num="1">
            <w:col w:w="11240"/>
          </w:cols>
          <w:pgMar w:left="320" w:top="1242" w:right="339" w:bottom="1440" w:gutter="0" w:footer="0" w:header="0"/>
        </w:sectPr>
      </w:pPr>
    </w:p>
    <w:bookmarkStart w:id="173" w:name="page174"/>
    <w:bookmarkEnd w:id="173"/>
    <w:p>
      <w:pPr>
        <w:jc w:val="both"/>
        <w:ind w:left="640" w:right="1260" w:firstLine="636"/>
        <w:spacing w:after="0" w:line="237" w:lineRule="auto"/>
        <w:tabs>
          <w:tab w:leader="none" w:pos="1931"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correct any defect, supply any omission or reconcile any inconsistency in this Plan or any Award Agreement and all other determinations and take such other actions with respect to this Plan or any Award as it may deem advisable to the extent not inconsistent with the provisions of this Plan or Applicable Law, and</w:t>
      </w:r>
    </w:p>
    <w:p>
      <w:pPr>
        <w:spacing w:after="0" w:line="27" w:lineRule="exact"/>
        <w:rPr>
          <w:rFonts w:ascii="Times New Roman" w:cs="Times New Roman" w:eastAsia="Times New Roman" w:hAnsi="Times New Roman"/>
          <w:sz w:val="19"/>
          <w:szCs w:val="19"/>
          <w:color w:val="auto"/>
        </w:rPr>
      </w:pPr>
    </w:p>
    <w:p>
      <w:pPr>
        <w:ind w:left="640" w:right="1260" w:firstLine="636"/>
        <w:spacing w:after="0" w:line="255" w:lineRule="auto"/>
        <w:tabs>
          <w:tab w:leader="none" w:pos="182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matter which is necessary or desirable for, or incidental to, the administration of this Plan and any Award thereunder.</w:t>
      </w:r>
    </w:p>
    <w:p>
      <w:pPr>
        <w:spacing w:after="0" w:line="12"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3.4. The authority granted hereunder includes the authority to modify Awards to eligible individuals who are foreign nationals or are individuals who are employed outside Israel or the United States of America to recognize differences in local law, tax policy or custom, in order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effectuate the purposes of this Plan but without amending this Plan.</w:t>
      </w:r>
    </w:p>
    <w:p>
      <w:pPr>
        <w:spacing w:after="0" w:line="37"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9"/>
          <w:szCs w:val="19"/>
          <w:color w:val="auto"/>
        </w:rPr>
        <w:t>3.5.</w:t>
        <w:tab/>
        <w:t>The Board and the Committee shall be free at all times to make such determinations and take such actions as they deem fit. The</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Board and the Committee need not take the same action or determination with respect to all Awards, with respect to certain types of Awards, with respect to all Service Providers or any certain type of Service Providers and actions and determinations may differ as among the Grantees,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as between the Grantees and any other holders of securities of the Company.</w:t>
      </w:r>
    </w:p>
    <w:p>
      <w:pPr>
        <w:spacing w:after="0" w:line="37"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9"/>
          <w:szCs w:val="19"/>
          <w:color w:val="auto"/>
        </w:rPr>
        <w:t>3.6.</w:t>
        <w:tab/>
        <w:t>All decisions, determinations, and interpretations of the Committee, the Board and the Company under this Plan shall be final and</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binding on all Grantees (whether before or after the issuance of Shares pursuant to Awards), unless otherwise determined by the Committee, the Board or the Company, respectively. The Committee shall have the authority (but not the obligation) to determine the interpretation and</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applicability of Applicable Law to any Grantee or any Awards. No member of the Committee or the Board shall be liable to any Grantee for any action taken or determination made in good faith with respect to this Plan or any Award granted hereunder.</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3.7. Any officer or authorized signatory of the Company shall have the authority to act on behalf of the Company with respect to any matter, right, obligation, determination or election which is the responsibility of or which is allocated to the Company herein, provided such</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person has apparent authority with respect to such matter, right, obligation, determination or election. Such person or authorized signatory shall not be liable to any Grantee for any action taken or determination made in good faith with respect to this Plan or any Award granted hereunder.</w:t>
      </w:r>
    </w:p>
    <w:p>
      <w:pPr>
        <w:spacing w:after="0" w:line="23" w:lineRule="exact"/>
        <w:rPr>
          <w:sz w:val="20"/>
          <w:szCs w:val="20"/>
          <w:color w:val="auto"/>
        </w:rPr>
      </w:pPr>
    </w:p>
    <w:p>
      <w:pPr>
        <w:ind w:left="340" w:hanging="334"/>
        <w:spacing w:after="0"/>
        <w:tabs>
          <w:tab w:leader="none" w:pos="34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ELIGIBILITY</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Awards may be granted to Service Providers of the Company or any Affiliate thereof, taking into account, at the Committee’s discretion and without an obligation to do so, the qualification under each tax regime pursuant to which such Awards are granted, subject to the limitation on</w:t>
      </w:r>
    </w:p>
    <w:p>
      <w:pPr>
        <w:spacing w:after="0" w:line="219" w:lineRule="auto"/>
        <w:rPr>
          <w:sz w:val="20"/>
          <w:szCs w:val="20"/>
          <w:color w:val="auto"/>
        </w:rPr>
      </w:pPr>
      <w:r>
        <w:rPr>
          <w:rFonts w:ascii="Times New Roman" w:cs="Times New Roman" w:eastAsia="Times New Roman" w:hAnsi="Times New Roman"/>
          <w:sz w:val="19"/>
          <w:szCs w:val="19"/>
          <w:color w:val="auto"/>
        </w:rPr>
        <w:t>the granting of Incentive Stock Options set forth in Section 8.1. A person who has been granted an Award hereunder may be granted additional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Awards, if the Committee shall so determine, subject to the limitations herein. However, eligibility in accordance with this Section 4 shall not entitle any person to be granted an Award, or, having been granted an Award, to be granted an additional Award.</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Awards may differ in number of Shares covered thereby, the terms and conditions applying to them or on the Grantees or in any other respect (including, that there should not be any expectation (and it is hereby disclaimed) that a certain treatment, interpretation or position granted to one shall be applied to the other, regardless of whether or not the facts or circumstances are the same or similar).</w:t>
      </w:r>
    </w:p>
    <w:p>
      <w:pPr>
        <w:spacing w:after="0" w:line="24" w:lineRule="exact"/>
        <w:rPr>
          <w:sz w:val="20"/>
          <w:szCs w:val="20"/>
          <w:color w:val="auto"/>
        </w:rPr>
      </w:pPr>
    </w:p>
    <w:p>
      <w:pPr>
        <w:ind w:left="340" w:hanging="334"/>
        <w:spacing w:after="0"/>
        <w:tabs>
          <w:tab w:leader="none" w:pos="34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SHARES</w:t>
      </w:r>
      <w:r>
        <w:rPr>
          <w:rFonts w:ascii="Times New Roman" w:cs="Times New Roman" w:eastAsia="Times New Roman" w:hAnsi="Times New Roman"/>
          <w:sz w:val="19"/>
          <w:szCs w:val="19"/>
          <w:color w:val="auto"/>
        </w:rPr>
        <w:t>.</w:t>
      </w:r>
    </w:p>
    <w:p>
      <w:pPr>
        <w:spacing w:after="0" w:line="48"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9"/>
          <w:szCs w:val="19"/>
          <w:color w:val="auto"/>
        </w:rPr>
        <w:t>5.1.</w:t>
        <w:tab/>
        <w:t>The maximum aggregate number of Shares that may be issued pursuant to Awards under this Plan (the “</w:t>
      </w:r>
      <w:r>
        <w:rPr>
          <w:rFonts w:ascii="Times New Roman" w:cs="Times New Roman" w:eastAsia="Times New Roman" w:hAnsi="Times New Roman"/>
          <w:sz w:val="19"/>
          <w:szCs w:val="19"/>
          <w:b w:val="1"/>
          <w:bCs w:val="1"/>
          <w:color w:val="auto"/>
        </w:rPr>
        <w:t>Pool</w:t>
      </w:r>
      <w:r>
        <w:rPr>
          <w:rFonts w:ascii="Times New Roman" w:cs="Times New Roman" w:eastAsia="Times New Roman" w:hAnsi="Times New Roman"/>
          <w:sz w:val="19"/>
          <w:szCs w:val="19"/>
          <w:color w:val="auto"/>
        </w:rPr>
        <w:t>”) shall initially be</w:t>
      </w:r>
    </w:p>
    <w:p>
      <w:pPr>
        <w:spacing w:after="0" w:line="218" w:lineRule="auto"/>
        <w:rPr>
          <w:sz w:val="20"/>
          <w:szCs w:val="20"/>
          <w:color w:val="auto"/>
        </w:rPr>
      </w:pPr>
      <w:r>
        <w:rPr>
          <w:rFonts w:ascii="Times New Roman" w:cs="Times New Roman" w:eastAsia="Times New Roman" w:hAnsi="Times New Roman"/>
          <w:sz w:val="19"/>
          <w:szCs w:val="19"/>
          <w:b w:val="1"/>
          <w:bCs w:val="1"/>
          <w:u w:val="single" w:color="auto"/>
          <w:color w:val="auto"/>
        </w:rPr>
        <w:t>752,688</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authorized but unissued Shares (except and as adjusted pursuant to Section 14.1 of this Plan), or such other number as the Board may</w:t>
      </w:r>
    </w:p>
    <w:p>
      <w:pPr>
        <w:spacing w:after="0" w:line="218" w:lineRule="auto"/>
        <w:rPr>
          <w:sz w:val="20"/>
          <w:szCs w:val="20"/>
          <w:color w:val="auto"/>
        </w:rPr>
      </w:pPr>
      <w:r>
        <w:rPr>
          <w:rFonts w:ascii="Times New Roman" w:cs="Times New Roman" w:eastAsia="Times New Roman" w:hAnsi="Times New Roman"/>
          <w:sz w:val="19"/>
          <w:szCs w:val="19"/>
          <w:color w:val="auto"/>
        </w:rPr>
        <w:t>determine from time to time (without the need to amend the Plan in case of such determination). However, except as adjusted pursuant to</w:t>
      </w:r>
    </w:p>
    <w:p>
      <w:pPr>
        <w:ind w:right="20"/>
        <w:spacing w:after="0" w:line="228" w:lineRule="auto"/>
        <w:rPr>
          <w:sz w:val="20"/>
          <w:szCs w:val="20"/>
          <w:color w:val="auto"/>
        </w:rPr>
      </w:pPr>
      <w:r>
        <w:rPr>
          <w:rFonts w:ascii="Times New Roman" w:cs="Times New Roman" w:eastAsia="Times New Roman" w:hAnsi="Times New Roman"/>
          <w:sz w:val="19"/>
          <w:szCs w:val="19"/>
          <w:color w:val="auto"/>
        </w:rPr>
        <w:t>Section 14.1, in no event shall more than such number of Shares constituting the Pool, as adjusted in accordance with Section 5.2, be available for issuance pursuant to the exercise of Incentive Stock Options.</w:t>
      </w:r>
    </w:p>
    <w:p>
      <w:pPr>
        <w:spacing w:after="0" w:line="26"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5.2. Any Shares (a) underlying an Award granted hereunder that has expired, or was cancelled, terminated, forfeited or settled in cash in lieu of issuance of Shares, for any reason, without having been exercised; (b) if permitted by the Company, tendered to pay the Exercise Price of</w:t>
      </w:r>
    </w:p>
    <w:p>
      <w:pPr>
        <w:spacing w:after="0" w:line="210" w:lineRule="auto"/>
        <w:rPr>
          <w:sz w:val="20"/>
          <w:szCs w:val="20"/>
          <w:color w:val="auto"/>
        </w:rPr>
      </w:pPr>
      <w:r>
        <w:rPr>
          <w:rFonts w:ascii="Times New Roman" w:cs="Times New Roman" w:eastAsia="Times New Roman" w:hAnsi="Times New Roman"/>
          <w:sz w:val="19"/>
          <w:szCs w:val="19"/>
          <w:color w:val="auto"/>
        </w:rPr>
        <w:t>an Award, or withholding tax obligations with respect to an Award; or (c) if permitted by the Company, subject to an Award that are not delivered to a Grantee because such Shares are withheld to pay the Exercise Price of such Award, or withholding tax obligations with respect to</w:t>
      </w:r>
    </w:p>
    <w:p>
      <w:pPr>
        <w:spacing w:after="0" w:line="219" w:lineRule="auto"/>
        <w:rPr>
          <w:sz w:val="20"/>
          <w:szCs w:val="20"/>
          <w:color w:val="auto"/>
        </w:rPr>
      </w:pPr>
      <w:r>
        <w:rPr>
          <w:rFonts w:ascii="Times New Roman" w:cs="Times New Roman" w:eastAsia="Times New Roman" w:hAnsi="Times New Roman"/>
          <w:sz w:val="19"/>
          <w:szCs w:val="19"/>
          <w:color w:val="auto"/>
        </w:rPr>
        <w:t>such Award (or such other award); shall automatically, and without any further action on the part of the Company or any Grantee, again be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available for grant of Awards and Shares issued upon exercise of (if applicable) vesting thereof for the purposes of this Plan (unless this Plan shall have been terminated) or unless the Board determines otherwise. Such Shares may, in whole or in part, be authorized but unissued Shares,</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treasury shares (dormant shares) or Shares otherwise that shall have been or may be repurchased by the Company (to the extent permitted pursuant to the Companies Law).</w:t>
      </w:r>
    </w:p>
    <w:p>
      <w:pPr>
        <w:spacing w:after="0" w:line="27" w:lineRule="exact"/>
        <w:rPr>
          <w:sz w:val="20"/>
          <w:szCs w:val="20"/>
          <w:color w:val="auto"/>
        </w:rPr>
      </w:pPr>
    </w:p>
    <w:p>
      <w:pPr>
        <w:ind w:firstLine="500"/>
        <w:spacing w:after="0" w:line="241" w:lineRule="auto"/>
        <w:rPr>
          <w:sz w:val="20"/>
          <w:szCs w:val="20"/>
          <w:color w:val="auto"/>
        </w:rPr>
      </w:pPr>
      <w:r>
        <w:rPr>
          <w:rFonts w:ascii="Times New Roman" w:cs="Times New Roman" w:eastAsia="Times New Roman" w:hAnsi="Times New Roman"/>
          <w:sz w:val="19"/>
          <w:szCs w:val="19"/>
          <w:color w:val="auto"/>
        </w:rPr>
        <w:t>5.3. Any Shares under the Pool that are not subject to outstanding or exercised Awards at the termination of this Plan shall cease to be reserved for the purpose of this Plan.</w:t>
      </w:r>
    </w:p>
    <w:p>
      <w:pPr>
        <w:sectPr>
          <w:pgSz w:w="11900" w:h="16838" w:orient="portrait"/>
          <w:cols w:equalWidth="0" w:num="1">
            <w:col w:w="11240"/>
          </w:cols>
          <w:pgMar w:left="320" w:top="1242" w:right="339" w:bottom="1440" w:gutter="0" w:footer="0" w:header="0"/>
        </w:sectPr>
      </w:pPr>
    </w:p>
    <w:bookmarkStart w:id="174" w:name="page175"/>
    <w:bookmarkEnd w:id="174"/>
    <w:p>
      <w:pPr>
        <w:ind w:left="340" w:hanging="334"/>
        <w:spacing w:after="0"/>
        <w:tabs>
          <w:tab w:leader="none" w:pos="34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TERMS AND CONDITIONS OF AWARDS</w:t>
      </w:r>
      <w:r>
        <w:rPr>
          <w:rFonts w:ascii="Times New Roman" w:cs="Times New Roman" w:eastAsia="Times New Roman" w:hAnsi="Times New Roman"/>
          <w:sz w:val="19"/>
          <w:szCs w:val="19"/>
          <w:color w:val="auto"/>
        </w:rPr>
        <w:t>.</w:t>
      </w:r>
    </w:p>
    <w:p>
      <w:pPr>
        <w:spacing w:after="0" w:line="7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Each Award granted pursuant to this Plan shall be evidenced by a written or electronic agreement between the Company and the Grantee or a written or electronic notice delivered by the Company (the “</w:t>
      </w:r>
      <w:r>
        <w:rPr>
          <w:rFonts w:ascii="Times New Roman" w:cs="Times New Roman" w:eastAsia="Times New Roman" w:hAnsi="Times New Roman"/>
          <w:sz w:val="19"/>
          <w:szCs w:val="19"/>
          <w:b w:val="1"/>
          <w:bCs w:val="1"/>
          <w:color w:val="auto"/>
        </w:rPr>
        <w:t>Award Agreement</w:t>
      </w:r>
      <w:r>
        <w:rPr>
          <w:rFonts w:ascii="Times New Roman" w:cs="Times New Roman" w:eastAsia="Times New Roman" w:hAnsi="Times New Roman"/>
          <w:sz w:val="19"/>
          <w:szCs w:val="19"/>
          <w:color w:val="auto"/>
        </w:rPr>
        <w:t>”), in substantially such form or forms and containing such</w:t>
      </w:r>
    </w:p>
    <w:p>
      <w:pPr>
        <w:spacing w:after="0" w:line="219" w:lineRule="auto"/>
        <w:rPr>
          <w:sz w:val="20"/>
          <w:szCs w:val="20"/>
          <w:color w:val="auto"/>
        </w:rPr>
      </w:pPr>
      <w:r>
        <w:rPr>
          <w:rFonts w:ascii="Times New Roman" w:cs="Times New Roman" w:eastAsia="Times New Roman" w:hAnsi="Times New Roman"/>
          <w:sz w:val="19"/>
          <w:szCs w:val="19"/>
          <w:color w:val="auto"/>
        </w:rPr>
        <w:t>terms and conditions, as the Committee shall from time to time approve. The Award Agreement shall comply with and be subject to the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following general terms and conditions and the provisions of this Plan (except for any provisions applying to Awards under different tax regimes), unless otherwise specifically provided in such Award Agreement, or the terms referred to in other Sections of this Plan applying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Awards under such applicable tax regimes, or terms prescribed by Applicable Law. Award Agreements need not be in the same form and may differ in the terms and conditions included therein.</w:t>
      </w:r>
    </w:p>
    <w:p>
      <w:pPr>
        <w:spacing w:after="0" w:line="39"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9"/>
          <w:szCs w:val="19"/>
          <w:color w:val="auto"/>
        </w:rPr>
        <w:t>6.1.</w:t>
      </w:r>
      <w:r>
        <w:rPr>
          <w:sz w:val="20"/>
          <w:szCs w:val="20"/>
          <w:color w:val="auto"/>
        </w:rPr>
        <w:tab/>
      </w:r>
      <w:r>
        <w:rPr>
          <w:rFonts w:ascii="Times New Roman" w:cs="Times New Roman" w:eastAsia="Times New Roman" w:hAnsi="Times New Roman"/>
          <w:sz w:val="19"/>
          <w:szCs w:val="19"/>
          <w:u w:val="single" w:color="auto"/>
          <w:color w:val="auto"/>
        </w:rPr>
        <w:t>Number of Shares</w:t>
      </w:r>
      <w:r>
        <w:rPr>
          <w:rFonts w:ascii="Times New Roman" w:cs="Times New Roman" w:eastAsia="Times New Roman" w:hAnsi="Times New Roman"/>
          <w:sz w:val="19"/>
          <w:szCs w:val="19"/>
          <w:color w:val="auto"/>
        </w:rPr>
        <w:t>. Each Award Agreement shall state the number of Shares covered by the Award.</w:t>
      </w:r>
    </w:p>
    <w:p>
      <w:pPr>
        <w:spacing w:after="0" w:line="59" w:lineRule="exact"/>
        <w:rPr>
          <w:sz w:val="20"/>
          <w:szCs w:val="20"/>
          <w:color w:val="auto"/>
        </w:rPr>
      </w:pPr>
    </w:p>
    <w:p>
      <w:pPr>
        <w:ind w:firstLine="500"/>
        <w:spacing w:after="0" w:line="241"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Type of Award</w:t>
      </w:r>
      <w:r>
        <w:rPr>
          <w:rFonts w:ascii="Times New Roman" w:cs="Times New Roman" w:eastAsia="Times New Roman" w:hAnsi="Times New Roman"/>
          <w:sz w:val="19"/>
          <w:szCs w:val="19"/>
          <w:color w:val="auto"/>
        </w:rPr>
        <w:t>. Each Award Agreement may state the type of Award granted thereunder, provided that the tax treatment of any Award, whether or not stated in the Award Agreement, shall be as determined in accordance with Applicable Law.</w:t>
      </w:r>
    </w:p>
    <w:p>
      <w:pPr>
        <w:spacing w:after="0" w:line="24"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Each Award Agreement shall state the Exercise Price, if applicable. Unless otherwise set forth in this Plan, an Exercise Price of an Award of less than the par value of the Shares (if shares bear a par value) shall comply with Section 304 of the Companies</w:t>
      </w:r>
    </w:p>
    <w:p>
      <w:pPr>
        <w:jc w:val="both"/>
        <w:spacing w:after="0" w:line="210" w:lineRule="auto"/>
        <w:rPr>
          <w:sz w:val="20"/>
          <w:szCs w:val="20"/>
          <w:color w:val="auto"/>
        </w:rPr>
      </w:pPr>
      <w:r>
        <w:rPr>
          <w:rFonts w:ascii="Times New Roman" w:cs="Times New Roman" w:eastAsia="Times New Roman" w:hAnsi="Times New Roman"/>
          <w:sz w:val="19"/>
          <w:szCs w:val="19"/>
          <w:color w:val="auto"/>
        </w:rPr>
        <w:t>Law. Subject to Sections 3 7.2 and 8.2 and to the foregoing, the Committee may reduce the Exercise Price of any outstanding Award, on terms and subject to such conditions as it deems advisable. The Exercise Price shall also be subject to adjustment as provided in Section 14 hereof.</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The Exercise Price of any outstanding Award granted to a Grantee who is subject to U.S. federal income tax shall be determined in accordance with Section 409A of the Code.</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19"/>
          <w:szCs w:val="19"/>
          <w:u w:val="single" w:color="auto"/>
          <w:color w:val="auto"/>
        </w:rPr>
        <w:t>Manner of Exercise</w:t>
      </w:r>
      <w:r>
        <w:rPr>
          <w:rFonts w:ascii="Times New Roman" w:cs="Times New Roman" w:eastAsia="Times New Roman" w:hAnsi="Times New Roman"/>
          <w:sz w:val="19"/>
          <w:szCs w:val="19"/>
          <w:color w:val="auto"/>
        </w:rPr>
        <w:t>. An Award may be exercised, as to any or all Shares as to which the Award has become exercisable, by written notice delivered in person or by mail (or such other methods of delivery prescribed by the Company) to the Chief Executive Officer of the</w:t>
      </w:r>
    </w:p>
    <w:p>
      <w:pPr>
        <w:spacing w:after="0" w:line="219" w:lineRule="auto"/>
        <w:rPr>
          <w:sz w:val="20"/>
          <w:szCs w:val="20"/>
          <w:color w:val="auto"/>
        </w:rPr>
      </w:pPr>
      <w:r>
        <w:rPr>
          <w:rFonts w:ascii="Times New Roman" w:cs="Times New Roman" w:eastAsia="Times New Roman" w:hAnsi="Times New Roman"/>
          <w:sz w:val="19"/>
          <w:szCs w:val="19"/>
          <w:color w:val="auto"/>
        </w:rPr>
        <w:t>Company or to such other person as determined by the Committee, or in any other manner as the Committee shall prescribe from time to time,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specifying the number of Shares with respect to which the Award is being exercised (which may be equal to or lower than the aggregate number of Shares that have become exercisable at such time, subject to the last sentence of this Section), accompanied by payment of the aggregate</w:t>
      </w:r>
    </w:p>
    <w:p>
      <w:pPr>
        <w:spacing w:after="0" w:line="219" w:lineRule="auto"/>
        <w:rPr>
          <w:sz w:val="20"/>
          <w:szCs w:val="20"/>
          <w:color w:val="auto"/>
        </w:rPr>
      </w:pPr>
      <w:r>
        <w:rPr>
          <w:rFonts w:ascii="Times New Roman" w:cs="Times New Roman" w:eastAsia="Times New Roman" w:hAnsi="Times New Roman"/>
          <w:sz w:val="19"/>
          <w:szCs w:val="19"/>
          <w:color w:val="auto"/>
        </w:rPr>
        <w:t>Exercise Price for such Shares in the manner specified in the following sentence. The Exercise Price shall be paid in full with respect to each</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Share, at the time of exercise, either in (i) cash, (ii) if the Company’s stock is listed for trading on any securities exchange or over-the-counter market, and if the Committee so determines, all or part of the Exercise Price and any withholding taxes may be paid by the delivery (on a form</w:t>
      </w:r>
    </w:p>
    <w:p>
      <w:pPr>
        <w:spacing w:after="0" w:line="219" w:lineRule="auto"/>
        <w:rPr>
          <w:sz w:val="20"/>
          <w:szCs w:val="20"/>
          <w:color w:val="auto"/>
        </w:rPr>
      </w:pPr>
      <w:r>
        <w:rPr>
          <w:rFonts w:ascii="Times New Roman" w:cs="Times New Roman" w:eastAsia="Times New Roman" w:hAnsi="Times New Roman"/>
          <w:sz w:val="19"/>
          <w:szCs w:val="19"/>
          <w:color w:val="auto"/>
        </w:rPr>
        <w:t>prescribed by the Company) of an irrevocable direction to a securities broker approved by the Company to sell Shares and to deliver all or part</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of the sales proceeds to the Company or the Trustee, (iii) if the Company’s shares are listed for trading on any securities exchange or over-the-counter market, and if the Committee so determines, all or part of the Exercise Price and any withholding taxes may be paid by the delivery (on</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 form prescribed by the Company) of an irrevocable direction to pledge Shares to a securities broker or lender approved by the Company, as security for a loan, and to deliver all or part of the loan proceeds to the Company or the Trustee, or (iv) in such other manner as the Committee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shall determine, which may include procedures for cashless exercise. The application of cashless exercise with respect to any 102 Awards shall be subject to obtaining a ruling from the ITA, to the extent required by applicable law.</w:t>
      </w:r>
    </w:p>
    <w:p>
      <w:pPr>
        <w:spacing w:after="0" w:line="27"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9"/>
          <w:szCs w:val="19"/>
          <w:color w:val="auto"/>
        </w:rPr>
        <w:t>6.5.</w:t>
      </w:r>
      <w:r>
        <w:rPr>
          <w:sz w:val="20"/>
          <w:szCs w:val="20"/>
          <w:color w:val="auto"/>
        </w:rPr>
        <w:tab/>
      </w:r>
      <w:r>
        <w:rPr>
          <w:rFonts w:ascii="Times New Roman" w:cs="Times New Roman" w:eastAsia="Times New Roman" w:hAnsi="Times New Roman"/>
          <w:sz w:val="18"/>
          <w:szCs w:val="18"/>
          <w:u w:val="single" w:color="auto"/>
          <w:color w:val="auto"/>
        </w:rPr>
        <w:t>Term and Vesting of Awards</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jc w:val="right"/>
        <w:spacing w:after="0"/>
        <w:tabs>
          <w:tab w:leader="none" w:pos="9180" w:val="left"/>
        </w:tabs>
        <w:rPr>
          <w:sz w:val="20"/>
          <w:szCs w:val="20"/>
          <w:color w:val="auto"/>
        </w:rPr>
      </w:pPr>
      <w:r>
        <w:rPr>
          <w:rFonts w:ascii="Times New Roman" w:cs="Times New Roman" w:eastAsia="Times New Roman" w:hAnsi="Times New Roman"/>
          <w:sz w:val="19"/>
          <w:szCs w:val="19"/>
          <w:color w:val="auto"/>
        </w:rPr>
        <w:t>6.5.1.</w:t>
      </w:r>
      <w:r>
        <w:rPr>
          <w:sz w:val="20"/>
          <w:szCs w:val="20"/>
          <w:color w:val="auto"/>
        </w:rPr>
        <w:tab/>
      </w:r>
      <w:r>
        <w:rPr>
          <w:rFonts w:ascii="Times New Roman" w:cs="Times New Roman" w:eastAsia="Times New Roman" w:hAnsi="Times New Roman"/>
          <w:sz w:val="19"/>
          <w:szCs w:val="19"/>
          <w:color w:val="auto"/>
        </w:rPr>
        <w:t>Each Award Agreement shall provide the vesting schedule for the Award as determined by the Committee. The</w:t>
      </w:r>
    </w:p>
    <w:p>
      <w:pPr>
        <w:spacing w:after="0" w:line="2"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Committee shall have the authority to determine the vesting schedule and accelerate the vesting of any outstanding Award at such time and under such circumstances as it, in its sole discretion, deems appropriate. Unless otherwise resolved by the Committee and stated in the</w:t>
      </w:r>
    </w:p>
    <w:p>
      <w:pPr>
        <w:ind w:left="480"/>
        <w:spacing w:after="0" w:line="219" w:lineRule="auto"/>
        <w:rPr>
          <w:sz w:val="20"/>
          <w:szCs w:val="20"/>
          <w:color w:val="auto"/>
        </w:rPr>
      </w:pPr>
      <w:r>
        <w:rPr>
          <w:rFonts w:ascii="Times New Roman" w:cs="Times New Roman" w:eastAsia="Times New Roman" w:hAnsi="Times New Roman"/>
          <w:sz w:val="19"/>
          <w:szCs w:val="19"/>
          <w:color w:val="auto"/>
        </w:rPr>
        <w:t>Award Agreement, and subject to Sections 6.6 and 6.7 hereof, Awards shall vest and become exercisable under the following schedule:</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twenty-five percent (25%) of the Shares covered by the Award, on the first anniversary of the vesting commencement date determined by the Committee (and in the absence of such determination, of date on which such Award was granted), and six and one-quarter percent</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(6.25%) of the Shares covered by the Award at the end of each subsequent three-month period thereafter over the course of the following three (3) years; provided that the Grantee remains continuously as a Service Provider of the Company or its Affiliates throughout such</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vesting dates.</w:t>
      </w:r>
    </w:p>
    <w:p>
      <w:pPr>
        <w:spacing w:after="0" w:line="37"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9"/>
          <w:szCs w:val="19"/>
          <w:color w:val="auto"/>
        </w:rPr>
        <w:t>6.5.2.</w:t>
        <w:tab/>
        <w:t>The Award Agreement may contain performance goals and measurements (which, in case of 102 Trustee Awards, may,</w:t>
      </w:r>
    </w:p>
    <w:p>
      <w:pPr>
        <w:spacing w:after="0" w:line="2" w:lineRule="exact"/>
        <w:rPr>
          <w:sz w:val="20"/>
          <w:szCs w:val="20"/>
          <w:color w:val="auto"/>
        </w:rPr>
      </w:pPr>
    </w:p>
    <w:p>
      <w:pPr>
        <w:jc w:val="both"/>
        <w:ind w:left="480"/>
        <w:spacing w:after="0" w:line="210" w:lineRule="auto"/>
        <w:rPr>
          <w:sz w:val="20"/>
          <w:szCs w:val="20"/>
          <w:color w:val="auto"/>
        </w:rPr>
      </w:pPr>
      <w:r>
        <w:rPr>
          <w:rFonts w:ascii="Times New Roman" w:cs="Times New Roman" w:eastAsia="Times New Roman" w:hAnsi="Times New Roman"/>
          <w:sz w:val="19"/>
          <w:szCs w:val="19"/>
          <w:color w:val="auto"/>
        </w:rPr>
        <w:t>if then required, be subject to obtaining a specific tax ruling or determination from the ITA), and the provisions with respect to any Award need not be the same as the provisions with respect to any other Award. Such performance goals may include, but are not limited to, sales,</w:t>
      </w:r>
    </w:p>
    <w:p>
      <w:pPr>
        <w:spacing w:after="0" w:line="1" w:lineRule="exact"/>
        <w:rPr>
          <w:sz w:val="20"/>
          <w:szCs w:val="20"/>
          <w:color w:val="auto"/>
        </w:rPr>
      </w:pPr>
    </w:p>
    <w:p>
      <w:pPr>
        <w:ind w:left="480"/>
        <w:spacing w:after="0" w:line="235" w:lineRule="auto"/>
        <w:rPr>
          <w:sz w:val="20"/>
          <w:szCs w:val="20"/>
          <w:color w:val="auto"/>
        </w:rPr>
      </w:pPr>
      <w:r>
        <w:rPr>
          <w:rFonts w:ascii="Times New Roman" w:cs="Times New Roman" w:eastAsia="Times New Roman" w:hAnsi="Times New Roman"/>
          <w:sz w:val="19"/>
          <w:szCs w:val="19"/>
          <w:color w:val="auto"/>
        </w:rPr>
        <w:t>earnings before interest and taxes, return on investment, earnings per share, any combination of the foregoing or rate of growth of any of the foregoing, as determined by the</w:t>
      </w:r>
    </w:p>
    <w:p>
      <w:pPr>
        <w:sectPr>
          <w:pgSz w:w="11900" w:h="16838" w:orient="portrait"/>
          <w:cols w:equalWidth="0" w:num="1">
            <w:col w:w="11240"/>
          </w:cols>
          <w:pgMar w:left="320" w:top="1237" w:right="339" w:bottom="1440" w:gutter="0" w:footer="0" w:header="0"/>
        </w:sectPr>
      </w:pPr>
    </w:p>
    <w:bookmarkStart w:id="175" w:name="page176"/>
    <w:bookmarkEnd w:id="175"/>
    <w:p>
      <w:pPr>
        <w:jc w:val="both"/>
        <w:spacing w:after="0" w:line="237" w:lineRule="auto"/>
        <w:rPr>
          <w:sz w:val="20"/>
          <w:szCs w:val="20"/>
          <w:color w:val="auto"/>
        </w:rPr>
      </w:pPr>
      <w:r>
        <w:rPr>
          <w:rFonts w:ascii="Times New Roman" w:cs="Times New Roman" w:eastAsia="Times New Roman" w:hAnsi="Times New Roman"/>
          <w:sz w:val="19"/>
          <w:szCs w:val="19"/>
          <w:color w:val="auto"/>
        </w:rPr>
        <w:t>Committee. The Committee may adjust performance goals pursuant to Awards previously granted to take into account changes in law and accounting and tax rules and to make such adjustments as the Committee deems necessary or appropriate to reflect the inclusion or the exclusion of the impact of extraordinary or unusual items, events or circumstances.</w:t>
      </w:r>
    </w:p>
    <w:p>
      <w:pPr>
        <w:spacing w:after="0" w:line="28"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9"/>
          <w:szCs w:val="19"/>
          <w:color w:val="auto"/>
        </w:rPr>
        <w:t>6.5.3.</w:t>
      </w:r>
      <w:r>
        <w:rPr>
          <w:sz w:val="20"/>
          <w:szCs w:val="20"/>
          <w:color w:val="auto"/>
        </w:rPr>
        <w:tab/>
      </w:r>
      <w:r>
        <w:rPr>
          <w:rFonts w:ascii="Times New Roman" w:cs="Times New Roman" w:eastAsia="Times New Roman" w:hAnsi="Times New Roman"/>
          <w:sz w:val="19"/>
          <w:szCs w:val="19"/>
          <w:color w:val="auto"/>
        </w:rPr>
        <w:t>The Exercise Period of an Award will be ten (10) years from the date of grant of the Award, unless otherwise</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determined by the Committee and stated in the Award Agreement, but subject to the vesting provisions described above and the early termination provisions set forth in Sections 6.6 and 6.7 hereof. At the expiration of the Exercise Period, any Award, or any part thereof,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that has not been exercised within the term of the Award and the Shares covered thereby not paid for in accordance with this Plan and the Award Agreement shall terminate and become null and void, and all interests and rights of the Grantee in and to the same shall expire.</w:t>
      </w:r>
    </w:p>
    <w:p>
      <w:pPr>
        <w:spacing w:after="0" w:line="39"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9"/>
          <w:szCs w:val="19"/>
          <w:color w:val="auto"/>
        </w:rPr>
        <w:t>6.6.</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jc w:val="both"/>
        <w:ind w:firstLine="794"/>
        <w:spacing w:after="0" w:line="222" w:lineRule="auto"/>
        <w:rPr>
          <w:sz w:val="20"/>
          <w:szCs w:val="20"/>
          <w:color w:val="auto"/>
        </w:rPr>
      </w:pPr>
      <w:r>
        <w:rPr>
          <w:rFonts w:ascii="Times New Roman" w:cs="Times New Roman" w:eastAsia="Times New Roman" w:hAnsi="Times New Roman"/>
          <w:sz w:val="19"/>
          <w:szCs w:val="19"/>
          <w:color w:val="auto"/>
        </w:rPr>
        <w:t>6.6.1. Unless otherwise determined by the Committee, and subject to Section 6.7 hereof, an Award may not be exercised unless the Grantee is then a Service Provider of the Company or an Affiliate thereof or, in the case of an Incentive Stock Option, an</w:t>
      </w:r>
    </w:p>
    <w:p>
      <w:pPr>
        <w:spacing w:after="0" w:line="219" w:lineRule="auto"/>
        <w:rPr>
          <w:sz w:val="20"/>
          <w:szCs w:val="20"/>
          <w:color w:val="auto"/>
        </w:rPr>
      </w:pPr>
      <w:r>
        <w:rPr>
          <w:rFonts w:ascii="Times New Roman" w:cs="Times New Roman" w:eastAsia="Times New Roman" w:hAnsi="Times New Roman"/>
          <w:sz w:val="19"/>
          <w:szCs w:val="19"/>
          <w:color w:val="auto"/>
        </w:rPr>
        <w:t>employee of a company or a parent or subsidiary company of such company issuing or assuming the Option in a transaction to which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Section 424(a) of the Code applies, and unless the Grantee has remained continuously so employed since the date of grant of the Award and throughout the vesting dates.</w:t>
      </w:r>
    </w:p>
    <w:p>
      <w:pPr>
        <w:spacing w:after="0" w:line="26" w:lineRule="exact"/>
        <w:rPr>
          <w:sz w:val="20"/>
          <w:szCs w:val="20"/>
          <w:color w:val="auto"/>
        </w:rPr>
      </w:pPr>
    </w:p>
    <w:p>
      <w:pPr>
        <w:jc w:val="both"/>
        <w:ind w:firstLine="794"/>
        <w:spacing w:after="0" w:line="230" w:lineRule="auto"/>
        <w:rPr>
          <w:sz w:val="20"/>
          <w:szCs w:val="20"/>
          <w:color w:val="auto"/>
        </w:rPr>
      </w:pPr>
      <w:r>
        <w:rPr>
          <w:rFonts w:ascii="Times New Roman" w:cs="Times New Roman" w:eastAsia="Times New Roman" w:hAnsi="Times New Roman"/>
          <w:sz w:val="19"/>
          <w:szCs w:val="19"/>
          <w:color w:val="auto"/>
        </w:rPr>
        <w:t>6.6.2. In the event that the employment or service of a Grantee shall terminate (other than by reason of death, Disability or Retirement), all Awards of such Grantee that are unvested at the time of such termination shall terminate on the date of such termination,</w:t>
      </w:r>
    </w:p>
    <w:p>
      <w:pPr>
        <w:jc w:val="both"/>
        <w:spacing w:after="0" w:line="210" w:lineRule="auto"/>
        <w:rPr>
          <w:sz w:val="20"/>
          <w:szCs w:val="20"/>
          <w:color w:val="auto"/>
        </w:rPr>
      </w:pPr>
      <w:r>
        <w:rPr>
          <w:rFonts w:ascii="Times New Roman" w:cs="Times New Roman" w:eastAsia="Times New Roman" w:hAnsi="Times New Roman"/>
          <w:sz w:val="19"/>
          <w:szCs w:val="19"/>
          <w:color w:val="auto"/>
        </w:rPr>
        <w:t>and all Awards of such Grantee that are vested and exercisable at the time of such termination may be exercised within up to three (3) months after the date of such termination (or such different period as the Committee shall prescribe), but in any event no later than the</w:t>
      </w:r>
    </w:p>
    <w:p>
      <w:pPr>
        <w:spacing w:after="0" w:line="219" w:lineRule="auto"/>
        <w:rPr>
          <w:sz w:val="20"/>
          <w:szCs w:val="20"/>
          <w:color w:val="auto"/>
        </w:rPr>
      </w:pPr>
      <w:r>
        <w:rPr>
          <w:rFonts w:ascii="Times New Roman" w:cs="Times New Roman" w:eastAsia="Times New Roman" w:hAnsi="Times New Roman"/>
          <w:sz w:val="19"/>
          <w:szCs w:val="19"/>
          <w:color w:val="auto"/>
        </w:rPr>
        <w:t>date of expiration of the Award’s term as set forth in the Award Agreement or pursuant to this Plan; provided, however, that if the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Company (or the Subsidiary or Affiliate, when applicable) shall terminate the Grantee’s employment or service for Cause (as defined below) (whether occurring prior to or after termination of employment or service), all Awards theretofore granted to such Grantee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(whether vested or not) shall terminate, unless otherwise determined by the Committee, and any Shares issued upon exercise or (if applicable) vesting of Awards (including other Shares or securities issued or distributed with respect thereto), whether held by the Grantee</w:t>
      </w:r>
    </w:p>
    <w:p>
      <w:pPr>
        <w:spacing w:after="0" w:line="219" w:lineRule="auto"/>
        <w:rPr>
          <w:sz w:val="20"/>
          <w:szCs w:val="20"/>
          <w:color w:val="auto"/>
        </w:rPr>
      </w:pPr>
      <w:r>
        <w:rPr>
          <w:rFonts w:ascii="Times New Roman" w:cs="Times New Roman" w:eastAsia="Times New Roman" w:hAnsi="Times New Roman"/>
          <w:sz w:val="19"/>
          <w:szCs w:val="19"/>
          <w:color w:val="auto"/>
        </w:rPr>
        <w:t>or by the Trustee for the Grantee’s benefit, shall be deemed to be irrevocably offered for sale to the Company, any of its Affiliates or any</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person designated by the Company to purchase, at the Company’s election and subject to Applicable Law, either for no consideration, for the par value of such Shares (if shares bear a par value) or against payment of the Exercise Price previously received by the Company for</w:t>
      </w:r>
    </w:p>
    <w:p>
      <w:pPr>
        <w:spacing w:after="0" w:line="219" w:lineRule="auto"/>
        <w:rPr>
          <w:sz w:val="20"/>
          <w:szCs w:val="20"/>
          <w:color w:val="auto"/>
        </w:rPr>
      </w:pPr>
      <w:r>
        <w:rPr>
          <w:rFonts w:ascii="Times New Roman" w:cs="Times New Roman" w:eastAsia="Times New Roman" w:hAnsi="Times New Roman"/>
          <w:sz w:val="19"/>
          <w:szCs w:val="19"/>
          <w:color w:val="auto"/>
        </w:rPr>
        <w:t>such Shares upon their issuance, as the Committee deems fit, upon written notice to the Grantee at any time prior to, at or after the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Grantee’s termination of employment or service. Such Shares or other securities shall be sold and transferred within 30 days from the date of the Company’s notice of its election to exercise its right. If the Grantee fails to transfer such Shares or other securities to the Company,</w:t>
      </w:r>
    </w:p>
    <w:p>
      <w:pPr>
        <w:spacing w:after="0" w:line="219" w:lineRule="auto"/>
        <w:rPr>
          <w:sz w:val="20"/>
          <w:szCs w:val="20"/>
          <w:color w:val="auto"/>
        </w:rPr>
      </w:pPr>
      <w:r>
        <w:rPr>
          <w:rFonts w:ascii="Times New Roman" w:cs="Times New Roman" w:eastAsia="Times New Roman" w:hAnsi="Times New Roman"/>
          <w:sz w:val="19"/>
          <w:szCs w:val="19"/>
          <w:color w:val="auto"/>
        </w:rPr>
        <w:t>the Company, at the decision of the Committee, shall be entitled to forfeit or repurchase such Shares and to authorize any person to</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execute on behalf of the Grantee any document necessary to effect such transfer, whether or not the stock certificates are surrendered. The Company shall have the right and authority to affect the above either by: (i) repurchasing all of such Shares or other securities held by the</w:t>
      </w:r>
    </w:p>
    <w:p>
      <w:pPr>
        <w:spacing w:after="0" w:line="219" w:lineRule="auto"/>
        <w:rPr>
          <w:sz w:val="20"/>
          <w:szCs w:val="20"/>
          <w:color w:val="auto"/>
        </w:rPr>
      </w:pPr>
      <w:r>
        <w:rPr>
          <w:rFonts w:ascii="Times New Roman" w:cs="Times New Roman" w:eastAsia="Times New Roman" w:hAnsi="Times New Roman"/>
          <w:sz w:val="19"/>
          <w:szCs w:val="19"/>
          <w:color w:val="auto"/>
        </w:rPr>
        <w:t>Grantee or by the Trustee for the benefit of the Grantee, or designate the purchaser of all or any part of such Shares or other securities, for</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the Exercise Price paid for such Shares, the par value of such Shares (if shares bear a par value) or for no payment or consideration whatsoever, as the Committee deems fit; (ii) forfeiting all or any party of such Shares or other securities; (iii) redeeming all or any party of</w:t>
      </w:r>
    </w:p>
    <w:p>
      <w:pPr>
        <w:spacing w:after="0" w:line="219" w:lineRule="auto"/>
        <w:rPr>
          <w:sz w:val="20"/>
          <w:szCs w:val="20"/>
          <w:color w:val="auto"/>
        </w:rPr>
      </w:pPr>
      <w:r>
        <w:rPr>
          <w:rFonts w:ascii="Times New Roman" w:cs="Times New Roman" w:eastAsia="Times New Roman" w:hAnsi="Times New Roman"/>
          <w:sz w:val="19"/>
          <w:szCs w:val="19"/>
          <w:color w:val="auto"/>
        </w:rPr>
        <w:t>such Shares or other securities, for the Exercise Price paid for such Shares, the par value of such Shares (if shares bear a par value) or for</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no payment or consideration whatsoever, as the Committee deems fit; (iv) taking action in order to have all or any party of such Shares or other securities converted into deferred stock entitling their holder only to their par value (if shares bear a par value) upon liquidation of</w:t>
      </w:r>
    </w:p>
    <w:p>
      <w:pPr>
        <w:spacing w:after="0" w:line="219" w:lineRule="auto"/>
        <w:rPr>
          <w:sz w:val="20"/>
          <w:szCs w:val="20"/>
          <w:color w:val="auto"/>
        </w:rPr>
      </w:pPr>
      <w:r>
        <w:rPr>
          <w:rFonts w:ascii="Times New Roman" w:cs="Times New Roman" w:eastAsia="Times New Roman" w:hAnsi="Times New Roman"/>
          <w:sz w:val="19"/>
          <w:szCs w:val="19"/>
          <w:color w:val="auto"/>
        </w:rPr>
        <w:t>the Company; or (v) taking any other action which may be required in order to achieve similar results; all as shall be determined by the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Committee, at its sole and absolute discretion, and the Grantee is deemed to irrevocably empower the Company or any person which may be designated by it to take any action by, in the name of or on behalf of the Grantee to comply with and give effect to such 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voting such stock, filling in, signing and delivering stock powers, etc.).</w:t>
      </w:r>
    </w:p>
    <w:p>
      <w:pPr>
        <w:spacing w:after="0" w:line="37" w:lineRule="exact"/>
        <w:rPr>
          <w:sz w:val="20"/>
          <w:szCs w:val="20"/>
          <w:color w:val="auto"/>
        </w:rPr>
      </w:pPr>
    </w:p>
    <w:p>
      <w:pPr>
        <w:ind w:left="800"/>
        <w:spacing w:after="0"/>
        <w:tabs>
          <w:tab w:leader="none" w:pos="1440" w:val="left"/>
        </w:tabs>
        <w:rPr>
          <w:sz w:val="20"/>
          <w:szCs w:val="20"/>
          <w:color w:val="auto"/>
        </w:rPr>
      </w:pPr>
      <w:r>
        <w:rPr>
          <w:rFonts w:ascii="Times New Roman" w:cs="Times New Roman" w:eastAsia="Times New Roman" w:hAnsi="Times New Roman"/>
          <w:sz w:val="19"/>
          <w:szCs w:val="19"/>
          <w:color w:val="auto"/>
        </w:rPr>
        <w:t>6.6.3.</w:t>
        <w:tab/>
        <w:t>Notwithstanding anything to the contrary, the Committee, in its absolute discretion, may, on such terms and conditions</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as it may determine appropriate, extend the periods for which Awards held by any Grantee may continue to vest and be exercisable; it being clarified that such Awards may lose their entitlement to certain tax benefits under Applicable Law (including, without limitation,</w:t>
      </w:r>
    </w:p>
    <w:p>
      <w:pPr>
        <w:spacing w:after="0" w:line="219" w:lineRule="auto"/>
        <w:rPr>
          <w:sz w:val="20"/>
          <w:szCs w:val="20"/>
          <w:color w:val="auto"/>
        </w:rPr>
      </w:pPr>
      <w:r>
        <w:rPr>
          <w:rFonts w:ascii="Times New Roman" w:cs="Times New Roman" w:eastAsia="Times New Roman" w:hAnsi="Times New Roman"/>
          <w:sz w:val="19"/>
          <w:szCs w:val="19"/>
          <w:color w:val="auto"/>
        </w:rPr>
        <w:t>qualification of an Award as an Incentive Stock Option) as a result of the modification of such Awards and/or in the event that the Award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is exercised beyond the later of: (i) three (3) months after the date of termination of the employment or service relationship; or (ii) the applicable period</w:t>
      </w:r>
    </w:p>
    <w:p>
      <w:pPr>
        <w:sectPr>
          <w:pgSz w:w="11900" w:h="16838" w:orient="portrait"/>
          <w:cols w:equalWidth="0" w:num="1">
            <w:col w:w="10760"/>
          </w:cols>
          <w:pgMar w:left="800" w:top="1242" w:right="339" w:bottom="1440" w:gutter="0" w:footer="0" w:header="0"/>
        </w:sectPr>
      </w:pPr>
    </w:p>
    <w:bookmarkStart w:id="176" w:name="page177"/>
    <w:bookmarkEnd w:id="176"/>
    <w:p>
      <w:pPr>
        <w:jc w:val="both"/>
        <w:spacing w:after="0" w:line="255" w:lineRule="auto"/>
        <w:rPr>
          <w:sz w:val="20"/>
          <w:szCs w:val="20"/>
          <w:color w:val="auto"/>
        </w:rPr>
      </w:pPr>
      <w:r>
        <w:rPr>
          <w:rFonts w:ascii="Times New Roman" w:cs="Times New Roman" w:eastAsia="Times New Roman" w:hAnsi="Times New Roman"/>
          <w:sz w:val="19"/>
          <w:szCs w:val="19"/>
          <w:color w:val="auto"/>
        </w:rPr>
        <w:t>under Section 6.7 below with respect to a termination of the employment or service relationship because of the death, Disability or Retirement of Grantee.</w:t>
      </w:r>
    </w:p>
    <w:p>
      <w:pPr>
        <w:spacing w:after="0" w:line="12" w:lineRule="exact"/>
        <w:rPr>
          <w:sz w:val="20"/>
          <w:szCs w:val="20"/>
          <w:color w:val="auto"/>
        </w:rPr>
      </w:pPr>
    </w:p>
    <w:p>
      <w:pPr>
        <w:ind w:left="800"/>
        <w:spacing w:after="0"/>
        <w:tabs>
          <w:tab w:leader="none" w:pos="1400" w:val="left"/>
        </w:tabs>
        <w:rPr>
          <w:sz w:val="20"/>
          <w:szCs w:val="20"/>
          <w:color w:val="auto"/>
        </w:rPr>
      </w:pPr>
      <w:r>
        <w:rPr>
          <w:rFonts w:ascii="Times New Roman" w:cs="Times New Roman" w:eastAsia="Times New Roman" w:hAnsi="Times New Roman"/>
          <w:sz w:val="19"/>
          <w:szCs w:val="19"/>
          <w:color w:val="auto"/>
        </w:rPr>
        <w:t>6.6.4.</w:t>
        <w:tab/>
        <w:t>For purposes of this Plan:</w:t>
      </w:r>
    </w:p>
    <w:p>
      <w:pPr>
        <w:spacing w:after="0" w:line="59" w:lineRule="exact"/>
        <w:rPr>
          <w:sz w:val="20"/>
          <w:szCs w:val="20"/>
          <w:color w:val="auto"/>
        </w:rPr>
      </w:pPr>
    </w:p>
    <w:p>
      <w:pPr>
        <w:jc w:val="both"/>
        <w:ind w:firstLine="1249"/>
        <w:spacing w:after="0" w:line="230" w:lineRule="auto"/>
        <w:rPr>
          <w:sz w:val="20"/>
          <w:szCs w:val="20"/>
          <w:color w:val="auto"/>
        </w:rPr>
      </w:pPr>
      <w:r>
        <w:rPr>
          <w:rFonts w:ascii="Times New Roman" w:cs="Times New Roman" w:eastAsia="Times New Roman" w:hAnsi="Times New Roman"/>
          <w:sz w:val="19"/>
          <w:szCs w:val="19"/>
          <w:color w:val="auto"/>
        </w:rPr>
        <w:t>6.6.4.1. A termination of employment or service of a Grantee shall not be deemed to occur (except to the extent required by the Code with respect to the Incentive Stock Option status of an Option) in case of (i) a transition or transfer of a Grantee among the</w:t>
      </w:r>
    </w:p>
    <w:p>
      <w:pPr>
        <w:jc w:val="both"/>
        <w:spacing w:after="0" w:line="210" w:lineRule="auto"/>
        <w:rPr>
          <w:sz w:val="20"/>
          <w:szCs w:val="20"/>
          <w:color w:val="auto"/>
        </w:rPr>
      </w:pPr>
      <w:r>
        <w:rPr>
          <w:rFonts w:ascii="Times New Roman" w:cs="Times New Roman" w:eastAsia="Times New Roman" w:hAnsi="Times New Roman"/>
          <w:sz w:val="19"/>
          <w:szCs w:val="19"/>
          <w:color w:val="auto"/>
        </w:rPr>
        <w:t>Company and its Affiliates, (ii) a change in the capacity in which the Grantee is employed or renders service to the Company or any of its Affiliates or a change in the identity of the employing or engagement entity among the Company and its Affiliates, provided, in case of</w:t>
      </w:r>
    </w:p>
    <w:p>
      <w:pPr>
        <w:spacing w:after="0" w:line="219" w:lineRule="auto"/>
        <w:rPr>
          <w:sz w:val="20"/>
          <w:szCs w:val="20"/>
          <w:color w:val="auto"/>
        </w:rPr>
      </w:pPr>
      <w:r>
        <w:rPr>
          <w:rFonts w:ascii="Times New Roman" w:cs="Times New Roman" w:eastAsia="Times New Roman" w:hAnsi="Times New Roman"/>
          <w:sz w:val="19"/>
          <w:szCs w:val="19"/>
          <w:color w:val="auto"/>
        </w:rPr>
        <w:t>the foregoing clauses (i) and (ii) above, that the Grantee has remained continuously employed by and/or in the service of the Company</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9"/>
          <w:szCs w:val="19"/>
          <w:color w:val="auto"/>
        </w:rPr>
        <w:t>and its Affiliates since the date of grant of the Award and throughout the vesting period; or (iii) if the Grantee takes any unpaid leave as set forth in Section 6.8.</w:t>
      </w:r>
    </w:p>
    <w:p>
      <w:pPr>
        <w:spacing w:after="0" w:line="1" w:lineRule="exact"/>
        <w:rPr>
          <w:sz w:val="20"/>
          <w:szCs w:val="20"/>
          <w:color w:val="auto"/>
        </w:rPr>
      </w:pPr>
    </w:p>
    <w:p>
      <w:pPr>
        <w:jc w:val="both"/>
        <w:ind w:firstLine="1249"/>
        <w:spacing w:after="0" w:line="227" w:lineRule="auto"/>
        <w:rPr>
          <w:sz w:val="20"/>
          <w:szCs w:val="20"/>
          <w:color w:val="auto"/>
        </w:rPr>
      </w:pPr>
      <w:r>
        <w:rPr>
          <w:rFonts w:ascii="Times New Roman" w:cs="Times New Roman" w:eastAsia="Times New Roman" w:hAnsi="Times New Roman"/>
          <w:sz w:val="19"/>
          <w:szCs w:val="19"/>
          <w:color w:val="auto"/>
        </w:rPr>
        <w:t>6.6.4.2. An entity or an Affiliate thereof assuming an Award or issuing in substitution thereof in a transaction to which Section 424(a) of the Code applies or in a Merger/Sale in accordance with Section 14 shall be deemed as an Affiliate of the Company for purposes of this Section 6.6, unless the Committee determines otherwise.</w:t>
      </w:r>
    </w:p>
    <w:p>
      <w:pPr>
        <w:ind w:left="1260"/>
        <w:spacing w:after="0" w:line="220" w:lineRule="auto"/>
        <w:tabs>
          <w:tab w:leader="none" w:pos="2020" w:val="left"/>
        </w:tabs>
        <w:rPr>
          <w:sz w:val="20"/>
          <w:szCs w:val="20"/>
          <w:color w:val="auto"/>
        </w:rPr>
      </w:pPr>
      <w:r>
        <w:rPr>
          <w:rFonts w:ascii="Times New Roman" w:cs="Times New Roman" w:eastAsia="Times New Roman" w:hAnsi="Times New Roman"/>
          <w:sz w:val="19"/>
          <w:szCs w:val="19"/>
          <w:color w:val="auto"/>
        </w:rPr>
        <w:t>6.6.4.3.</w:t>
        <w:tab/>
        <w:t>In the case of a Grantee whose principal employer or service recipient is a Subsidiary or Affiliate, the Grantee’s</w:t>
      </w:r>
    </w:p>
    <w:p>
      <w:pPr>
        <w:jc w:val="both"/>
        <w:spacing w:after="0" w:line="228" w:lineRule="auto"/>
        <w:rPr>
          <w:sz w:val="20"/>
          <w:szCs w:val="20"/>
          <w:color w:val="auto"/>
        </w:rPr>
      </w:pPr>
      <w:r>
        <w:rPr>
          <w:rFonts w:ascii="Times New Roman" w:cs="Times New Roman" w:eastAsia="Times New Roman" w:hAnsi="Times New Roman"/>
          <w:sz w:val="19"/>
          <w:szCs w:val="19"/>
          <w:color w:val="auto"/>
        </w:rPr>
        <w:t>employment shall also be deemed terminated for purposes of this Section 6.6 as of the date on which such principal employer or service recipient ceases to be a Subsidiary or Affiliate.</w:t>
      </w:r>
    </w:p>
    <w:p>
      <w:pPr>
        <w:spacing w:after="0" w:line="1" w:lineRule="exact"/>
        <w:rPr>
          <w:sz w:val="20"/>
          <w:szCs w:val="20"/>
          <w:color w:val="auto"/>
        </w:rPr>
      </w:pPr>
    </w:p>
    <w:p>
      <w:pPr>
        <w:jc w:val="both"/>
        <w:ind w:firstLine="1249"/>
        <w:spacing w:after="0" w:line="214" w:lineRule="auto"/>
        <w:rPr>
          <w:sz w:val="20"/>
          <w:szCs w:val="20"/>
          <w:color w:val="auto"/>
        </w:rPr>
      </w:pPr>
      <w:r>
        <w:rPr>
          <w:rFonts w:ascii="Times New Roman" w:cs="Times New Roman" w:eastAsia="Times New Roman" w:hAnsi="Times New Roman"/>
          <w:sz w:val="19"/>
          <w:szCs w:val="19"/>
          <w:color w:val="auto"/>
        </w:rPr>
        <w:t>6.6.4.4. The term “</w:t>
      </w:r>
      <w:r>
        <w:rPr>
          <w:rFonts w:ascii="Times New Roman" w:cs="Times New Roman" w:eastAsia="Times New Roman" w:hAnsi="Times New Roman"/>
          <w:sz w:val="19"/>
          <w:szCs w:val="19"/>
          <w:b w:val="1"/>
          <w:bCs w:val="1"/>
          <w:color w:val="auto"/>
        </w:rPr>
        <w:t>Cause</w:t>
      </w:r>
      <w:r>
        <w:rPr>
          <w:rFonts w:ascii="Times New Roman" w:cs="Times New Roman" w:eastAsia="Times New Roman" w:hAnsi="Times New Roman"/>
          <w:sz w:val="19"/>
          <w:szCs w:val="19"/>
          <w:color w:val="auto"/>
        </w:rPr>
        <w:t>” shall mean (irrespective of, and in addition to, any definition included in any other agreement or instrument applicable to the Grantee, and unless otherwise determined by the Committee) any of the following: (i) any theft, fraud,</w:t>
      </w:r>
    </w:p>
    <w:p>
      <w:pPr>
        <w:spacing w:after="0" w:line="219" w:lineRule="auto"/>
        <w:rPr>
          <w:sz w:val="20"/>
          <w:szCs w:val="20"/>
          <w:color w:val="auto"/>
        </w:rPr>
      </w:pPr>
      <w:r>
        <w:rPr>
          <w:rFonts w:ascii="Times New Roman" w:cs="Times New Roman" w:eastAsia="Times New Roman" w:hAnsi="Times New Roman"/>
          <w:sz w:val="19"/>
          <w:szCs w:val="19"/>
          <w:color w:val="auto"/>
        </w:rPr>
        <w:t>embezzlement, dishonesty, willful misconduct, breach of fiduciary duty for personal profit, falsification of any documents or records of</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the Company or any of its Affiliates, felony or similar act by the Grantee (whether or not related to the Grantee’s relationship with the Company); (ii) an act of moral turpitude by the Grantee, or any act that causes significant injury to, or is otherwise adversely affecting, the</w:t>
      </w:r>
    </w:p>
    <w:p>
      <w:pPr>
        <w:spacing w:after="0" w:line="219" w:lineRule="auto"/>
        <w:rPr>
          <w:sz w:val="20"/>
          <w:szCs w:val="20"/>
          <w:color w:val="auto"/>
        </w:rPr>
      </w:pPr>
      <w:r>
        <w:rPr>
          <w:rFonts w:ascii="Times New Roman" w:cs="Times New Roman" w:eastAsia="Times New Roman" w:hAnsi="Times New Roman"/>
          <w:sz w:val="19"/>
          <w:szCs w:val="19"/>
          <w:color w:val="auto"/>
        </w:rPr>
        <w:t>reputation, business, assets, operations or business relationship of the Company (or a Subsidiary or Affiliate, when applicable); (iii) any</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breach by the Grantee of any material agreement with or of any material duty of the Grantee to the Company or any Subsidiary or Affiliate thereof (including breach of confidentiality, non-disclosure, non-use, non-competition or non-solicitation covenants towards the</w:t>
      </w:r>
    </w:p>
    <w:p>
      <w:pPr>
        <w:spacing w:after="0" w:line="219" w:lineRule="auto"/>
        <w:rPr>
          <w:sz w:val="20"/>
          <w:szCs w:val="20"/>
          <w:color w:val="auto"/>
        </w:rPr>
      </w:pPr>
      <w:r>
        <w:rPr>
          <w:rFonts w:ascii="Times New Roman" w:cs="Times New Roman" w:eastAsia="Times New Roman" w:hAnsi="Times New Roman"/>
          <w:sz w:val="19"/>
          <w:szCs w:val="19"/>
          <w:color w:val="auto"/>
        </w:rPr>
        <w:t>Company or any of its Affiliates) or failure to abide by code of conduct or other policies (including, without limitation, policies relating to</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confidentiality and reasonable workplace conduct); (iv) any act which constitutes a breach of a Grantee’s fiduciary duty towards the Company or an Affiliate or Subsidiary, including disclosure of confidential or proprietary information thereof or acceptance or solicitation</w:t>
      </w:r>
    </w:p>
    <w:p>
      <w:pPr>
        <w:spacing w:after="0" w:line="219" w:lineRule="auto"/>
        <w:rPr>
          <w:sz w:val="20"/>
          <w:szCs w:val="20"/>
          <w:color w:val="auto"/>
        </w:rPr>
      </w:pPr>
      <w:r>
        <w:rPr>
          <w:rFonts w:ascii="Times New Roman" w:cs="Times New Roman" w:eastAsia="Times New Roman" w:hAnsi="Times New Roman"/>
          <w:sz w:val="19"/>
          <w:szCs w:val="19"/>
          <w:color w:val="auto"/>
        </w:rPr>
        <w:t>to receive unauthorized or undisclosed benefits, irrespective of their nature, or funds, or promises to receive either, from individuals,</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consultants or corporate entities that the Company or a Subsidiary does business with; (v) the Grantee’s unauthorized use, misappropriation, destruction, or diversion of any tangible or intangible asset or corporate opportunity of the Company or any of its</w:t>
      </w:r>
    </w:p>
    <w:p>
      <w:pPr>
        <w:spacing w:after="0" w:line="219" w:lineRule="auto"/>
        <w:rPr>
          <w:sz w:val="20"/>
          <w:szCs w:val="20"/>
          <w:color w:val="auto"/>
        </w:rPr>
      </w:pPr>
      <w:r>
        <w:rPr>
          <w:rFonts w:ascii="Times New Roman" w:cs="Times New Roman" w:eastAsia="Times New Roman" w:hAnsi="Times New Roman"/>
          <w:sz w:val="19"/>
          <w:szCs w:val="19"/>
          <w:color w:val="auto"/>
        </w:rPr>
        <w:t>Affiliates (including, without limitation, the improper use or disclosure of confidential or proprietary information); or (vi) any</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circumstances that constitute grounds for termination for cause under the Grantee’s employment or service agreement with the Company or Affiliate, to the extent applicable. For the avoidance of doubt, the determination as to whether a termination is for Cause for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this Plan, shall be made in good faith by the Committee and shall be final and binding on the Grantee.</w:t>
      </w:r>
    </w:p>
    <w:p>
      <w:pPr>
        <w:spacing w:after="0" w:line="37"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9"/>
          <w:szCs w:val="19"/>
          <w:color w:val="auto"/>
        </w:rPr>
        <w:t>6.7.</w:t>
      </w:r>
      <w:r>
        <w:rPr>
          <w:sz w:val="20"/>
          <w:szCs w:val="20"/>
          <w:color w:val="auto"/>
        </w:rPr>
        <w:tab/>
      </w:r>
      <w:r>
        <w:rPr>
          <w:rFonts w:ascii="Times New Roman" w:cs="Times New Roman" w:eastAsia="Times New Roman" w:hAnsi="Times New Roman"/>
          <w:sz w:val="19"/>
          <w:szCs w:val="19"/>
          <w:u w:val="single" w:color="auto"/>
          <w:color w:val="auto"/>
        </w:rPr>
        <w:t>Death, Disability or Retirement of Grantee</w:t>
      </w:r>
      <w:r>
        <w:rPr>
          <w:rFonts w:ascii="Times New Roman" w:cs="Times New Roman" w:eastAsia="Times New Roman" w:hAnsi="Times New Roman"/>
          <w:sz w:val="19"/>
          <w:szCs w:val="19"/>
          <w:color w:val="auto"/>
        </w:rPr>
        <w:t>.</w:t>
      </w:r>
    </w:p>
    <w:p>
      <w:pPr>
        <w:spacing w:after="0" w:line="59" w:lineRule="exact"/>
        <w:rPr>
          <w:sz w:val="20"/>
          <w:szCs w:val="20"/>
          <w:color w:val="auto"/>
        </w:rPr>
      </w:pPr>
    </w:p>
    <w:p>
      <w:pPr>
        <w:ind w:left="800"/>
        <w:spacing w:after="0"/>
        <w:tabs>
          <w:tab w:leader="none" w:pos="1440" w:val="left"/>
        </w:tabs>
        <w:rPr>
          <w:sz w:val="20"/>
          <w:szCs w:val="20"/>
          <w:color w:val="auto"/>
        </w:rPr>
      </w:pPr>
      <w:r>
        <w:rPr>
          <w:rFonts w:ascii="Times New Roman" w:cs="Times New Roman" w:eastAsia="Times New Roman" w:hAnsi="Times New Roman"/>
          <w:sz w:val="19"/>
          <w:szCs w:val="19"/>
          <w:color w:val="auto"/>
        </w:rPr>
        <w:t>6.7.1.</w:t>
        <w:tab/>
        <w:t>If a Grantee shall die while employed by, or performing service for, the Company or its Affiliates, or within the three</w:t>
      </w:r>
    </w:p>
    <w:p>
      <w:pPr>
        <w:spacing w:after="0" w:line="2" w:lineRule="exact"/>
        <w:rPr>
          <w:sz w:val="20"/>
          <w:szCs w:val="20"/>
          <w:color w:val="auto"/>
        </w:rPr>
      </w:pPr>
    </w:p>
    <w:p>
      <w:pPr>
        <w:jc w:val="both"/>
        <w:ind w:firstLine="2"/>
        <w:spacing w:after="0" w:line="216" w:lineRule="auto"/>
        <w:tabs>
          <w:tab w:leader="none" w:pos="305"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 period (or such longer period of time as determined by the Board, in its discretion) after the date of termination of such Grantee’s employment or service (or within such different period as the Committee may have provided pursuant to Section 6.6 hereof), or if the Grantee’s employment or service shall terminate by reason of Disability, all Awards theretofore granted to such Grantee may (to the extent otherwise vested and exercisable and unless earlier terminated in accordance with their terms) be exercised by the Grantee or by the Grantee’s estate or by a person who acquired the legal right to exercise such Awards by bequest or inheritance, or by a person who acquired the legal right to exercise such Awards in accordance with applicable law in the case of Disability of the Grantee, as the case may be, at any time within one (1) year (or such longer period of time as determined by the Committee, in its discretion) after the death or Disability of the Grantee (or such different period as the Committee shall prescribe), but in any event no later than the date of expiration of the Award’s term as set forth in the Award Agreement or pursuant to this Plan. In the event that an Award granted hereunder shall be exercised as set forth above by any person other than the Grantee, written notice of such exercise shall be accompanied by a certified copy of letters testamentary or proof satisfactory to the Committee of the right of such person to exercise such Award.</w:t>
      </w:r>
    </w:p>
    <w:p>
      <w:pPr>
        <w:spacing w:after="0" w:line="25" w:lineRule="exact"/>
        <w:rPr>
          <w:sz w:val="20"/>
          <w:szCs w:val="20"/>
          <w:color w:val="auto"/>
        </w:rPr>
      </w:pPr>
    </w:p>
    <w:p>
      <w:pPr>
        <w:ind w:firstLine="794"/>
        <w:spacing w:after="0" w:line="255" w:lineRule="auto"/>
        <w:rPr>
          <w:sz w:val="20"/>
          <w:szCs w:val="20"/>
          <w:color w:val="auto"/>
        </w:rPr>
      </w:pPr>
      <w:r>
        <w:rPr>
          <w:rFonts w:ascii="Times New Roman" w:cs="Times New Roman" w:eastAsia="Times New Roman" w:hAnsi="Times New Roman"/>
          <w:sz w:val="19"/>
          <w:szCs w:val="19"/>
          <w:color w:val="auto"/>
        </w:rPr>
        <w:t>6.7.2. In the event that the employment or service of a Grantee shall terminate on account of such Grantee’s Retirement, all Awards of such Grantee that are exercisable at the time of</w:t>
      </w:r>
    </w:p>
    <w:p>
      <w:pPr>
        <w:sectPr>
          <w:pgSz w:w="11900" w:h="16838" w:orient="portrait"/>
          <w:cols w:equalWidth="0" w:num="1">
            <w:col w:w="10760"/>
          </w:cols>
          <w:pgMar w:left="800" w:top="1242" w:right="339" w:bottom="1440" w:gutter="0" w:footer="0" w:header="0"/>
        </w:sectPr>
      </w:pPr>
    </w:p>
    <w:bookmarkStart w:id="177" w:name="page178"/>
    <w:bookmarkEnd w:id="177"/>
    <w:p>
      <w:pPr>
        <w:ind w:left="480"/>
        <w:spacing w:after="0" w:line="255" w:lineRule="auto"/>
        <w:rPr>
          <w:sz w:val="20"/>
          <w:szCs w:val="20"/>
          <w:color w:val="auto"/>
        </w:rPr>
      </w:pPr>
      <w:r>
        <w:rPr>
          <w:rFonts w:ascii="Times New Roman" w:cs="Times New Roman" w:eastAsia="Times New Roman" w:hAnsi="Times New Roman"/>
          <w:sz w:val="19"/>
          <w:szCs w:val="19"/>
          <w:color w:val="auto"/>
        </w:rPr>
        <w:t>such Retirement may, unless earlier terminated in accordance with their terms, be exercised at any time within the three (3) month period after the date of such Retirement (or such different period as the Committee shall prescribe).</w:t>
      </w:r>
    </w:p>
    <w:p>
      <w:pPr>
        <w:spacing w:after="0" w:line="12"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 xml:space="preserve">6.8. </w:t>
      </w:r>
      <w:r>
        <w:rPr>
          <w:rFonts w:ascii="Times New Roman" w:cs="Times New Roman" w:eastAsia="Times New Roman" w:hAnsi="Times New Roman"/>
          <w:sz w:val="19"/>
          <w:szCs w:val="19"/>
          <w:u w:val="single" w:color="auto"/>
          <w:color w:val="auto"/>
        </w:rPr>
        <w:t>Suspension of Vesting</w:t>
      </w:r>
      <w:r>
        <w:rPr>
          <w:rFonts w:ascii="Times New Roman" w:cs="Times New Roman" w:eastAsia="Times New Roman" w:hAnsi="Times New Roman"/>
          <w:sz w:val="19"/>
          <w:szCs w:val="19"/>
          <w:color w:val="auto"/>
        </w:rPr>
        <w:t>. Unless the Committee provides otherwise, vesting of Awards granted hereunder shall be suspended during any unpaid leave of absence, other than in the case of any (i) leave of absence which was pre-approved by the Company explicitly for purposes</w:t>
      </w:r>
    </w:p>
    <w:p>
      <w:pPr>
        <w:spacing w:after="0" w:line="210" w:lineRule="auto"/>
        <w:rPr>
          <w:sz w:val="20"/>
          <w:szCs w:val="20"/>
          <w:color w:val="auto"/>
        </w:rPr>
      </w:pPr>
      <w:r>
        <w:rPr>
          <w:rFonts w:ascii="Times New Roman" w:cs="Times New Roman" w:eastAsia="Times New Roman" w:hAnsi="Times New Roman"/>
          <w:sz w:val="19"/>
          <w:szCs w:val="19"/>
          <w:color w:val="auto"/>
        </w:rPr>
        <w:t>of continuing the vesting of Awards, or (ii) transfers between locations of the Company or any of its Affiliates, or between the Company and any of its Affiliates, or any respective successor thereof. For clarity, for purposes of this Plan, military leave, statutory maternity or paternity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leave or sick leave are not deemed unpaid leave of absence.</w:t>
      </w:r>
    </w:p>
    <w:p>
      <w:pPr>
        <w:spacing w:after="0" w:line="37"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9"/>
          <w:szCs w:val="19"/>
          <w:color w:val="auto"/>
        </w:rPr>
        <w:t>6.9.</w:t>
      </w:r>
      <w:r>
        <w:rPr>
          <w:sz w:val="20"/>
          <w:szCs w:val="20"/>
          <w:color w:val="auto"/>
        </w:rPr>
        <w:tab/>
      </w:r>
      <w:r>
        <w:rPr>
          <w:rFonts w:ascii="Times New Roman" w:cs="Times New Roman" w:eastAsia="Times New Roman" w:hAnsi="Times New Roman"/>
          <w:sz w:val="19"/>
          <w:szCs w:val="19"/>
          <w:u w:val="single" w:color="auto"/>
          <w:color w:val="auto"/>
        </w:rPr>
        <w:t>Securities Law Restrictions</w:t>
      </w:r>
      <w:r>
        <w:rPr>
          <w:rFonts w:ascii="Times New Roman" w:cs="Times New Roman" w:eastAsia="Times New Roman" w:hAnsi="Times New Roman"/>
          <w:sz w:val="19"/>
          <w:szCs w:val="19"/>
          <w:color w:val="auto"/>
        </w:rPr>
        <w:t>. Except as otherwise provided in the applicable Award Agreement or other agreement between the</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Service Provider and the Company, if the exercise of an Award following the termination of the Service Provider’s employment or service (other than for Cause) would be prohibited at any time solely because the issuance of Shares would violate the registration requirements under the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Securities Act or equivalent requirements under equivalent laws of other applicable jurisdictions, then the Award shall remain exercisable and terminate on the earlier of (i) the expiration of a period of three (3) months (or such longer period of time as determined by the Board, in its</w:t>
      </w:r>
    </w:p>
    <w:p>
      <w:pPr>
        <w:spacing w:after="0" w:line="219" w:lineRule="auto"/>
        <w:rPr>
          <w:sz w:val="20"/>
          <w:szCs w:val="20"/>
          <w:color w:val="auto"/>
        </w:rPr>
      </w:pPr>
      <w:r>
        <w:rPr>
          <w:rFonts w:ascii="Times New Roman" w:cs="Times New Roman" w:eastAsia="Times New Roman" w:hAnsi="Times New Roman"/>
          <w:sz w:val="19"/>
          <w:szCs w:val="19"/>
          <w:color w:val="auto"/>
        </w:rPr>
        <w:t>discretion) after the termination of the Service Provider’s employment or service during which the exercise of the Award would not be in such</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violation, or (ii) the expiration of the term of the Award as set forth in the Award Agreement or pursuant to this Plan. In addition, unless otherwise provided in a Grantee’s Award Agreement, if the sale of any Shares received upon exercise or (if applicable) vesting of an Award</w:t>
      </w:r>
    </w:p>
    <w:p>
      <w:pPr>
        <w:spacing w:after="0" w:line="219" w:lineRule="auto"/>
        <w:rPr>
          <w:sz w:val="20"/>
          <w:szCs w:val="20"/>
          <w:color w:val="auto"/>
        </w:rPr>
      </w:pPr>
      <w:r>
        <w:rPr>
          <w:rFonts w:ascii="Times New Roman" w:cs="Times New Roman" w:eastAsia="Times New Roman" w:hAnsi="Times New Roman"/>
          <w:sz w:val="19"/>
          <w:szCs w:val="19"/>
          <w:color w:val="auto"/>
        </w:rPr>
        <w:t>following the termination of the Grantee’s employment or service (other than for Cause) would violate the Company’s insider trading policy,</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then the Award shall terminate on the earlier of (i) the expiration of a period equal to the applicable post-termination exercise period after the termination of the Grantee’s employment or service during which the exercise of the Award would not be in violation of the Company’s insider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trading policy, or (ii) the expiration of the term of the Award as set forth in the applicable Award Agreement or pursuant to this Plan.</w:t>
      </w:r>
    </w:p>
    <w:p>
      <w:pPr>
        <w:spacing w:after="0" w:line="37"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9"/>
          <w:szCs w:val="19"/>
          <w:color w:val="auto"/>
        </w:rPr>
        <w:t>6.10.</w:t>
      </w:r>
      <w:r>
        <w:rPr>
          <w:sz w:val="20"/>
          <w:szCs w:val="20"/>
          <w:color w:val="auto"/>
        </w:rPr>
        <w:tab/>
      </w:r>
      <w:r>
        <w:rPr>
          <w:rFonts w:ascii="Times New Roman" w:cs="Times New Roman" w:eastAsia="Times New Roman" w:hAnsi="Times New Roman"/>
          <w:sz w:val="19"/>
          <w:szCs w:val="19"/>
          <w:u w:val="single" w:color="auto"/>
          <w:color w:val="auto"/>
        </w:rPr>
        <w:t>Voting Proxy</w:t>
      </w:r>
      <w:r>
        <w:rPr>
          <w:rFonts w:ascii="Times New Roman" w:cs="Times New Roman" w:eastAsia="Times New Roman" w:hAnsi="Times New Roman"/>
          <w:sz w:val="19"/>
          <w:szCs w:val="19"/>
          <w:color w:val="auto"/>
        </w:rPr>
        <w:t>. Until immediately after the listing for trading on a stock exchange or market or trading system of the Company’s (or</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 Successor Corporation’s) shares, the Shares subject to an Award or to be issued pursuant to an Award or any other Securities, shall, unless otherwise determined by the Committee, be subject to an irrevocable proxy and power of attorney, coupled with an interest, by the Grantee or</w:t>
      </w:r>
    </w:p>
    <w:p>
      <w:pPr>
        <w:spacing w:after="0" w:line="219" w:lineRule="auto"/>
        <w:rPr>
          <w:sz w:val="20"/>
          <w:szCs w:val="20"/>
          <w:color w:val="auto"/>
        </w:rPr>
      </w:pPr>
      <w:r>
        <w:rPr>
          <w:rFonts w:ascii="Times New Roman" w:cs="Times New Roman" w:eastAsia="Times New Roman" w:hAnsi="Times New Roman"/>
          <w:sz w:val="19"/>
          <w:szCs w:val="19"/>
          <w:color w:val="auto"/>
        </w:rPr>
        <w:t>the Trustee (if so requested from the Trustee), as the case may be, to the Company, which shall designate such person or persons (with a right of</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substitution) from time to time as determined by the Committee (and in the absence of such determination, the Chief Executive Officer of the Company or the Chairman of the Board, ex officio), which shall not be revocable by the Grantee in any manner or for any reason. The Trustee is</w:t>
      </w:r>
    </w:p>
    <w:p>
      <w:pPr>
        <w:spacing w:after="0" w:line="219" w:lineRule="auto"/>
        <w:rPr>
          <w:sz w:val="20"/>
          <w:szCs w:val="20"/>
          <w:color w:val="auto"/>
        </w:rPr>
      </w:pPr>
      <w:r>
        <w:rPr>
          <w:rFonts w:ascii="Times New Roman" w:cs="Times New Roman" w:eastAsia="Times New Roman" w:hAnsi="Times New Roman"/>
          <w:sz w:val="19"/>
          <w:szCs w:val="19"/>
          <w:color w:val="auto"/>
        </w:rPr>
        <w:t>deemed to be instructed by the Grantee to sign such proxy, as requested by the Company. The proxy shall entitle the holder thereof to receive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notices, vote and take such other actions in respect of the Shares or other Securities. Any person holding or exercising such voting proxies shall do so solely in his capacity as the proxy holder and not individually. All Awards granted hereunder shall be conditioned upon the execution of</w:t>
      </w:r>
    </w:p>
    <w:p>
      <w:pPr>
        <w:spacing w:after="0" w:line="219" w:lineRule="auto"/>
        <w:rPr>
          <w:sz w:val="20"/>
          <w:szCs w:val="20"/>
          <w:color w:val="auto"/>
        </w:rPr>
      </w:pPr>
      <w:r>
        <w:rPr>
          <w:rFonts w:ascii="Times New Roman" w:cs="Times New Roman" w:eastAsia="Times New Roman" w:hAnsi="Times New Roman"/>
          <w:sz w:val="19"/>
          <w:szCs w:val="19"/>
          <w:color w:val="auto"/>
        </w:rPr>
        <w:t>such irrevocable proxy in substantially the form prescribed by the Committee from time to time. So long as any such Shares are subject to such</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irrevocable proxy and power of attorney or held by a Trustee (and unless a proxy was given by the Trustee as aforesaid), (i) in any stockholders meeting or written consent in lieu thereof, such Shares shall be voted by the proxy holder (or the Trustee, as applicable), unless directed</w:t>
      </w:r>
    </w:p>
    <w:p>
      <w:pPr>
        <w:spacing w:after="0" w:line="219" w:lineRule="auto"/>
        <w:rPr>
          <w:sz w:val="20"/>
          <w:szCs w:val="20"/>
          <w:color w:val="auto"/>
        </w:rPr>
      </w:pPr>
      <w:r>
        <w:rPr>
          <w:rFonts w:ascii="Times New Roman" w:cs="Times New Roman" w:eastAsia="Times New Roman" w:hAnsi="Times New Roman"/>
          <w:sz w:val="19"/>
          <w:szCs w:val="19"/>
          <w:color w:val="auto"/>
        </w:rPr>
        <w:t>otherwise by the Board, in the same proportion as the result of the vote at the stockholders’ meeting (or written consent in lieu thereof) in</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respect of which the Shares are being voted (whether an extraordinary or annual meeting, and whether of the capital stock as one class or of any class thereof), and (ii) or in any act or consent of stockholders under the Company’s Certificate of Incorporation, Bylaws, agreements among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stockholders or otherwise, such Shares shall be cast by the proxy holder (or the Trustee, as applicable), unless directed otherwise by the Board, in the same proportion as the result of the stockholders’ act or consent.</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6.11. </w:t>
      </w:r>
      <w:r>
        <w:rPr>
          <w:rFonts w:ascii="Times New Roman" w:cs="Times New Roman" w:eastAsia="Times New Roman" w:hAnsi="Times New Roman"/>
          <w:sz w:val="19"/>
          <w:szCs w:val="19"/>
          <w:u w:val="single" w:color="auto"/>
          <w:color w:val="auto"/>
        </w:rPr>
        <w:t>Other Provisions</w:t>
      </w:r>
      <w:r>
        <w:rPr>
          <w:rFonts w:ascii="Times New Roman" w:cs="Times New Roman" w:eastAsia="Times New Roman" w:hAnsi="Times New Roman"/>
          <w:sz w:val="19"/>
          <w:szCs w:val="19"/>
          <w:color w:val="auto"/>
        </w:rPr>
        <w:t>. The Award Agreement evidencing Awards under this Plan shall contain such other terms and conditions not inconsistent with this Plan as the Committee may determine, at or after the date of grant, including provisions in connection with the restrictions</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on transferring the Awards or Shares covered by such Awards, which shall be binding upon the Grantees and any purchaser, assignee or transferee of any Awards, and other terms and conditions as the Committee shall deem appropriate.</w:t>
      </w:r>
    </w:p>
    <w:p>
      <w:pPr>
        <w:spacing w:after="0" w:line="23" w:lineRule="exact"/>
        <w:rPr>
          <w:sz w:val="20"/>
          <w:szCs w:val="20"/>
          <w:color w:val="auto"/>
        </w:rPr>
      </w:pPr>
    </w:p>
    <w:p>
      <w:pPr>
        <w:ind w:left="340" w:hanging="334"/>
        <w:spacing w:after="0"/>
        <w:tabs>
          <w:tab w:leader="none" w:pos="34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NONQUALIFIED STOCK OPTIONS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Awards granted pursuant to this Section 7 are intended to constitute Nonqualified Stock Options and shall be subject to the general terms and conditions specified in Section 6 hereof and other provisions of this Plan, except for any provisions of this Plan applying to Awards under</w:t>
      </w:r>
    </w:p>
    <w:p>
      <w:pPr>
        <w:spacing w:after="0" w:line="219" w:lineRule="auto"/>
        <w:rPr>
          <w:sz w:val="20"/>
          <w:szCs w:val="20"/>
          <w:color w:val="auto"/>
        </w:rPr>
      </w:pPr>
      <w:r>
        <w:rPr>
          <w:rFonts w:ascii="Times New Roman" w:cs="Times New Roman" w:eastAsia="Times New Roman" w:hAnsi="Times New Roman"/>
          <w:sz w:val="19"/>
          <w:szCs w:val="19"/>
          <w:color w:val="auto"/>
        </w:rPr>
        <w:t>different tax laws or regulations. In the event of any inconsistency or contradictions between the provisions of this Section 7 and the other terms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of this Plan, this Section 7 shall prevail. However, if for any reason the Awards granted pursuant to this Section 7 (or portion thereof) does not qualify as an Incentive Stock Option, then, to the extent of such non-qualification, such Option (or portion thereof) shall be regarded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Nonqualified Stock Option granted under this Plan. In no event will the Board, the Company or any Parent or Subsidiary or any of their</w:t>
      </w:r>
    </w:p>
    <w:p>
      <w:pPr>
        <w:sectPr>
          <w:pgSz w:w="11900" w:h="16838" w:orient="portrait"/>
          <w:cols w:equalWidth="0" w:num="1">
            <w:col w:w="11240"/>
          </w:cols>
          <w:pgMar w:left="320" w:top="1242" w:right="339" w:bottom="1440" w:gutter="0" w:footer="0" w:header="0"/>
        </w:sectPr>
      </w:pPr>
    </w:p>
    <w:bookmarkStart w:id="178" w:name="page179"/>
    <w:bookmarkEnd w:id="178"/>
    <w:p>
      <w:pPr>
        <w:spacing w:after="0" w:line="255" w:lineRule="auto"/>
        <w:rPr>
          <w:sz w:val="20"/>
          <w:szCs w:val="20"/>
          <w:color w:val="auto"/>
        </w:rPr>
      </w:pPr>
      <w:r>
        <w:rPr>
          <w:rFonts w:ascii="Times New Roman" w:cs="Times New Roman" w:eastAsia="Times New Roman" w:hAnsi="Times New Roman"/>
          <w:sz w:val="19"/>
          <w:szCs w:val="19"/>
          <w:color w:val="auto"/>
        </w:rPr>
        <w:t>respective employees or directors have any liability to Participant (or any other person) due to the failure of the Option to qualify for any reason as an Incentive Stock Option.</w:t>
      </w:r>
    </w:p>
    <w:p>
      <w:pPr>
        <w:spacing w:after="0" w:line="65" w:lineRule="exact"/>
        <w:rPr>
          <w:sz w:val="20"/>
          <w:szCs w:val="20"/>
          <w:color w:val="auto"/>
        </w:rPr>
      </w:pPr>
    </w:p>
    <w:p>
      <w:pPr>
        <w:ind w:left="500"/>
        <w:spacing w:after="0"/>
        <w:tabs>
          <w:tab w:leader="none" w:pos="104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9"/>
          <w:szCs w:val="19"/>
          <w:u w:val="single" w:color="auto"/>
          <w:color w:val="auto"/>
        </w:rPr>
        <w:t>Certain Limitations on Eligibility for Nonqualified Stock Options</w:t>
      </w:r>
      <w:r>
        <w:rPr>
          <w:rFonts w:ascii="Times New Roman" w:cs="Times New Roman" w:eastAsia="Times New Roman" w:hAnsi="Times New Roman"/>
          <w:sz w:val="19"/>
          <w:szCs w:val="19"/>
          <w:color w:val="auto"/>
        </w:rPr>
        <w:t>. Nonqualified Stock Options may not be granted to a Service</w:t>
      </w:r>
    </w:p>
    <w:p>
      <w:pPr>
        <w:spacing w:after="0" w:line="220" w:lineRule="auto"/>
        <w:rPr>
          <w:sz w:val="20"/>
          <w:szCs w:val="20"/>
          <w:color w:val="auto"/>
        </w:rPr>
      </w:pPr>
      <w:r>
        <w:rPr>
          <w:rFonts w:ascii="Times New Roman" w:cs="Times New Roman" w:eastAsia="Times New Roman" w:hAnsi="Times New Roman"/>
          <w:sz w:val="19"/>
          <w:szCs w:val="19"/>
          <w:color w:val="auto"/>
        </w:rPr>
        <w:t>Provider who is deemed to be a resident of the United States for purposes of taxation or who is otherwise subject to United States federal</w:t>
      </w:r>
    </w:p>
    <w:p>
      <w:pPr>
        <w:spacing w:after="0" w:line="228" w:lineRule="auto"/>
        <w:rPr>
          <w:sz w:val="20"/>
          <w:szCs w:val="20"/>
          <w:color w:val="auto"/>
        </w:rPr>
      </w:pPr>
      <w:r>
        <w:rPr>
          <w:rFonts w:ascii="Times New Roman" w:cs="Times New Roman" w:eastAsia="Times New Roman" w:hAnsi="Times New Roman"/>
          <w:sz w:val="19"/>
          <w:szCs w:val="19"/>
          <w:color w:val="auto"/>
        </w:rPr>
        <w:t>income tax unless the Shares underlying such Options constitute “service recipient stock” under Section 409A of the Code or unless such Options comply with the payment requirements of Section 409A of the Code.</w:t>
      </w:r>
    </w:p>
    <w:p>
      <w:pPr>
        <w:spacing w:after="0" w:line="26" w:lineRule="exact"/>
        <w:rPr>
          <w:sz w:val="20"/>
          <w:szCs w:val="20"/>
          <w:color w:val="auto"/>
        </w:rPr>
      </w:pPr>
    </w:p>
    <w:p>
      <w:pPr>
        <w:ind w:firstLine="496"/>
        <w:spacing w:after="0" w:line="230"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Exercise Price of a Nonqualified Stock Option shall not be less than 100% of the Fair Market Value of a Share on the date of grant of such Option unless the Committee specifically indicates that the Awards will have a lower Exercise Price and the Award</w:t>
      </w:r>
    </w:p>
    <w:p>
      <w:pPr>
        <w:spacing w:after="0" w:line="210" w:lineRule="auto"/>
        <w:rPr>
          <w:sz w:val="20"/>
          <w:szCs w:val="20"/>
          <w:color w:val="auto"/>
        </w:rPr>
      </w:pPr>
      <w:r>
        <w:rPr>
          <w:rFonts w:ascii="Times New Roman" w:cs="Times New Roman" w:eastAsia="Times New Roman" w:hAnsi="Times New Roman"/>
          <w:sz w:val="19"/>
          <w:szCs w:val="19"/>
          <w:color w:val="auto"/>
        </w:rPr>
        <w:t>complies with Section 409A of the Code. Notwithstanding the foregoing, a Nonqualified Stock Option may be granted with an exercise price lower than the minimum exercise price set forth above if such Award is granted pursuant to an assumption or substitution for another option in a</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manner qualifying under the provisions of that complies with Section 424(a) of the Code or 1.409A-1(b)(5)(v)(D) of the U.S. Treasury Regulations or any successor guidance.</w:t>
      </w:r>
    </w:p>
    <w:p>
      <w:pPr>
        <w:spacing w:after="0" w:line="23" w:lineRule="exact"/>
        <w:rPr>
          <w:sz w:val="20"/>
          <w:szCs w:val="20"/>
          <w:color w:val="auto"/>
        </w:rPr>
      </w:pPr>
    </w:p>
    <w:p>
      <w:pPr>
        <w:ind w:left="340" w:hanging="334"/>
        <w:spacing w:after="0"/>
        <w:tabs>
          <w:tab w:leader="none" w:pos="34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INCENTIVE STOCK OPTIONS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Awards granted pursuant to this Section 8 are intended to constitute Incentive Stock Options and shall be granted subject to the following</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provisions of this Section 8 and the other terms of this Plan, this Section 8 shall prevail.</w:t>
      </w:r>
    </w:p>
    <w:p>
      <w:pPr>
        <w:spacing w:after="0" w:line="37"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9"/>
          <w:szCs w:val="19"/>
          <w:color w:val="auto"/>
        </w:rPr>
        <w:t>8.1.</w:t>
      </w:r>
      <w:r>
        <w:rPr>
          <w:sz w:val="20"/>
          <w:szCs w:val="20"/>
          <w:color w:val="auto"/>
        </w:rPr>
        <w:tab/>
      </w:r>
      <w:r>
        <w:rPr>
          <w:rFonts w:ascii="Times New Roman" w:cs="Times New Roman" w:eastAsia="Times New Roman" w:hAnsi="Times New Roman"/>
          <w:sz w:val="19"/>
          <w:szCs w:val="19"/>
          <w:u w:val="single" w:color="auto"/>
          <w:color w:val="auto"/>
        </w:rPr>
        <w:t>Eligibility for Incentive Stock Options</w:t>
      </w:r>
      <w:r>
        <w:rPr>
          <w:rFonts w:ascii="Times New Roman" w:cs="Times New Roman" w:eastAsia="Times New Roman" w:hAnsi="Times New Roman"/>
          <w:sz w:val="19"/>
          <w:szCs w:val="19"/>
          <w:color w:val="auto"/>
        </w:rPr>
        <w:t>. Incentive Stock Options may be granted only to Employees of the Company, or to</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Employees of a Parent or Subsidiary, determined as of the date of grant of such Options. An Incentive Stock Option granted to a prospective Employee upon the condition that such person become an Employee shall be deemed granted effective on the date such person commences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employment, with an exercise price determined as of such date in accordance with Section 8.2.</w:t>
      </w:r>
    </w:p>
    <w:p>
      <w:pPr>
        <w:spacing w:after="0" w:line="37"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9"/>
          <w:szCs w:val="19"/>
          <w:color w:val="auto"/>
        </w:rPr>
        <w:t>8.2.</w:t>
      </w:r>
      <w:r>
        <w:rPr>
          <w:sz w:val="20"/>
          <w:szCs w:val="20"/>
          <w:color w:val="auto"/>
        </w:rPr>
        <w:tab/>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Exercise Price of an Incentive Stock Option shall not be less than one hundred percent (100%) of the Fair</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Market Value of the Shares covered by the Awards on the date of grant of such Option or such other price as may be determined pursuant to the Code. Notwithstanding the foregoing, an Incentive Stock Option may be granted with an exercise price lower than the minimum exercise price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set forth above if such Award is granted pursuant to an assumption or substitution for another option in a manner that complies with the provisions of Section 424(a) of the Code.</w:t>
      </w:r>
    </w:p>
    <w:p>
      <w:pPr>
        <w:spacing w:after="0" w:line="27" w:lineRule="exact"/>
        <w:rPr>
          <w:sz w:val="20"/>
          <w:szCs w:val="20"/>
          <w:color w:val="auto"/>
        </w:rPr>
      </w:pPr>
    </w:p>
    <w:p>
      <w:pPr>
        <w:jc w:val="both"/>
        <w:ind w:firstLine="500"/>
        <w:spacing w:after="0" w:line="241" w:lineRule="auto"/>
        <w:rPr>
          <w:sz w:val="20"/>
          <w:szCs w:val="20"/>
          <w:color w:val="auto"/>
        </w:rPr>
      </w:pPr>
      <w:r>
        <w:rPr>
          <w:rFonts w:ascii="Times New Roman" w:cs="Times New Roman" w:eastAsia="Times New Roman" w:hAnsi="Times New Roman"/>
          <w:sz w:val="19"/>
          <w:szCs w:val="19"/>
          <w:color w:val="auto"/>
        </w:rPr>
        <w:t xml:space="preserve">8.3. </w:t>
      </w:r>
      <w:r>
        <w:rPr>
          <w:rFonts w:ascii="Times New Roman" w:cs="Times New Roman" w:eastAsia="Times New Roman" w:hAnsi="Times New Roman"/>
          <w:sz w:val="19"/>
          <w:szCs w:val="19"/>
          <w:u w:val="single" w:color="auto"/>
          <w:color w:val="auto"/>
        </w:rPr>
        <w:t>Date of Grant</w:t>
      </w:r>
      <w:r>
        <w:rPr>
          <w:rFonts w:ascii="Times New Roman" w:cs="Times New Roman" w:eastAsia="Times New Roman" w:hAnsi="Times New Roman"/>
          <w:sz w:val="19"/>
          <w:szCs w:val="19"/>
          <w:color w:val="auto"/>
        </w:rPr>
        <w:t>. Notwithstanding any other provision of this Plan to the contrary, no Incentive Stock Option may be granted under this Plan after 10 years from the date this Plan is adopted, or the date this Plan is approved by the stockholders, whichever is earlier.</w:t>
      </w:r>
    </w:p>
    <w:p>
      <w:pPr>
        <w:spacing w:after="0" w:line="24" w:lineRule="exact"/>
        <w:rPr>
          <w:sz w:val="20"/>
          <w:szCs w:val="20"/>
          <w:color w:val="auto"/>
        </w:rPr>
      </w:pPr>
    </w:p>
    <w:p>
      <w:pPr>
        <w:jc w:val="both"/>
        <w:ind w:firstLine="500"/>
        <w:spacing w:after="0" w:line="237" w:lineRule="auto"/>
        <w:rPr>
          <w:sz w:val="20"/>
          <w:szCs w:val="20"/>
          <w:color w:val="auto"/>
        </w:rPr>
      </w:pPr>
      <w:r>
        <w:rPr>
          <w:rFonts w:ascii="Times New Roman" w:cs="Times New Roman" w:eastAsia="Times New Roman" w:hAnsi="Times New Roman"/>
          <w:sz w:val="19"/>
          <w:szCs w:val="19"/>
          <w:color w:val="auto"/>
        </w:rPr>
        <w:t xml:space="preserve">8.4. </w:t>
      </w:r>
      <w:r>
        <w:rPr>
          <w:rFonts w:ascii="Times New Roman" w:cs="Times New Roman" w:eastAsia="Times New Roman" w:hAnsi="Times New Roman"/>
          <w:sz w:val="19"/>
          <w:szCs w:val="19"/>
          <w:u w:val="single" w:color="auto"/>
          <w:color w:val="auto"/>
        </w:rPr>
        <w:t>Exercise Period</w:t>
      </w:r>
      <w:r>
        <w:rPr>
          <w:rFonts w:ascii="Times New Roman" w:cs="Times New Roman" w:eastAsia="Times New Roman" w:hAnsi="Times New Roman"/>
          <w:sz w:val="19"/>
          <w:szCs w:val="19"/>
          <w:color w:val="auto"/>
        </w:rPr>
        <w:t>. No Incentive Stock Option shall be exercisable after the expiration of ten (10) years after the effective date of grant of such Award, subject to Section 8.6. No Incentive Stock Option granted to a prospective Employee may become exercisable prior to the date on which such person commences employment.</w:t>
      </w:r>
    </w:p>
    <w:p>
      <w:pPr>
        <w:spacing w:after="0" w:line="28" w:lineRule="exact"/>
        <w:rPr>
          <w:sz w:val="20"/>
          <w:szCs w:val="20"/>
          <w:color w:val="auto"/>
        </w:rPr>
      </w:pPr>
    </w:p>
    <w:p>
      <w:pPr>
        <w:jc w:val="both"/>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8.5. </w:t>
      </w:r>
      <w:r>
        <w:rPr>
          <w:rFonts w:ascii="Times New Roman" w:cs="Times New Roman" w:eastAsia="Times New Roman" w:hAnsi="Times New Roman"/>
          <w:sz w:val="19"/>
          <w:szCs w:val="19"/>
          <w:u w:val="single" w:color="auto"/>
          <w:color w:val="auto"/>
        </w:rPr>
        <w:t>$100,000 Per Year Limitation</w:t>
      </w:r>
      <w:r>
        <w:rPr>
          <w:rFonts w:ascii="Times New Roman" w:cs="Times New Roman" w:eastAsia="Times New Roman" w:hAnsi="Times New Roman"/>
          <w:sz w:val="19"/>
          <w:szCs w:val="19"/>
          <w:color w:val="auto"/>
        </w:rPr>
        <w:t>. The aggregate Fair Market Value (determined as of the date the Incentive Stock Option is granted) of the Shares with respect to which all Incentive Stock Options granted under this Plan and all other “incentive stock option” plans of the</w:t>
      </w:r>
    </w:p>
    <w:p>
      <w:pPr>
        <w:spacing w:after="0" w:line="219" w:lineRule="auto"/>
        <w:rPr>
          <w:sz w:val="20"/>
          <w:szCs w:val="20"/>
          <w:color w:val="auto"/>
        </w:rPr>
      </w:pPr>
      <w:r>
        <w:rPr>
          <w:rFonts w:ascii="Times New Roman" w:cs="Times New Roman" w:eastAsia="Times New Roman" w:hAnsi="Times New Roman"/>
          <w:sz w:val="19"/>
          <w:szCs w:val="19"/>
          <w:color w:val="auto"/>
        </w:rPr>
        <w:t>Company, or of any Parent or Subsidiary, become exercisable for the first time by each Grantee during any calendar year shall not exceed one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hundred thousand United States dollars ($100,000) with respect to such Grantee. To the extent that the aggregate Fair Market Value of Shares with respect to which such Incentive Stock Options and any other such incentive stock options are exercisable for the first time by any Grantee</w:t>
      </w:r>
    </w:p>
    <w:p>
      <w:pPr>
        <w:spacing w:after="0" w:line="219" w:lineRule="auto"/>
        <w:rPr>
          <w:sz w:val="20"/>
          <w:szCs w:val="20"/>
          <w:color w:val="auto"/>
        </w:rPr>
      </w:pPr>
      <w:r>
        <w:rPr>
          <w:rFonts w:ascii="Times New Roman" w:cs="Times New Roman" w:eastAsia="Times New Roman" w:hAnsi="Times New Roman"/>
          <w:sz w:val="19"/>
          <w:szCs w:val="19"/>
          <w:color w:val="auto"/>
        </w:rPr>
        <w:t>during any calendar year exceeds one hundred thousand United States dollars ($100,000), such options shall be treated as Nonqualified Stock</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Options. The foregoing shall be applied by taking options into account in the order in which they were granted. If the Code is amended to provide for a different limitation from that set forth in this Section 8.5, such different limitation shall be deemed incorporated herein effective as</w:t>
      </w:r>
    </w:p>
    <w:p>
      <w:pPr>
        <w:spacing w:after="0" w:line="219" w:lineRule="auto"/>
        <w:rPr>
          <w:sz w:val="20"/>
          <w:szCs w:val="20"/>
          <w:color w:val="auto"/>
        </w:rPr>
      </w:pPr>
      <w:r>
        <w:rPr>
          <w:rFonts w:ascii="Times New Roman" w:cs="Times New Roman" w:eastAsia="Times New Roman" w:hAnsi="Times New Roman"/>
          <w:sz w:val="19"/>
          <w:szCs w:val="19"/>
          <w:color w:val="auto"/>
        </w:rPr>
        <w:t>of the date and with respect to such Awards as required or permitted by such amendment to the Code. If an Option is treated as an Incentive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Stock Option in part and as a Nonqualified Stock Option in part by reason of the limitation set forth in this Section 8.5, the Grantee may designate which portion of such Option the Grantee is exercising. In the absence of such designation, the Grantee shall be deemed to have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exercised the Incentive Stock Option portion of the Option first. Separate certificates representing each such portion may be issued upon the exercise of the Option.</w:t>
      </w:r>
    </w:p>
    <w:p>
      <w:pPr>
        <w:spacing w:after="0" w:line="39" w:lineRule="exact"/>
        <w:rPr>
          <w:sz w:val="20"/>
          <w:szCs w:val="20"/>
          <w:color w:val="auto"/>
        </w:rPr>
      </w:pPr>
    </w:p>
    <w:p>
      <w:pPr>
        <w:jc w:val="both"/>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8.6. </w:t>
      </w:r>
      <w:r>
        <w:rPr>
          <w:rFonts w:ascii="Times New Roman" w:cs="Times New Roman" w:eastAsia="Times New Roman" w:hAnsi="Times New Roman"/>
          <w:sz w:val="19"/>
          <w:szCs w:val="19"/>
          <w:u w:val="single" w:color="auto"/>
          <w:color w:val="auto"/>
        </w:rPr>
        <w:t>Ten Percent Stockholder</w:t>
      </w:r>
      <w:r>
        <w:rPr>
          <w:rFonts w:ascii="Times New Roman" w:cs="Times New Roman" w:eastAsia="Times New Roman" w:hAnsi="Times New Roman"/>
          <w:sz w:val="19"/>
          <w:szCs w:val="19"/>
          <w:color w:val="auto"/>
        </w:rPr>
        <w:t>. In the case of an Incentive Stock Option granted to a Ten Percent Stockholder, notwithstanding the foregoing provisions of this Section 8.6, (i) the Exercise Price shall not be less than one hundred and ten percent (110%) of the Fair Market</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Value of a Share on the date of grant of such Incentive Stock Option, and (ii) the Exercise Period shall not exceed five (5) years from the effective date of grant of such Incentive Stock Option.</w:t>
      </w:r>
    </w:p>
    <w:p>
      <w:pPr>
        <w:sectPr>
          <w:pgSz w:w="11900" w:h="16838" w:orient="portrait"/>
          <w:cols w:equalWidth="0" w:num="1">
            <w:col w:w="11240"/>
          </w:cols>
          <w:pgMar w:left="320" w:top="1242" w:right="339" w:bottom="1440" w:gutter="0" w:footer="0" w:header="0"/>
        </w:sectPr>
      </w:pPr>
    </w:p>
    <w:bookmarkStart w:id="179" w:name="page180"/>
    <w:bookmarkEnd w:id="179"/>
    <w:p>
      <w:pPr>
        <w:ind w:firstLine="500"/>
        <w:spacing w:after="0" w:line="255" w:lineRule="auto"/>
        <w:rPr>
          <w:sz w:val="20"/>
          <w:szCs w:val="20"/>
          <w:color w:val="auto"/>
        </w:rPr>
      </w:pPr>
      <w:r>
        <w:rPr>
          <w:rFonts w:ascii="Times New Roman" w:cs="Times New Roman" w:eastAsia="Times New Roman" w:hAnsi="Times New Roman"/>
          <w:sz w:val="19"/>
          <w:szCs w:val="19"/>
          <w:color w:val="auto"/>
        </w:rPr>
        <w:t xml:space="preserve">8.7. </w:t>
      </w:r>
      <w:r>
        <w:rPr>
          <w:rFonts w:ascii="Times New Roman" w:cs="Times New Roman" w:eastAsia="Times New Roman" w:hAnsi="Times New Roman"/>
          <w:sz w:val="19"/>
          <w:szCs w:val="19"/>
          <w:u w:val="single" w:color="auto"/>
          <w:color w:val="auto"/>
        </w:rPr>
        <w:t>Payment of Exercise Price</w:t>
      </w:r>
      <w:r>
        <w:rPr>
          <w:rFonts w:ascii="Times New Roman" w:cs="Times New Roman" w:eastAsia="Times New Roman" w:hAnsi="Times New Roman"/>
          <w:sz w:val="19"/>
          <w:szCs w:val="19"/>
          <w:color w:val="auto"/>
        </w:rPr>
        <w:t>. Each Award Agreement evidencing an Incentive Stock Option shall state each alternative method by which the Exercise Price thereof may be paid.</w:t>
      </w:r>
    </w:p>
    <w:p>
      <w:pPr>
        <w:spacing w:after="0" w:line="12" w:lineRule="exact"/>
        <w:rPr>
          <w:sz w:val="20"/>
          <w:szCs w:val="20"/>
          <w:color w:val="auto"/>
        </w:rPr>
      </w:pPr>
    </w:p>
    <w:p>
      <w:pPr>
        <w:jc w:val="both"/>
        <w:ind w:firstLine="500"/>
        <w:spacing w:after="0" w:line="230" w:lineRule="auto"/>
        <w:rPr>
          <w:sz w:val="20"/>
          <w:szCs w:val="20"/>
          <w:color w:val="auto"/>
        </w:rPr>
      </w:pPr>
      <w:r>
        <w:rPr>
          <w:rFonts w:ascii="Times New Roman" w:cs="Times New Roman" w:eastAsia="Times New Roman" w:hAnsi="Times New Roman"/>
          <w:sz w:val="19"/>
          <w:szCs w:val="19"/>
          <w:color w:val="auto"/>
        </w:rPr>
        <w:t xml:space="preserve">8.8. </w:t>
      </w:r>
      <w:r>
        <w:rPr>
          <w:rFonts w:ascii="Times New Roman" w:cs="Times New Roman" w:eastAsia="Times New Roman" w:hAnsi="Times New Roman"/>
          <w:sz w:val="19"/>
          <w:szCs w:val="19"/>
          <w:u w:val="single" w:color="auto"/>
          <w:color w:val="auto"/>
        </w:rPr>
        <w:t>Leave of Absence</w:t>
      </w:r>
      <w:r>
        <w:rPr>
          <w:rFonts w:ascii="Times New Roman" w:cs="Times New Roman" w:eastAsia="Times New Roman" w:hAnsi="Times New Roman"/>
          <w:sz w:val="19"/>
          <w:szCs w:val="19"/>
          <w:color w:val="auto"/>
        </w:rPr>
        <w:t>. Notwithstanding Section 6.8, a Grantee’s employment shall not be deemed to have terminated if the Grantee takes any leave as set forth in Section 6.8(i); provided, however, that if any such leave exceeds three (3) months, on the day that is three (3)</w:t>
      </w:r>
    </w:p>
    <w:p>
      <w:pPr>
        <w:spacing w:after="0" w:line="210" w:lineRule="auto"/>
        <w:rPr>
          <w:sz w:val="20"/>
          <w:szCs w:val="20"/>
          <w:color w:val="auto"/>
        </w:rPr>
      </w:pPr>
      <w:r>
        <w:rPr>
          <w:rFonts w:ascii="Times New Roman" w:cs="Times New Roman" w:eastAsia="Times New Roman" w:hAnsi="Times New Roman"/>
          <w:sz w:val="19"/>
          <w:szCs w:val="19"/>
          <w:color w:val="auto"/>
        </w:rPr>
        <w:t>months following the commencement of such leave any Incentive Stock Option held by the Grantee shall cease to be treated as an Incentive Stock Option and instead shall be treated thereafter as a Nonqualified Stock Option, unless the Grantee’s right to return to employment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guaranteed by statute or contract.</w:t>
      </w:r>
    </w:p>
    <w:p>
      <w:pPr>
        <w:spacing w:after="0" w:line="37"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9"/>
          <w:szCs w:val="19"/>
          <w:color w:val="auto"/>
        </w:rPr>
        <w:t>8.9.</w:t>
      </w:r>
      <w:r>
        <w:rPr>
          <w:sz w:val="20"/>
          <w:szCs w:val="20"/>
          <w:color w:val="auto"/>
        </w:rPr>
        <w:tab/>
      </w:r>
      <w:r>
        <w:rPr>
          <w:rFonts w:ascii="Times New Roman" w:cs="Times New Roman" w:eastAsia="Times New Roman" w:hAnsi="Times New Roman"/>
          <w:sz w:val="19"/>
          <w:szCs w:val="19"/>
          <w:u w:val="single" w:color="auto"/>
          <w:color w:val="auto"/>
        </w:rPr>
        <w:t>Exercise Following Termination for Disability</w:t>
      </w:r>
      <w:r>
        <w:rPr>
          <w:rFonts w:ascii="Times New Roman" w:cs="Times New Roman" w:eastAsia="Times New Roman" w:hAnsi="Times New Roman"/>
          <w:sz w:val="19"/>
          <w:szCs w:val="19"/>
          <w:color w:val="auto"/>
        </w:rPr>
        <w:t>. Notwithstanding anything else in this Plan to the contrary, Incentive Stock Options</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that are not exercised within three (3) months following termination of the Grantee’s employment with the Company or its Parent or Subsidiary or a corporation or a Parent or Subsidiary of such corporation issuing or assuming an Option in a transaction to which Section 424(a)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Code applies, or within one year in case of termination of the Grantee’s employment with the Company or its Parent or Subsidiary due to a Disability (within the meaning of Section 22(e)(3) of the Code), shall be deemed to be Nonqualified Stock Options.</w:t>
      </w:r>
    </w:p>
    <w:p>
      <w:pPr>
        <w:spacing w:after="0" w:line="39"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8.10. </w:t>
      </w:r>
      <w:r>
        <w:rPr>
          <w:rFonts w:ascii="Times New Roman" w:cs="Times New Roman" w:eastAsia="Times New Roman" w:hAnsi="Times New Roman"/>
          <w:sz w:val="19"/>
          <w:szCs w:val="19"/>
          <w:u w:val="single" w:color="auto"/>
          <w:color w:val="auto"/>
        </w:rPr>
        <w:t>Adjustments to Incentive Stock Options</w:t>
      </w:r>
      <w:r>
        <w:rPr>
          <w:rFonts w:ascii="Times New Roman" w:cs="Times New Roman" w:eastAsia="Times New Roman" w:hAnsi="Times New Roman"/>
          <w:sz w:val="19"/>
          <w:szCs w:val="19"/>
          <w:color w:val="auto"/>
        </w:rPr>
        <w:t>. Any Awards Agreement providing for the grant of Incentive Stock Options shall indicate that adjustments made pursuant to this Plan with respect to Incentive Stock Options could constitute a “modification” of such Incentive Stock</w:t>
      </w:r>
    </w:p>
    <w:p>
      <w:pPr>
        <w:spacing w:after="0" w:line="219" w:lineRule="auto"/>
        <w:rPr>
          <w:sz w:val="20"/>
          <w:szCs w:val="20"/>
          <w:color w:val="auto"/>
        </w:rPr>
      </w:pPr>
      <w:r>
        <w:rPr>
          <w:rFonts w:ascii="Times New Roman" w:cs="Times New Roman" w:eastAsia="Times New Roman" w:hAnsi="Times New Roman"/>
          <w:sz w:val="19"/>
          <w:szCs w:val="19"/>
          <w:color w:val="auto"/>
        </w:rPr>
        <w:t>Options (as that term is defined in Section 424(h) of the Code) or could cause adverse tax consequences for the holder of such Incentive Stock</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Options and that the holder should consult with his or her tax advisor regarding the consequences of such “modification” on his or her income tax treatment with respect to the Incentive Stock Option.</w:t>
      </w:r>
    </w:p>
    <w:p>
      <w:pPr>
        <w:spacing w:after="0" w:line="26" w:lineRule="exact"/>
        <w:rPr>
          <w:sz w:val="20"/>
          <w:szCs w:val="20"/>
          <w:color w:val="auto"/>
        </w:rPr>
      </w:pPr>
    </w:p>
    <w:p>
      <w:pPr>
        <w:ind w:firstLine="496"/>
        <w:spacing w:after="0" w:line="230" w:lineRule="auto"/>
        <w:rPr>
          <w:sz w:val="20"/>
          <w:szCs w:val="20"/>
          <w:color w:val="auto"/>
        </w:rPr>
      </w:pPr>
      <w:r>
        <w:rPr>
          <w:rFonts w:ascii="Times New Roman" w:cs="Times New Roman" w:eastAsia="Times New Roman" w:hAnsi="Times New Roman"/>
          <w:sz w:val="19"/>
          <w:szCs w:val="19"/>
          <w:color w:val="auto"/>
        </w:rPr>
        <w:t xml:space="preserve">8.11. </w:t>
      </w:r>
      <w:r>
        <w:rPr>
          <w:rFonts w:ascii="Times New Roman" w:cs="Times New Roman" w:eastAsia="Times New Roman" w:hAnsi="Times New Roman"/>
          <w:sz w:val="19"/>
          <w:szCs w:val="19"/>
          <w:u w:val="single" w:color="auto"/>
          <w:color w:val="auto"/>
        </w:rPr>
        <w:t>Notice to Company of Disqualifying Disposition</w:t>
      </w:r>
      <w:r>
        <w:rPr>
          <w:rFonts w:ascii="Times New Roman" w:cs="Times New Roman" w:eastAsia="Times New Roman" w:hAnsi="Times New Roman"/>
          <w:sz w:val="19"/>
          <w:szCs w:val="19"/>
          <w:color w:val="auto"/>
        </w:rPr>
        <w:t>. Each Grantee who receives an Incentive Stock Option must agree to notify the Company in writing immediately after the Grantee makes a Disqualifying Disposition of any Shares received pursuant to the exercise of</w:t>
      </w:r>
    </w:p>
    <w:p>
      <w:pPr>
        <w:spacing w:after="0" w:line="210" w:lineRule="auto"/>
        <w:rPr>
          <w:sz w:val="20"/>
          <w:szCs w:val="20"/>
          <w:color w:val="auto"/>
        </w:rPr>
      </w:pPr>
      <w:r>
        <w:rPr>
          <w:rFonts w:ascii="Times New Roman" w:cs="Times New Roman" w:eastAsia="Times New Roman" w:hAnsi="Times New Roman"/>
          <w:sz w:val="19"/>
          <w:szCs w:val="19"/>
          <w:color w:val="auto"/>
        </w:rPr>
        <w:t>Incentive Stock Options. A “Disqualifying Disposition” is any disposition (including any sale) of such Shares before the later of (i) two years after the date the Grantee was granted the Incentive Stock Option, or (ii) one year after the date the Grantee acquired Shares by exercising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Incentive Stock Option. If the Grantee dies before such Shares are sold, these holding period requirements do not apply and no disposition of the Shares will be deemed a Disqualifying Disposition.</w:t>
      </w:r>
    </w:p>
    <w:p>
      <w:pPr>
        <w:spacing w:after="0" w:line="35" w:lineRule="exact"/>
        <w:rPr>
          <w:sz w:val="20"/>
          <w:szCs w:val="20"/>
          <w:color w:val="auto"/>
        </w:rPr>
      </w:pPr>
    </w:p>
    <w:p>
      <w:pPr>
        <w:ind w:left="340" w:hanging="334"/>
        <w:spacing w:after="0"/>
        <w:tabs>
          <w:tab w:leader="none" w:pos="34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102 AWARDS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Awards granted pursuant to this Section 9 are intended to constitute 102 Awards and shall be granted subject to the following special terms and conditions, the general terms and conditions specified in Section 6 hereof and other provisions of this Plan, except for any provisions of this</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Plan applying to Awards under different tax laws or regulations. In the event of any inconsistency or contradictions between the provisions of this Section 9 and the other terms of this Plan, this Section 9 shall prevail.</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9.1. </w:t>
      </w:r>
      <w:r>
        <w:rPr>
          <w:rFonts w:ascii="Times New Roman" w:cs="Times New Roman" w:eastAsia="Times New Roman" w:hAnsi="Times New Roman"/>
          <w:sz w:val="19"/>
          <w:szCs w:val="19"/>
          <w:u w:val="single" w:color="auto"/>
          <w:color w:val="auto"/>
        </w:rPr>
        <w:t>Tracks</w:t>
      </w:r>
      <w:r>
        <w:rPr>
          <w:rFonts w:ascii="Times New Roman" w:cs="Times New Roman" w:eastAsia="Times New Roman" w:hAnsi="Times New Roman"/>
          <w:sz w:val="19"/>
          <w:szCs w:val="19"/>
          <w:color w:val="auto"/>
        </w:rPr>
        <w:t>. Awards granted pursuant to this Section 9 are intended to be granted pursuant to Section 102 of the Ordinance pursuant to either (i) Section 102(b)(2) or (3) thereof (as applicable), under the capital gain track (“</w:t>
      </w:r>
      <w:r>
        <w:rPr>
          <w:rFonts w:ascii="Times New Roman" w:cs="Times New Roman" w:eastAsia="Times New Roman" w:hAnsi="Times New Roman"/>
          <w:sz w:val="19"/>
          <w:szCs w:val="19"/>
          <w:b w:val="1"/>
          <w:bCs w:val="1"/>
          <w:color w:val="auto"/>
        </w:rPr>
        <w:t>102 Capital Gain Track Awards</w:t>
      </w:r>
      <w:r>
        <w:rPr>
          <w:rFonts w:ascii="Times New Roman" w:cs="Times New Roman" w:eastAsia="Times New Roman" w:hAnsi="Times New Roman"/>
          <w:sz w:val="19"/>
          <w:szCs w:val="19"/>
          <w:color w:val="auto"/>
        </w:rPr>
        <w:t>”), or (ii) Section</w:t>
      </w:r>
    </w:p>
    <w:p>
      <w:pPr>
        <w:spacing w:after="0" w:line="219" w:lineRule="auto"/>
        <w:rPr>
          <w:sz w:val="20"/>
          <w:szCs w:val="20"/>
          <w:color w:val="auto"/>
        </w:rPr>
      </w:pPr>
      <w:r>
        <w:rPr>
          <w:rFonts w:ascii="Times New Roman" w:cs="Times New Roman" w:eastAsia="Times New Roman" w:hAnsi="Times New Roman"/>
          <w:sz w:val="19"/>
          <w:szCs w:val="19"/>
          <w:color w:val="auto"/>
        </w:rPr>
        <w:t>102(b)(1) thereof under the ordinary income track (“</w:t>
      </w:r>
      <w:r>
        <w:rPr>
          <w:rFonts w:ascii="Times New Roman" w:cs="Times New Roman" w:eastAsia="Times New Roman" w:hAnsi="Times New Roman"/>
          <w:sz w:val="19"/>
          <w:szCs w:val="19"/>
          <w:b w:val="1"/>
          <w:bCs w:val="1"/>
          <w:color w:val="auto"/>
        </w:rPr>
        <w:t>102 Ordinary Income Track Awards</w:t>
      </w:r>
      <w:r>
        <w:rPr>
          <w:rFonts w:ascii="Times New Roman" w:cs="Times New Roman" w:eastAsia="Times New Roman" w:hAnsi="Times New Roman"/>
          <w:sz w:val="19"/>
          <w:szCs w:val="19"/>
          <w:color w:val="auto"/>
        </w:rPr>
        <w:t>”, and together with 102 Capital Gain Track Awards,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102 Trustee Awards</w:t>
      </w:r>
      <w:r>
        <w:rPr>
          <w:rFonts w:ascii="Times New Roman" w:cs="Times New Roman" w:eastAsia="Times New Roman" w:hAnsi="Times New Roman"/>
          <w:sz w:val="19"/>
          <w:szCs w:val="19"/>
          <w:color w:val="auto"/>
        </w:rPr>
        <w:t>”). 102 Trustee Awards shall be granted subject to the special terms and conditions contained in this Section 9, the general terms and conditions specified in Section 6 hereof and other provisions of this Plan, except for any provisions of this Plan applying to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under different tax laws or regulations.</w:t>
      </w:r>
    </w:p>
    <w:p>
      <w:pPr>
        <w:spacing w:after="0" w:line="37"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9"/>
          <w:szCs w:val="19"/>
          <w:color w:val="auto"/>
        </w:rPr>
        <w:t>9.2.</w:t>
      </w:r>
      <w:r>
        <w:rPr>
          <w:sz w:val="20"/>
          <w:szCs w:val="20"/>
          <w:color w:val="auto"/>
        </w:rPr>
        <w:tab/>
      </w:r>
      <w:r>
        <w:rPr>
          <w:rFonts w:ascii="Times New Roman" w:cs="Times New Roman" w:eastAsia="Times New Roman" w:hAnsi="Times New Roman"/>
          <w:sz w:val="19"/>
          <w:szCs w:val="19"/>
          <w:u w:val="single" w:color="auto"/>
          <w:color w:val="auto"/>
        </w:rPr>
        <w:t>Election of Track</w:t>
      </w:r>
      <w:r>
        <w:rPr>
          <w:rFonts w:ascii="Times New Roman" w:cs="Times New Roman" w:eastAsia="Times New Roman" w:hAnsi="Times New Roman"/>
          <w:sz w:val="19"/>
          <w:szCs w:val="19"/>
          <w:color w:val="auto"/>
        </w:rPr>
        <w:t>. Subject to Applicable Law, the Company may grant only one type of 102 Trustee Awards at any given time to all</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Grantees who are to be granted 102 Trustee Awards pursuant to this Plan, and shall file an election with the ITA regarding the type of 102 Trustee Awards it elects to grant before the date of grant of any 102 Trustee Awards (the “</w:t>
      </w:r>
      <w:r>
        <w:rPr>
          <w:rFonts w:ascii="Times New Roman" w:cs="Times New Roman" w:eastAsia="Times New Roman" w:hAnsi="Times New Roman"/>
          <w:sz w:val="19"/>
          <w:szCs w:val="19"/>
          <w:b w:val="1"/>
          <w:bCs w:val="1"/>
          <w:color w:val="auto"/>
        </w:rPr>
        <w:t>Election</w:t>
      </w:r>
      <w:r>
        <w:rPr>
          <w:rFonts w:ascii="Times New Roman" w:cs="Times New Roman" w:eastAsia="Times New Roman" w:hAnsi="Times New Roman"/>
          <w:sz w:val="19"/>
          <w:szCs w:val="19"/>
          <w:color w:val="auto"/>
        </w:rPr>
        <w:t>”). Such Election shall also apply to any other</w:t>
      </w:r>
    </w:p>
    <w:p>
      <w:pPr>
        <w:spacing w:after="0" w:line="219" w:lineRule="auto"/>
        <w:rPr>
          <w:sz w:val="20"/>
          <w:szCs w:val="20"/>
          <w:color w:val="auto"/>
        </w:rPr>
      </w:pPr>
      <w:r>
        <w:rPr>
          <w:rFonts w:ascii="Times New Roman" w:cs="Times New Roman" w:eastAsia="Times New Roman" w:hAnsi="Times New Roman"/>
          <w:sz w:val="19"/>
          <w:szCs w:val="19"/>
          <w:color w:val="auto"/>
        </w:rPr>
        <w:t>securities, including bonus shares, received by any Grantee as a result of holding the 102 Trustee Awards. The Company may change the type of</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102 Trustee Awards that it elects to grant only after the expiration of at least 12 months from the end of the year in which the first grant was made in accordance with the previous Election, or as otherwise provided by Applicable Law. Any Election shall not prevent the Company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granting Awards, pursuant to Section 102(c) of the Ordinance without a Trustee (“</w:t>
      </w:r>
      <w:r>
        <w:rPr>
          <w:rFonts w:ascii="Times New Roman" w:cs="Times New Roman" w:eastAsia="Times New Roman" w:hAnsi="Times New Roman"/>
          <w:sz w:val="19"/>
          <w:szCs w:val="19"/>
          <w:b w:val="1"/>
          <w:bCs w:val="1"/>
          <w:color w:val="auto"/>
        </w:rPr>
        <w:t>102 Non-Trustee Awards</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9"/>
          <w:szCs w:val="19"/>
          <w:color w:val="auto"/>
        </w:rPr>
        <w:t>9.3.</w:t>
      </w:r>
      <w:r>
        <w:rPr>
          <w:sz w:val="20"/>
          <w:szCs w:val="20"/>
          <w:color w:val="auto"/>
        </w:rPr>
        <w:tab/>
      </w:r>
      <w:r>
        <w:rPr>
          <w:rFonts w:ascii="Times New Roman" w:cs="Times New Roman" w:eastAsia="Times New Roman" w:hAnsi="Times New Roman"/>
          <w:sz w:val="19"/>
          <w:szCs w:val="19"/>
          <w:u w:val="single" w:color="auto"/>
          <w:color w:val="auto"/>
        </w:rPr>
        <w:t>Eligibility for Awards</w:t>
      </w:r>
      <w:r>
        <w:rPr>
          <w:rFonts w:ascii="Times New Roman" w:cs="Times New Roman" w:eastAsia="Times New Roman" w:hAnsi="Times New Roman"/>
          <w:sz w:val="19"/>
          <w:szCs w:val="19"/>
          <w:color w:val="auto"/>
        </w:rPr>
        <w:t>.</w:t>
      </w:r>
    </w:p>
    <w:p>
      <w:pPr>
        <w:spacing w:after="0" w:line="59"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9"/>
          <w:szCs w:val="19"/>
          <w:color w:val="auto"/>
        </w:rPr>
        <w:t>9.3.1.</w:t>
        <w:tab/>
        <w:t>Subject to Applicable Law, 102 Awards may only be granted to an "employee" within the meaning of Section 102(a) of</w:t>
      </w:r>
    </w:p>
    <w:p>
      <w:pPr>
        <w:spacing w:after="0" w:line="2"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the Ordinance (which as of the date of the adoption of this Plan means (i) individuals employed by an Israeli company being the Company or any of its Affiliates, and (ii) individuals who are serving and are engaged personally (and not through an entity) as “office holders” by</w:t>
      </w:r>
    </w:p>
    <w:p>
      <w:pPr>
        <w:spacing w:after="0" w:line="1" w:lineRule="exact"/>
        <w:rPr>
          <w:sz w:val="20"/>
          <w:szCs w:val="20"/>
          <w:color w:val="auto"/>
        </w:rPr>
      </w:pPr>
    </w:p>
    <w:p>
      <w:pPr>
        <w:ind w:left="480"/>
        <w:spacing w:after="0" w:line="235" w:lineRule="auto"/>
        <w:rPr>
          <w:sz w:val="20"/>
          <w:szCs w:val="20"/>
          <w:color w:val="auto"/>
        </w:rPr>
      </w:pPr>
      <w:r>
        <w:rPr>
          <w:rFonts w:ascii="Times New Roman" w:cs="Times New Roman" w:eastAsia="Times New Roman" w:hAnsi="Times New Roman"/>
          <w:sz w:val="19"/>
          <w:szCs w:val="19"/>
          <w:color w:val="auto"/>
        </w:rPr>
        <w:t>such an Israeli company), but may not be granted to a Controlling Stockholder (“</w:t>
      </w:r>
      <w:r>
        <w:rPr>
          <w:rFonts w:ascii="Times New Roman" w:cs="Times New Roman" w:eastAsia="Times New Roman" w:hAnsi="Times New Roman"/>
          <w:sz w:val="19"/>
          <w:szCs w:val="19"/>
          <w:b w:val="1"/>
          <w:bCs w:val="1"/>
          <w:color w:val="auto"/>
        </w:rPr>
        <w:t>Eligible 102 Grantees</w:t>
      </w:r>
      <w:r>
        <w:rPr>
          <w:rFonts w:ascii="Times New Roman" w:cs="Times New Roman" w:eastAsia="Times New Roman" w:hAnsi="Times New Roman"/>
          <w:sz w:val="19"/>
          <w:szCs w:val="19"/>
          <w:color w:val="auto"/>
        </w:rPr>
        <w:t>”). Eligible 102 Grantees may receive only 102 Awards, which may either be granted to a Trustee or granted under Section 102 of the Ordinance without a Trustee.</w:t>
      </w:r>
    </w:p>
    <w:p>
      <w:pPr>
        <w:sectPr>
          <w:pgSz w:w="11900" w:h="16838" w:orient="portrait"/>
          <w:cols w:equalWidth="0" w:num="1">
            <w:col w:w="11240"/>
          </w:cols>
          <w:pgMar w:left="320" w:top="1242" w:right="339" w:bottom="1440" w:gutter="0" w:footer="0" w:header="0"/>
        </w:sectPr>
      </w:pPr>
    </w:p>
    <w:bookmarkStart w:id="180" w:name="page181"/>
    <w:bookmarkEnd w:id="180"/>
    <w:p>
      <w:pPr>
        <w:ind w:left="20"/>
        <w:spacing w:after="0"/>
        <w:tabs>
          <w:tab w:leader="none" w:pos="500" w:val="left"/>
        </w:tabs>
        <w:rPr>
          <w:sz w:val="20"/>
          <w:szCs w:val="20"/>
          <w:color w:val="auto"/>
        </w:rPr>
      </w:pPr>
      <w:r>
        <w:rPr>
          <w:rFonts w:ascii="Times New Roman" w:cs="Times New Roman" w:eastAsia="Times New Roman" w:hAnsi="Times New Roman"/>
          <w:sz w:val="19"/>
          <w:szCs w:val="19"/>
          <w:color w:val="auto"/>
        </w:rPr>
        <w:t>9.4.</w:t>
      </w:r>
      <w:r>
        <w:rPr>
          <w:sz w:val="20"/>
          <w:szCs w:val="20"/>
          <w:color w:val="auto"/>
        </w:rPr>
        <w:tab/>
      </w:r>
      <w:r>
        <w:rPr>
          <w:rFonts w:ascii="Times New Roman" w:cs="Times New Roman" w:eastAsia="Times New Roman" w:hAnsi="Times New Roman"/>
          <w:sz w:val="19"/>
          <w:szCs w:val="19"/>
          <w:u w:val="single" w:color="auto"/>
          <w:color w:val="auto"/>
        </w:rPr>
        <w:t>102 Award Grant Date</w:t>
      </w:r>
      <w:r>
        <w:rPr>
          <w:rFonts w:ascii="Times New Roman" w:cs="Times New Roman" w:eastAsia="Times New Roman" w:hAnsi="Times New Roman"/>
          <w:sz w:val="19"/>
          <w:szCs w:val="19"/>
          <w:color w:val="auto"/>
        </w:rPr>
        <w:t>.</w:t>
      </w:r>
    </w:p>
    <w:p>
      <w:pPr>
        <w:spacing w:after="0" w:line="73" w:lineRule="exact"/>
        <w:rPr>
          <w:sz w:val="20"/>
          <w:szCs w:val="20"/>
          <w:color w:val="auto"/>
        </w:rPr>
      </w:pPr>
    </w:p>
    <w:p>
      <w:pPr>
        <w:ind w:firstLine="794"/>
        <w:spacing w:after="0" w:line="222" w:lineRule="auto"/>
        <w:rPr>
          <w:sz w:val="20"/>
          <w:szCs w:val="20"/>
          <w:color w:val="auto"/>
        </w:rPr>
      </w:pPr>
      <w:r>
        <w:rPr>
          <w:rFonts w:ascii="Times New Roman" w:cs="Times New Roman" w:eastAsia="Times New Roman" w:hAnsi="Times New Roman"/>
          <w:sz w:val="19"/>
          <w:szCs w:val="19"/>
          <w:color w:val="auto"/>
        </w:rPr>
        <w:t>9.4.1. Each 102 Award will be deemed granted on the date determined by the Committee, subject to Section 9.4.2, provided that (i) the Grantee has signed all documents required by the Company or pursuant to Applicable Law, and (ii) with respect to 102 Trustee</w:t>
      </w:r>
    </w:p>
    <w:p>
      <w:pPr>
        <w:spacing w:after="0" w:line="219" w:lineRule="auto"/>
        <w:rPr>
          <w:sz w:val="20"/>
          <w:szCs w:val="20"/>
          <w:color w:val="auto"/>
        </w:rPr>
      </w:pPr>
      <w:r>
        <w:rPr>
          <w:rFonts w:ascii="Times New Roman" w:cs="Times New Roman" w:eastAsia="Times New Roman" w:hAnsi="Times New Roman"/>
          <w:sz w:val="19"/>
          <w:szCs w:val="19"/>
          <w:color w:val="auto"/>
        </w:rPr>
        <w:t>Award, the Company has provided all applicable documents to the Trustee in accordance with the guidelines published by the ITA, and if</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an agreement is not signed and delivered by the Grantee within 90 days from the date determined by the Committee (subject to Section 9.4.2), then such 102 Trustee Award shall be deemed granted on such later date as such agreement is signed and delivered and on which</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 Company has provided all applicable documents to the Trustee in accordance with the guidelines published by the ITA. In the case of any contradiction, this provision and the date of grant determined pursuant hereto shall supersede and be deemed to amend any date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 indicated in any corporate resolution or Award Agreement.</w:t>
      </w:r>
    </w:p>
    <w:p>
      <w:pPr>
        <w:spacing w:after="0" w:line="37" w:lineRule="exact"/>
        <w:rPr>
          <w:sz w:val="20"/>
          <w:szCs w:val="20"/>
          <w:color w:val="auto"/>
        </w:rPr>
      </w:pPr>
    </w:p>
    <w:p>
      <w:pPr>
        <w:ind w:left="800"/>
        <w:spacing w:after="0"/>
        <w:tabs>
          <w:tab w:leader="none" w:pos="1400" w:val="left"/>
        </w:tabs>
        <w:rPr>
          <w:sz w:val="20"/>
          <w:szCs w:val="20"/>
          <w:color w:val="auto"/>
        </w:rPr>
      </w:pPr>
      <w:r>
        <w:rPr>
          <w:rFonts w:ascii="Times New Roman" w:cs="Times New Roman" w:eastAsia="Times New Roman" w:hAnsi="Times New Roman"/>
          <w:sz w:val="19"/>
          <w:szCs w:val="19"/>
          <w:color w:val="auto"/>
        </w:rPr>
        <w:t>9.4.2.</w:t>
        <w:tab/>
        <w:t>Unless otherwise permitted by the Ordinance, any grants of 102 Trustee Awards that are made on or after the date of the</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adoption of this Plan or an amendment to this Plan, as the case may be, that may become effective only at the expiration of thirty (30) days after the filing of this Plan or any amendment thereof (as the case may be) with the ITA in accordance with the Ordinance shall be</w:t>
      </w:r>
    </w:p>
    <w:p>
      <w:pPr>
        <w:spacing w:after="0" w:line="219" w:lineRule="auto"/>
        <w:rPr>
          <w:sz w:val="20"/>
          <w:szCs w:val="20"/>
          <w:color w:val="auto"/>
        </w:rPr>
      </w:pPr>
      <w:r>
        <w:rPr>
          <w:rFonts w:ascii="Times New Roman" w:cs="Times New Roman" w:eastAsia="Times New Roman" w:hAnsi="Times New Roman"/>
          <w:sz w:val="19"/>
          <w:szCs w:val="19"/>
          <w:color w:val="auto"/>
        </w:rPr>
        <w:t>conditional upon the expiration of such 30-day period, such condition shall be read and is incorporated by reference into any corporate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resolutions approving such grants and into any Award Agreement evidencing such grants (whether or not explicitly referring to such condition), and the date of grant shall be at the expiration of such 30-day period, whether or not the date of grant indicated therein</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corresponds with this Section. In the case of any contradiction, this provision and the date of grant determined pursuant hereto shall supersede and be deemed to amend any date of grant indicated in any corporate resolution or Award Agreement.</w:t>
      </w:r>
    </w:p>
    <w:p>
      <w:pPr>
        <w:spacing w:after="0" w:line="27"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9"/>
          <w:szCs w:val="19"/>
          <w:color w:val="auto"/>
        </w:rPr>
        <w:t>9.5.</w:t>
      </w:r>
      <w:r>
        <w:rPr>
          <w:sz w:val="20"/>
          <w:szCs w:val="20"/>
          <w:color w:val="auto"/>
        </w:rPr>
        <w:tab/>
      </w:r>
      <w:r>
        <w:rPr>
          <w:rFonts w:ascii="Times New Roman" w:cs="Times New Roman" w:eastAsia="Times New Roman" w:hAnsi="Times New Roman"/>
          <w:sz w:val="18"/>
          <w:szCs w:val="18"/>
          <w:u w:val="single" w:color="auto"/>
          <w:color w:val="auto"/>
        </w:rPr>
        <w:t>102 Trustee Awards</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800"/>
        <w:spacing w:after="0"/>
        <w:tabs>
          <w:tab w:leader="none" w:pos="1440" w:val="left"/>
        </w:tabs>
        <w:rPr>
          <w:sz w:val="20"/>
          <w:szCs w:val="20"/>
          <w:color w:val="auto"/>
        </w:rPr>
      </w:pPr>
      <w:r>
        <w:rPr>
          <w:rFonts w:ascii="Times New Roman" w:cs="Times New Roman" w:eastAsia="Times New Roman" w:hAnsi="Times New Roman"/>
          <w:sz w:val="19"/>
          <w:szCs w:val="19"/>
          <w:color w:val="auto"/>
        </w:rPr>
        <w:t>9.5.1.</w:t>
        <w:tab/>
        <w:t>Each 102 Trustee Award, each Share issued pursuant to the exercise of any 102 Trustee Award, and any rights granted</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thereunder, including bonus shares, shall be issued to and registered in the name of the Trustee and shall be held in trust for the benefit of the Grantee for the requisite period prescribed by the Ordinance (the “</w:t>
      </w:r>
      <w:r>
        <w:rPr>
          <w:rFonts w:ascii="Times New Roman" w:cs="Times New Roman" w:eastAsia="Times New Roman" w:hAnsi="Times New Roman"/>
          <w:sz w:val="19"/>
          <w:szCs w:val="19"/>
          <w:b w:val="1"/>
          <w:bCs w:val="1"/>
          <w:color w:val="auto"/>
        </w:rPr>
        <w:t>Required Holding Period</w:t>
      </w:r>
      <w:r>
        <w:rPr>
          <w:rFonts w:ascii="Times New Roman" w:cs="Times New Roman" w:eastAsia="Times New Roman" w:hAnsi="Times New Roman"/>
          <w:sz w:val="19"/>
          <w:szCs w:val="19"/>
          <w:color w:val="auto"/>
        </w:rPr>
        <w:t>”). In the event that the requirements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under Section 102 of the Ordinance to qualify an Award as a 102 Trustee Award are not met, then the Award may be treated as a 102 Non-Trustee Award or 3(9) Award, all in accordance with the provisions of the Ordinance. After expiration of the Required Holding Period, the</w:t>
      </w:r>
    </w:p>
    <w:p>
      <w:pPr>
        <w:spacing w:after="0" w:line="219" w:lineRule="auto"/>
        <w:rPr>
          <w:sz w:val="20"/>
          <w:szCs w:val="20"/>
          <w:color w:val="auto"/>
        </w:rPr>
      </w:pPr>
      <w:r>
        <w:rPr>
          <w:rFonts w:ascii="Times New Roman" w:cs="Times New Roman" w:eastAsia="Times New Roman" w:hAnsi="Times New Roman"/>
          <w:sz w:val="19"/>
          <w:szCs w:val="19"/>
          <w:color w:val="auto"/>
        </w:rPr>
        <w:t>Trustee may release such 102 Trustee Awards and any such Shares, provided that (i) the Trustee has received an acknowledgment from</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 ITA that the Grantee has paid any applicable taxes due pursuant to the Ordinance, or (ii) the Trustee and/or the Company and/or its Affiliate withholds all applicable taxes and compulsory payments due pursuant to the Ordinance arising from the 102 Trustee Awards</w:t>
      </w:r>
    </w:p>
    <w:p>
      <w:pPr>
        <w:spacing w:after="0" w:line="219" w:lineRule="auto"/>
        <w:rPr>
          <w:sz w:val="20"/>
          <w:szCs w:val="20"/>
          <w:color w:val="auto"/>
        </w:rPr>
      </w:pPr>
      <w:r>
        <w:rPr>
          <w:rFonts w:ascii="Times New Roman" w:cs="Times New Roman" w:eastAsia="Times New Roman" w:hAnsi="Times New Roman"/>
          <w:sz w:val="19"/>
          <w:szCs w:val="19"/>
          <w:color w:val="auto"/>
        </w:rPr>
        <w:t>and/or any Shares issued upon exercise or (if applicable) vesting of such 102 Trustee Awards. The Trustee shall not release any 102</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Trustee Awards or Shares issued upon exercise or (if applicable) vesting thereof prior to the payment in full of the Grantee’s tax and compulsory payments arising from such 102 Trustee Awards and/or Shares or the withholding referred to in (ii) above.</w:t>
      </w:r>
    </w:p>
    <w:p>
      <w:pPr>
        <w:spacing w:after="0" w:line="26" w:lineRule="exact"/>
        <w:rPr>
          <w:sz w:val="20"/>
          <w:szCs w:val="20"/>
          <w:color w:val="auto"/>
        </w:rPr>
      </w:pPr>
    </w:p>
    <w:p>
      <w:pPr>
        <w:ind w:firstLine="794"/>
        <w:spacing w:after="0" w:line="230" w:lineRule="auto"/>
        <w:rPr>
          <w:sz w:val="20"/>
          <w:szCs w:val="20"/>
          <w:color w:val="auto"/>
        </w:rPr>
      </w:pPr>
      <w:r>
        <w:rPr>
          <w:rFonts w:ascii="Times New Roman" w:cs="Times New Roman" w:eastAsia="Times New Roman" w:hAnsi="Times New Roman"/>
          <w:sz w:val="19"/>
          <w:szCs w:val="19"/>
          <w:color w:val="auto"/>
        </w:rPr>
        <w:t>9.5.2. Each 102 Trustee Award shall be subject to the relevant terms of the Ordinance, the Rules and any determinations, rulings or approvals issued by the ITA, which shall be deemed an integral part of the 102 Trustee Awards and shall prevail over any term</w:t>
      </w:r>
    </w:p>
    <w:p>
      <w:pPr>
        <w:spacing w:after="0" w:line="210" w:lineRule="auto"/>
        <w:rPr>
          <w:sz w:val="20"/>
          <w:szCs w:val="20"/>
          <w:color w:val="auto"/>
        </w:rPr>
      </w:pPr>
      <w:r>
        <w:rPr>
          <w:rFonts w:ascii="Times New Roman" w:cs="Times New Roman" w:eastAsia="Times New Roman" w:hAnsi="Times New Roman"/>
          <w:sz w:val="19"/>
          <w:szCs w:val="19"/>
          <w:color w:val="auto"/>
        </w:rPr>
        <w:t>contained in this Plan or Award Agreement that is not consistent therewith. Any provision of the Ordinance, the Rules and any determinations, rulings or approvals by the ITA not expressly specified in this Plan or Award Agreement that are necessary to receive or</w:t>
      </w:r>
    </w:p>
    <w:p>
      <w:pPr>
        <w:spacing w:after="0" w:line="219" w:lineRule="auto"/>
        <w:rPr>
          <w:sz w:val="20"/>
          <w:szCs w:val="20"/>
          <w:color w:val="auto"/>
        </w:rPr>
      </w:pPr>
      <w:r>
        <w:rPr>
          <w:rFonts w:ascii="Times New Roman" w:cs="Times New Roman" w:eastAsia="Times New Roman" w:hAnsi="Times New Roman"/>
          <w:sz w:val="19"/>
          <w:szCs w:val="19"/>
          <w:color w:val="auto"/>
        </w:rPr>
        <w:t>maintain any tax benefit pursuant to Section 102 of the Ordinance shall be binding on the Grantee. The Grantee granted a 102 Trustee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Awards shall comply with the Ordinance and the terms and conditions of the trust agreement entered into between the Company and the Trustee. The Grantee shall execute any and all documents that the Company and/or its Affiliates and/or the Trustee determine from time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 to be necessary in order to comply with the Ordinance and the Rules.</w:t>
      </w:r>
    </w:p>
    <w:p>
      <w:pPr>
        <w:spacing w:after="0" w:line="37" w:lineRule="exact"/>
        <w:rPr>
          <w:sz w:val="20"/>
          <w:szCs w:val="20"/>
          <w:color w:val="auto"/>
        </w:rPr>
      </w:pPr>
    </w:p>
    <w:p>
      <w:pPr>
        <w:ind w:left="800"/>
        <w:spacing w:after="0"/>
        <w:tabs>
          <w:tab w:leader="none" w:pos="1540" w:val="left"/>
        </w:tabs>
        <w:rPr>
          <w:sz w:val="20"/>
          <w:szCs w:val="20"/>
          <w:color w:val="auto"/>
        </w:rPr>
      </w:pPr>
      <w:r>
        <w:rPr>
          <w:rFonts w:ascii="Times New Roman" w:cs="Times New Roman" w:eastAsia="Times New Roman" w:hAnsi="Times New Roman"/>
          <w:sz w:val="19"/>
          <w:szCs w:val="19"/>
          <w:color w:val="auto"/>
        </w:rPr>
        <w:t>9.5.3.</w:t>
      </w:r>
      <w:r>
        <w:rPr>
          <w:sz w:val="20"/>
          <w:szCs w:val="20"/>
          <w:color w:val="auto"/>
        </w:rPr>
        <w:tab/>
      </w:r>
      <w:r>
        <w:rPr>
          <w:rFonts w:ascii="Times New Roman" w:cs="Times New Roman" w:eastAsia="Times New Roman" w:hAnsi="Times New Roman"/>
          <w:sz w:val="19"/>
          <w:szCs w:val="19"/>
          <w:color w:val="auto"/>
        </w:rPr>
        <w:t>During the Required Holding Period, the Grantee shall not release from trust or sell, assign, transfer or give as</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collateral, the Shares issuable upon the exercise or (if applicable) vesting of a 102 Trustee Awards and/or any securities issued or distributed with respect thereto, until the expiration of the Required Holding Period. Notwithstanding the above, if any such sale, release</w:t>
      </w:r>
    </w:p>
    <w:p>
      <w:pPr>
        <w:spacing w:after="0" w:line="219" w:lineRule="auto"/>
        <w:rPr>
          <w:sz w:val="20"/>
          <w:szCs w:val="20"/>
          <w:color w:val="auto"/>
        </w:rPr>
      </w:pPr>
      <w:r>
        <w:rPr>
          <w:rFonts w:ascii="Times New Roman" w:cs="Times New Roman" w:eastAsia="Times New Roman" w:hAnsi="Times New Roman"/>
          <w:sz w:val="19"/>
          <w:szCs w:val="19"/>
          <w:color w:val="auto"/>
        </w:rPr>
        <w:t>or other action occurs during the Required Holding Period it may result in adverse tax consequences to the Grantee under Section 102 of</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 Ordinance and the Rules, which shall apply to and shall be borne solely by such Grantee. Subject to the foregoing, the Trustee may, pursuant to a written request from the Grantee, but subject to the terms of this Plan, release and transfer such Shares to a designated third</w:t>
      </w:r>
    </w:p>
    <w:p>
      <w:pPr>
        <w:spacing w:after="0" w:line="219" w:lineRule="auto"/>
        <w:rPr>
          <w:sz w:val="20"/>
          <w:szCs w:val="20"/>
          <w:color w:val="auto"/>
        </w:rPr>
      </w:pPr>
      <w:r>
        <w:rPr>
          <w:rFonts w:ascii="Times New Roman" w:cs="Times New Roman" w:eastAsia="Times New Roman" w:hAnsi="Times New Roman"/>
          <w:sz w:val="19"/>
          <w:szCs w:val="19"/>
          <w:color w:val="auto"/>
        </w:rPr>
        <w:t>party, provided that both of the following conditions have been fulfilled prior to such release or transfer: (i) payment has been made to the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ITA of all taxes and compulsory payments required to be paid upon the release and transfer of the Shares, and confirmation of such payment has been received by the Trustee and the Company, and (ii) the Trustee has received written confirmation from the Company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requirements for such release and transfer have been fulfilled according to the terms</w:t>
      </w:r>
    </w:p>
    <w:p>
      <w:pPr>
        <w:sectPr>
          <w:pgSz w:w="11900" w:h="16838" w:orient="portrait"/>
          <w:cols w:equalWidth="0" w:num="1">
            <w:col w:w="10760"/>
          </w:cols>
          <w:pgMar w:left="800" w:top="1242" w:right="339" w:bottom="1440" w:gutter="0" w:footer="0" w:header="0"/>
        </w:sectPr>
      </w:pPr>
    </w:p>
    <w:bookmarkStart w:id="181" w:name="page182"/>
    <w:bookmarkEnd w:id="181"/>
    <w:p>
      <w:pPr>
        <w:ind w:left="480"/>
        <w:spacing w:after="0"/>
        <w:rPr>
          <w:sz w:val="20"/>
          <w:szCs w:val="20"/>
          <w:color w:val="auto"/>
        </w:rPr>
      </w:pPr>
      <w:r>
        <w:rPr>
          <w:rFonts w:ascii="Times New Roman" w:cs="Times New Roman" w:eastAsia="Times New Roman" w:hAnsi="Times New Roman"/>
          <w:sz w:val="19"/>
          <w:szCs w:val="19"/>
          <w:color w:val="auto"/>
        </w:rPr>
        <w:t>of the Company’s corporate documents, any agreement governing the Shares, this Plan, the Award Agreement and any Applicable Law.</w:t>
      </w:r>
    </w:p>
    <w:p>
      <w:pPr>
        <w:spacing w:after="0" w:line="73" w:lineRule="exact"/>
        <w:rPr>
          <w:sz w:val="20"/>
          <w:szCs w:val="20"/>
          <w:color w:val="auto"/>
        </w:rPr>
      </w:pPr>
    </w:p>
    <w:p>
      <w:pPr>
        <w:jc w:val="both"/>
        <w:ind w:left="480" w:firstLine="794"/>
        <w:spacing w:after="0" w:line="241" w:lineRule="auto"/>
        <w:rPr>
          <w:sz w:val="20"/>
          <w:szCs w:val="20"/>
          <w:color w:val="auto"/>
        </w:rPr>
      </w:pPr>
      <w:r>
        <w:rPr>
          <w:rFonts w:ascii="Times New Roman" w:cs="Times New Roman" w:eastAsia="Times New Roman" w:hAnsi="Times New Roman"/>
          <w:sz w:val="19"/>
          <w:szCs w:val="19"/>
          <w:color w:val="auto"/>
        </w:rPr>
        <w:t>9.5.4. If a 102 Trustee Award is exercised or (if applicable) vested, the Shares issued upon such exercise or (if applicable) vesting shall be issued in the name of the Trustee for the benefit of the Grantee.</w:t>
      </w:r>
    </w:p>
    <w:p>
      <w:pPr>
        <w:spacing w:after="0" w:line="24" w:lineRule="exact"/>
        <w:rPr>
          <w:sz w:val="20"/>
          <w:szCs w:val="20"/>
          <w:color w:val="auto"/>
        </w:rPr>
      </w:pPr>
    </w:p>
    <w:p>
      <w:pPr>
        <w:jc w:val="both"/>
        <w:ind w:left="480" w:firstLine="794"/>
        <w:spacing w:after="0" w:line="237" w:lineRule="auto"/>
        <w:rPr>
          <w:sz w:val="20"/>
          <w:szCs w:val="20"/>
          <w:color w:val="auto"/>
        </w:rPr>
      </w:pPr>
      <w:r>
        <w:rPr>
          <w:rFonts w:ascii="Times New Roman" w:cs="Times New Roman" w:eastAsia="Times New Roman" w:hAnsi="Times New Roman"/>
          <w:sz w:val="19"/>
          <w:szCs w:val="19"/>
          <w:color w:val="auto"/>
        </w:rPr>
        <w:t>9.5.5. Upon or after receipt of a 102 Trustee Award, if required, the Grantee may be required to sign an undertaking to release the Trustee from any liability with respect to any action or decision duly taken and executed in good faith by the Trustee in relation to this Plan, or any 102 Trustee Awards or Share granted to such Grantee thereunder.</w:t>
      </w:r>
    </w:p>
    <w:p>
      <w:pPr>
        <w:spacing w:after="0" w:line="17" w:lineRule="exact"/>
        <w:rPr>
          <w:sz w:val="20"/>
          <w:szCs w:val="20"/>
          <w:color w:val="auto"/>
        </w:rPr>
      </w:pPr>
    </w:p>
    <w:p>
      <w:pPr>
        <w:ind w:left="500"/>
        <w:spacing w:after="0"/>
        <w:tabs>
          <w:tab w:leader="none" w:pos="980" w:val="left"/>
        </w:tabs>
        <w:rPr>
          <w:sz w:val="20"/>
          <w:szCs w:val="20"/>
          <w:color w:val="auto"/>
        </w:rPr>
      </w:pPr>
      <w:r>
        <w:rPr>
          <w:rFonts w:ascii="Times New Roman" w:cs="Times New Roman" w:eastAsia="Times New Roman" w:hAnsi="Times New Roman"/>
          <w:sz w:val="19"/>
          <w:szCs w:val="19"/>
          <w:color w:val="auto"/>
        </w:rPr>
        <w:t>9.6.</w:t>
      </w:r>
      <w:r>
        <w:rPr>
          <w:sz w:val="20"/>
          <w:szCs w:val="20"/>
          <w:color w:val="auto"/>
        </w:rPr>
        <w:tab/>
      </w:r>
      <w:r>
        <w:rPr>
          <w:rFonts w:ascii="Times New Roman" w:cs="Times New Roman" w:eastAsia="Times New Roman" w:hAnsi="Times New Roman"/>
          <w:sz w:val="19"/>
          <w:szCs w:val="19"/>
          <w:u w:val="single" w:color="auto"/>
          <w:color w:val="auto"/>
        </w:rPr>
        <w:t>102 Non-Trustee Awards</w:t>
      </w:r>
      <w:r>
        <w:rPr>
          <w:rFonts w:ascii="Times New Roman" w:cs="Times New Roman" w:eastAsia="Times New Roman" w:hAnsi="Times New Roman"/>
          <w:sz w:val="19"/>
          <w:szCs w:val="19"/>
          <w:color w:val="auto"/>
        </w:rPr>
        <w:t>. The foregoing provisions of this Section 9 relating to 102 Trustee Awards shall not apply with respect to</w:t>
      </w:r>
    </w:p>
    <w:p>
      <w:pPr>
        <w:spacing w:after="0" w:line="218" w:lineRule="auto"/>
        <w:rPr>
          <w:sz w:val="20"/>
          <w:szCs w:val="20"/>
          <w:color w:val="auto"/>
        </w:rPr>
      </w:pPr>
      <w:r>
        <w:rPr>
          <w:rFonts w:ascii="Times New Roman" w:cs="Times New Roman" w:eastAsia="Times New Roman" w:hAnsi="Times New Roman"/>
          <w:sz w:val="19"/>
          <w:szCs w:val="19"/>
          <w:color w:val="auto"/>
        </w:rPr>
        <w:t>102 Non-Trustee Awards, which shall, however, be subject to the relevant provisions of Section 102 of the Ordinance and the applicable Rules.</w:t>
      </w:r>
    </w:p>
    <w:p>
      <w:pPr>
        <w:spacing w:after="0" w:line="218" w:lineRule="auto"/>
        <w:rPr>
          <w:sz w:val="20"/>
          <w:szCs w:val="20"/>
          <w:color w:val="auto"/>
        </w:rPr>
      </w:pPr>
      <w:r>
        <w:rPr>
          <w:rFonts w:ascii="Times New Roman" w:cs="Times New Roman" w:eastAsia="Times New Roman" w:hAnsi="Times New Roman"/>
          <w:sz w:val="19"/>
          <w:szCs w:val="19"/>
          <w:color w:val="auto"/>
        </w:rPr>
        <w:t>The Committee may determine that 102 Non-Trustee Awards, the Shares issuable upon the exercise or (if applicable) vesting of a 102 Non-</w:t>
      </w:r>
    </w:p>
    <w:p>
      <w:pPr>
        <w:jc w:val="both"/>
        <w:spacing w:after="0" w:line="210" w:lineRule="auto"/>
        <w:rPr>
          <w:sz w:val="20"/>
          <w:szCs w:val="20"/>
          <w:color w:val="auto"/>
        </w:rPr>
      </w:pPr>
      <w:r>
        <w:rPr>
          <w:rFonts w:ascii="Times New Roman" w:cs="Times New Roman" w:eastAsia="Times New Roman" w:hAnsi="Times New Roman"/>
          <w:sz w:val="19"/>
          <w:szCs w:val="19"/>
          <w:color w:val="auto"/>
        </w:rPr>
        <w:t>Trustee Awards and/or any securities issued or distributed with respect thereto, shall be allocated or issued to the Trustee, who shall hold such 102 Non-Trustee Awards and all accrued rights thereon (if any), in trust for the benefit of the Grantee and/or the Company, as the case may be,</w:t>
      </w:r>
    </w:p>
    <w:p>
      <w:pPr>
        <w:spacing w:after="0" w:line="219" w:lineRule="auto"/>
        <w:rPr>
          <w:sz w:val="20"/>
          <w:szCs w:val="20"/>
          <w:color w:val="auto"/>
        </w:rPr>
      </w:pPr>
      <w:r>
        <w:rPr>
          <w:rFonts w:ascii="Times New Roman" w:cs="Times New Roman" w:eastAsia="Times New Roman" w:hAnsi="Times New Roman"/>
          <w:sz w:val="19"/>
          <w:szCs w:val="19"/>
          <w:color w:val="auto"/>
        </w:rPr>
        <w:t>until the full payment of tax arising from the 102 Non-Trustee Awards, the Shares issuable upon the exercise or (if applicable) vesting of a 102</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Non-Trustee Awards and/or any securities issued or distributed with respect thereto. The Company may choose, alternatively, to force the Grantee to provide it with a guarantee or other security, to the satisfaction of each of the Trustee and the Company, until the full payment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applicable taxes.</w:t>
      </w:r>
    </w:p>
    <w:p>
      <w:pPr>
        <w:spacing w:after="0" w:line="37"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9"/>
          <w:szCs w:val="19"/>
          <w:color w:val="auto"/>
        </w:rPr>
        <w:t>9.7.</w:t>
      </w:r>
      <w:r>
        <w:rPr>
          <w:sz w:val="20"/>
          <w:szCs w:val="20"/>
          <w:color w:val="auto"/>
        </w:rPr>
        <w:tab/>
      </w:r>
      <w:r>
        <w:rPr>
          <w:rFonts w:ascii="Times New Roman" w:cs="Times New Roman" w:eastAsia="Times New Roman" w:hAnsi="Times New Roman"/>
          <w:sz w:val="19"/>
          <w:szCs w:val="19"/>
          <w:u w:val="single" w:color="auto"/>
          <w:color w:val="auto"/>
        </w:rPr>
        <w:t>Written Grantee Undertaking</w:t>
      </w:r>
      <w:r>
        <w:rPr>
          <w:rFonts w:ascii="Times New Roman" w:cs="Times New Roman" w:eastAsia="Times New Roman" w:hAnsi="Times New Roman"/>
          <w:sz w:val="19"/>
          <w:szCs w:val="19"/>
          <w:color w:val="auto"/>
        </w:rPr>
        <w:t>. To the extent and with respect to any 102 Trustee Award, and as required by Section 102 of the</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Ordinance and the Rules, by virtue of the receipt of such Award, the Grantee is deemed to have undertaken and confirm in writing the following (and such undertaking is deemed incorporated into any documents signed by the Grantee in connection with the employment or service of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Grantee and/or the grant of such Award). The following written undertaking shall be deemed to apply and relate to all 102 Trustee Awards granted to the Grantee, whether under this Plan or other plans maintained by the Company, and whether prior to or after the date hereof.</w:t>
      </w:r>
    </w:p>
    <w:p>
      <w:pPr>
        <w:spacing w:after="0" w:line="27" w:lineRule="exact"/>
        <w:rPr>
          <w:sz w:val="20"/>
          <w:szCs w:val="20"/>
          <w:color w:val="auto"/>
        </w:rPr>
      </w:pPr>
    </w:p>
    <w:p>
      <w:pPr>
        <w:ind w:left="480" w:firstLine="794"/>
        <w:spacing w:after="0" w:line="222" w:lineRule="auto"/>
        <w:rPr>
          <w:sz w:val="20"/>
          <w:szCs w:val="20"/>
          <w:color w:val="auto"/>
        </w:rPr>
      </w:pPr>
      <w:r>
        <w:rPr>
          <w:rFonts w:ascii="Times New Roman" w:cs="Times New Roman" w:eastAsia="Times New Roman" w:hAnsi="Times New Roman"/>
          <w:sz w:val="19"/>
          <w:szCs w:val="19"/>
          <w:color w:val="auto"/>
        </w:rPr>
        <w:t>9.7.1. The Grantee shall comply with all terms and conditions set forth in Section 102 of the Ordinance with regard to the “Capital Gain Track” or the “Ordinary Income Track”, as applicable, and the applicable rules and regulations promulgated thereunder, as</w:t>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amended from time to time;</w:t>
      </w:r>
    </w:p>
    <w:p>
      <w:pPr>
        <w:spacing w:after="0" w:line="37" w:lineRule="exact"/>
        <w:rPr>
          <w:sz w:val="20"/>
          <w:szCs w:val="20"/>
          <w:color w:val="auto"/>
        </w:rPr>
      </w:pPr>
    </w:p>
    <w:p>
      <w:pPr>
        <w:ind w:left="1280"/>
        <w:spacing w:after="0"/>
        <w:tabs>
          <w:tab w:leader="none" w:pos="1940" w:val="left"/>
        </w:tabs>
        <w:rPr>
          <w:sz w:val="20"/>
          <w:szCs w:val="20"/>
          <w:color w:val="auto"/>
        </w:rPr>
      </w:pPr>
      <w:r>
        <w:rPr>
          <w:rFonts w:ascii="Times New Roman" w:cs="Times New Roman" w:eastAsia="Times New Roman" w:hAnsi="Times New Roman"/>
          <w:sz w:val="19"/>
          <w:szCs w:val="19"/>
          <w:color w:val="auto"/>
        </w:rPr>
        <w:t>9.7.2.</w:t>
        <w:tab/>
        <w:t>The Grantee is familiar with, and understands the provisions of, Section 102 of the Ordinance in general, and the tax</w:t>
      </w:r>
    </w:p>
    <w:p>
      <w:pPr>
        <w:spacing w:after="0" w:line="2"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arrangement under the “Capital Gain Track” or the “Ordinary Income Track” in particular, and its tax consequences; the Grantee agrees that the 102 Trustee Awards and Shares that may be issued upon exercise or (if applicable) vesting of the 102 Trustee Awards (or</w:t>
      </w:r>
    </w:p>
    <w:p>
      <w:pPr>
        <w:ind w:left="480"/>
        <w:spacing w:after="0" w:line="219" w:lineRule="auto"/>
        <w:rPr>
          <w:sz w:val="20"/>
          <w:szCs w:val="20"/>
          <w:color w:val="auto"/>
        </w:rPr>
      </w:pPr>
      <w:r>
        <w:rPr>
          <w:rFonts w:ascii="Times New Roman" w:cs="Times New Roman" w:eastAsia="Times New Roman" w:hAnsi="Times New Roman"/>
          <w:sz w:val="19"/>
          <w:szCs w:val="19"/>
          <w:color w:val="auto"/>
        </w:rPr>
        <w:t>otherwise in relation to the 102 Trustee Awards), will be held by a trustee appointed pursuant to Section 102 of the Ordinance for at least</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the duration of the "Holding Period" (as such term is defined in Section 102) under the "Capital Gain Track" or the “Ordinary Income Track”, as applicable. The Grantee understands that any release of such 102 Trustee Awards or Shares from trust, or any sale of the Share</w:t>
      </w:r>
    </w:p>
    <w:p>
      <w:pPr>
        <w:spacing w:after="0" w:line="1" w:lineRule="exact"/>
        <w:rPr>
          <w:sz w:val="20"/>
          <w:szCs w:val="20"/>
          <w:color w:val="auto"/>
        </w:rPr>
      </w:pPr>
    </w:p>
    <w:p>
      <w:pPr>
        <w:ind w:left="480"/>
        <w:spacing w:after="0" w:line="235" w:lineRule="auto"/>
        <w:rPr>
          <w:sz w:val="20"/>
          <w:szCs w:val="20"/>
          <w:color w:val="auto"/>
        </w:rPr>
      </w:pPr>
      <w:r>
        <w:rPr>
          <w:rFonts w:ascii="Times New Roman" w:cs="Times New Roman" w:eastAsia="Times New Roman" w:hAnsi="Times New Roman"/>
          <w:sz w:val="19"/>
          <w:szCs w:val="19"/>
          <w:color w:val="auto"/>
        </w:rPr>
        <w:t>prior to the termination of the Holding Period, as defined above, will result in taxation at marginal tax rate, in addition to deductions of appropriate social security, health tax contributions or other compulsory payments; and</w:t>
      </w:r>
    </w:p>
    <w:p>
      <w:pPr>
        <w:spacing w:after="0" w:line="27" w:lineRule="exact"/>
        <w:rPr>
          <w:sz w:val="20"/>
          <w:szCs w:val="20"/>
          <w:color w:val="auto"/>
        </w:rPr>
      </w:pPr>
    </w:p>
    <w:p>
      <w:pPr>
        <w:ind w:left="480" w:firstLine="794"/>
        <w:spacing w:after="0" w:line="241" w:lineRule="auto"/>
        <w:rPr>
          <w:sz w:val="20"/>
          <w:szCs w:val="20"/>
          <w:color w:val="auto"/>
        </w:rPr>
      </w:pPr>
      <w:r>
        <w:rPr>
          <w:rFonts w:ascii="Times New Roman" w:cs="Times New Roman" w:eastAsia="Times New Roman" w:hAnsi="Times New Roman"/>
          <w:sz w:val="19"/>
          <w:szCs w:val="19"/>
          <w:color w:val="auto"/>
        </w:rPr>
        <w:t>9.7.3. The Grantee agrees to the trust deed signed between the Company, his employing company and the trustee appointed pursuant to Section 102 of the Ordinance.</w:t>
      </w:r>
    </w:p>
    <w:p>
      <w:pPr>
        <w:spacing w:after="0" w:line="20" w:lineRule="exact"/>
        <w:rPr>
          <w:sz w:val="20"/>
          <w:szCs w:val="20"/>
          <w:color w:val="auto"/>
        </w:rPr>
      </w:pPr>
    </w:p>
    <w:p>
      <w:pPr>
        <w:ind w:left="440" w:hanging="434"/>
        <w:spacing w:after="0"/>
        <w:tabs>
          <w:tab w:leader="none" w:pos="44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3(9) AWARDS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9"/>
          <w:szCs w:val="19"/>
          <w:color w:val="auto"/>
        </w:rPr>
        <w:t>Awards granted pursuant to this Section 10 are intended to constitute 3(9) Awards and shall be granted subject to the general terms and conditions specified in Section 6 hereof and other provisions of this Plan, except for any provisions of this Plan applying to Awards under</w:t>
      </w:r>
    </w:p>
    <w:p>
      <w:pPr>
        <w:spacing w:after="0" w:line="228" w:lineRule="auto"/>
        <w:rPr>
          <w:sz w:val="20"/>
          <w:szCs w:val="20"/>
          <w:color w:val="auto"/>
        </w:rPr>
      </w:pPr>
      <w:r>
        <w:rPr>
          <w:rFonts w:ascii="Times New Roman" w:cs="Times New Roman" w:eastAsia="Times New Roman" w:hAnsi="Times New Roman"/>
          <w:sz w:val="19"/>
          <w:szCs w:val="19"/>
          <w:color w:val="auto"/>
        </w:rPr>
        <w:t>different tax laws or regulations. In the event of any inconsistency or contradictions between the provisions of this Section 10 and the other terms of this Plan, this Section 10 shall prevail.</w:t>
      </w:r>
    </w:p>
    <w:p>
      <w:pPr>
        <w:spacing w:after="0" w:line="26"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10.1. To the extent required by the Ordinance or the ITA or otherwise deemed by the Committee to be advisable, the 3(9) Awards and/or any shares or other securities issued or distributed with respect thereto granted pursuant to this Plan shall be issued to a Trustee nominated by</w:t>
      </w:r>
    </w:p>
    <w:p>
      <w:pPr>
        <w:spacing w:after="0" w:line="210" w:lineRule="auto"/>
        <w:rPr>
          <w:sz w:val="20"/>
          <w:szCs w:val="20"/>
          <w:color w:val="auto"/>
        </w:rPr>
      </w:pPr>
      <w:r>
        <w:rPr>
          <w:rFonts w:ascii="Times New Roman" w:cs="Times New Roman" w:eastAsia="Times New Roman" w:hAnsi="Times New Roman"/>
          <w:sz w:val="19"/>
          <w:szCs w:val="19"/>
          <w:color w:val="auto"/>
        </w:rPr>
        <w:t>the Committee in accordance with the provisions of the Ordinance. In such event, the Trustee shall hold such Awards and/or any shares or other securities issued or distributed with respect thereto in trust, until exercised or (if applicable) vested by the Grantee and the full payment of tax</w:t>
      </w:r>
    </w:p>
    <w:p>
      <w:pPr>
        <w:spacing w:after="0" w:line="219" w:lineRule="auto"/>
        <w:rPr>
          <w:sz w:val="20"/>
          <w:szCs w:val="20"/>
          <w:color w:val="auto"/>
        </w:rPr>
      </w:pPr>
      <w:r>
        <w:rPr>
          <w:rFonts w:ascii="Times New Roman" w:cs="Times New Roman" w:eastAsia="Times New Roman" w:hAnsi="Times New Roman"/>
          <w:sz w:val="19"/>
          <w:szCs w:val="19"/>
          <w:color w:val="auto"/>
        </w:rPr>
        <w:t>arising therefrom, pursuant to the Company’s instructions from time to time as set forth in a trust agreement, which will have been entered into</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between the Company and the Trustee. If determined by the Board or the Committee, and subject to such trust agreement, the Trustee shall be responsible for withholding any taxes to which a Grantee may become liable upon issuance of Shares, whether due to the exercise or (if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applicable) vesting of Awards.</w:t>
      </w:r>
    </w:p>
    <w:p>
      <w:pPr>
        <w:sectPr>
          <w:pgSz w:w="11900" w:h="16838" w:orient="portrait"/>
          <w:cols w:equalWidth="0" w:num="1">
            <w:col w:w="11240"/>
          </w:cols>
          <w:pgMar w:left="320" w:top="1242" w:right="339" w:bottom="1440" w:gutter="0" w:footer="0" w:header="0"/>
        </w:sectPr>
      </w:pPr>
    </w:p>
    <w:bookmarkStart w:id="182" w:name="page183"/>
    <w:bookmarkEnd w:id="182"/>
    <w:p>
      <w:pPr>
        <w:jc w:val="both"/>
        <w:ind w:firstLine="496"/>
        <w:spacing w:after="0" w:line="237" w:lineRule="auto"/>
        <w:rPr>
          <w:sz w:val="20"/>
          <w:szCs w:val="20"/>
          <w:color w:val="auto"/>
        </w:rPr>
      </w:pPr>
      <w:r>
        <w:rPr>
          <w:rFonts w:ascii="Times New Roman" w:cs="Times New Roman" w:eastAsia="Times New Roman" w:hAnsi="Times New Roman"/>
          <w:sz w:val="19"/>
          <w:szCs w:val="19"/>
          <w:color w:val="auto"/>
        </w:rPr>
        <w:t>10.2. Shares pursuant to a 3(9) Award shall not be issued, unless the Grantee delivers to the Company payment in cash or by bank check or such other form acceptable to the Committee of all withholding taxes due, if any, on account of the Grantee acquired Shares under the Award or gives other assurance satisfactory to the Committee of the payment of those withholding taxes.</w:t>
      </w:r>
    </w:p>
    <w:p>
      <w:pPr>
        <w:spacing w:after="0" w:line="24" w:lineRule="exact"/>
        <w:rPr>
          <w:sz w:val="20"/>
          <w:szCs w:val="20"/>
          <w:color w:val="auto"/>
        </w:rPr>
      </w:pPr>
    </w:p>
    <w:p>
      <w:pPr>
        <w:ind w:left="440" w:hanging="434"/>
        <w:spacing w:after="0"/>
        <w:tabs>
          <w:tab w:leader="none" w:pos="44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RESTRICTED STOCK</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Committee may award Restricted Stock to any eligible Grantee, including under Section 102 of the Ordinance. Each Award of Restricted</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Stock under this Plan shall be evidenced by a written agreement between the Company and the Grantee (the “</w:t>
      </w:r>
      <w:r>
        <w:rPr>
          <w:rFonts w:ascii="Times New Roman" w:cs="Times New Roman" w:eastAsia="Times New Roman" w:hAnsi="Times New Roman"/>
          <w:sz w:val="19"/>
          <w:szCs w:val="19"/>
          <w:b w:val="1"/>
          <w:bCs w:val="1"/>
          <w:color w:val="auto"/>
        </w:rPr>
        <w:t>Restricted Stock Agreement</w:t>
      </w:r>
      <w:r>
        <w:rPr>
          <w:rFonts w:ascii="Times New Roman" w:cs="Times New Roman" w:eastAsia="Times New Roman" w:hAnsi="Times New Roman"/>
          <w:sz w:val="19"/>
          <w:szCs w:val="19"/>
          <w:color w:val="auto"/>
        </w:rPr>
        <w:t>”), in such form as the Committee shall from time to time approve. The Restricted Stock shall be subject to all applicable terms of this Plan, which in</w:t>
      </w:r>
    </w:p>
    <w:p>
      <w:pPr>
        <w:spacing w:after="0" w:line="219" w:lineRule="auto"/>
        <w:rPr>
          <w:sz w:val="20"/>
          <w:szCs w:val="20"/>
          <w:color w:val="auto"/>
        </w:rPr>
      </w:pPr>
      <w:r>
        <w:rPr>
          <w:rFonts w:ascii="Times New Roman" w:cs="Times New Roman" w:eastAsia="Times New Roman" w:hAnsi="Times New Roman"/>
          <w:sz w:val="19"/>
          <w:szCs w:val="19"/>
          <w:color w:val="auto"/>
        </w:rPr>
        <w:t>the case of Restricted Stock granted under Section 102 of the Ordinance shall include Section 9 hereof, and may be subject to any other terms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that are not inconsistent with this Plan. The provisions of the various Restricted Stock Agreements entered into under this Plan need not be identical. The Restricted Stock Agreement shall comply with and be subject to Section 6 and the following terms and conditions, unless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otherwise specifically provided in such Agreement and not inconsistent with this Plan, or Applicable Law:</w:t>
      </w:r>
    </w:p>
    <w:p>
      <w:pPr>
        <w:spacing w:after="0" w:line="37"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9"/>
          <w:szCs w:val="19"/>
          <w:color w:val="auto"/>
        </w:rPr>
        <w:t>11.1.</w:t>
      </w:r>
      <w:r>
        <w:rPr>
          <w:sz w:val="20"/>
          <w:szCs w:val="20"/>
          <w:color w:val="auto"/>
        </w:rPr>
        <w:tab/>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Section 6.4 shall not apply. Each Restricted Stock Agreement shall state an amount of Exercise Price to be paid by</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 Grantee, if any, in consideration for the issuance of the Restricted Stock and the terms of payment thereof, which may include payment in cash or, subject to the Committee’s approval, by issuance of promissory notes or other evidence of indebtedness on such terms and conditions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determined by the Committee.</w:t>
      </w:r>
    </w:p>
    <w:p>
      <w:pPr>
        <w:spacing w:after="0" w:line="37"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9"/>
          <w:szCs w:val="19"/>
          <w:color w:val="auto"/>
        </w:rPr>
        <w:t>11.2.</w:t>
      </w:r>
      <w:r>
        <w:rPr>
          <w:sz w:val="20"/>
          <w:szCs w:val="20"/>
          <w:color w:val="auto"/>
        </w:rPr>
        <w:tab/>
      </w: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 Restricted Stock may not be sold, assigned, transferred, pledged, hypothecated or otherwise disposed of, except by</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will or the laws of descent and distribution (in which case they shall be transferred subject to all restrictions then or thereafter applicable thereto), until such Restricted Stock shall have vested (the period from the date on which the Award is granted until the date of vesting of the</w:t>
      </w:r>
    </w:p>
    <w:p>
      <w:pPr>
        <w:spacing w:after="0" w:line="219" w:lineRule="auto"/>
        <w:rPr>
          <w:sz w:val="20"/>
          <w:szCs w:val="20"/>
          <w:color w:val="auto"/>
        </w:rPr>
      </w:pPr>
      <w:r>
        <w:rPr>
          <w:rFonts w:ascii="Times New Roman" w:cs="Times New Roman" w:eastAsia="Times New Roman" w:hAnsi="Times New Roman"/>
          <w:sz w:val="19"/>
          <w:szCs w:val="19"/>
          <w:color w:val="auto"/>
        </w:rPr>
        <w:t>Restricted Stock thereunder being referred to herein as the “</w:t>
      </w:r>
      <w:r>
        <w:rPr>
          <w:rFonts w:ascii="Times New Roman" w:cs="Times New Roman" w:eastAsia="Times New Roman" w:hAnsi="Times New Roman"/>
          <w:sz w:val="19"/>
          <w:szCs w:val="19"/>
          <w:b w:val="1"/>
          <w:bCs w:val="1"/>
          <w:color w:val="auto"/>
        </w:rPr>
        <w:t>Restricted Period</w:t>
      </w:r>
      <w:r>
        <w:rPr>
          <w:rFonts w:ascii="Times New Roman" w:cs="Times New Roman" w:eastAsia="Times New Roman" w:hAnsi="Times New Roman"/>
          <w:sz w:val="19"/>
          <w:szCs w:val="19"/>
          <w:color w:val="auto"/>
        </w:rPr>
        <w:t>”). The Committee may also impose such additional or alternative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restrictions and conditions on the Restricted Stock, as it deems appropriate, including the satisfaction of performance criteria (which, in case of 102 Trustee Awards, may be subject to obtaining a specific tax ruling or determination from the ITA). Such performance criteria may include,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but are not limited to, sales, earnings before interest and taxes, return on investment, earnings per share, any combination of the foregoing or rate of growth of any of the foregoing, as determined by the Committee or pursuant to the provisions of any Company policy required under</w:t>
      </w:r>
    </w:p>
    <w:p>
      <w:pPr>
        <w:spacing w:after="0" w:line="219" w:lineRule="auto"/>
        <w:rPr>
          <w:sz w:val="20"/>
          <w:szCs w:val="20"/>
          <w:color w:val="auto"/>
        </w:rPr>
      </w:pPr>
      <w:r>
        <w:rPr>
          <w:rFonts w:ascii="Times New Roman" w:cs="Times New Roman" w:eastAsia="Times New Roman" w:hAnsi="Times New Roman"/>
          <w:sz w:val="19"/>
          <w:szCs w:val="19"/>
          <w:color w:val="auto"/>
        </w:rPr>
        <w:t>mandatory provisions of Applicable Law. Certificates for shares issued pursuant to Restricted Stock Awards, if issued, shall bear an appropriate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legend referring to such restrictions, and any attempt to dispose of any such shares in contravention of such restrictions shall be null and void and without effect. Such certificates may, if so determined by the Committee, be held in escrow by an escrow agent appointed by the</w:t>
      </w:r>
    </w:p>
    <w:p>
      <w:pPr>
        <w:spacing w:after="0" w:line="219" w:lineRule="auto"/>
        <w:rPr>
          <w:sz w:val="20"/>
          <w:szCs w:val="20"/>
          <w:color w:val="auto"/>
        </w:rPr>
      </w:pPr>
      <w:r>
        <w:rPr>
          <w:rFonts w:ascii="Times New Roman" w:cs="Times New Roman" w:eastAsia="Times New Roman" w:hAnsi="Times New Roman"/>
          <w:sz w:val="19"/>
          <w:szCs w:val="19"/>
          <w:color w:val="auto"/>
        </w:rPr>
        <w:t>Committee, or, if a Restricted Stock Award is made pursuant to Section 102 of the Ordinance, by the Trustee. In determining the Restricted</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Period of an Award the Committee may provide that the foregoing restrictions shall lapse with respect to specified percentages of the awarded Restricted Stock on successive anniversaries of the date of such Award. To the extent required by the Ordinance or the ITA, the Restricted Stock</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issued pursuant to Section 102 of the Ordinance shall be issued to the Trustee in accordance with the provisions of the Ordinance and the Restricted Stock shall be held for the benefit of the Grantee for at least the Required Holding Period.</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11.3. </w:t>
      </w:r>
      <w:r>
        <w:rPr>
          <w:rFonts w:ascii="Times New Roman" w:cs="Times New Roman" w:eastAsia="Times New Roman" w:hAnsi="Times New Roman"/>
          <w:sz w:val="19"/>
          <w:szCs w:val="19"/>
          <w:u w:val="single" w:color="auto"/>
          <w:color w:val="auto"/>
        </w:rPr>
        <w:t>Forfeiture; Repurchase</w:t>
      </w:r>
      <w:r>
        <w:rPr>
          <w:rFonts w:ascii="Times New Roman" w:cs="Times New Roman" w:eastAsia="Times New Roman" w:hAnsi="Times New Roman"/>
          <w:sz w:val="19"/>
          <w:szCs w:val="19"/>
          <w:color w:val="auto"/>
        </w:rPr>
        <w:t>. Subject to such exceptions as may be determined by the Committee, if the Grantee’s continuous employment with or service to the Company or any Affiliate thereof shall terminate for any reason prior to the expiration of the Restricted</w:t>
      </w:r>
    </w:p>
    <w:p>
      <w:pPr>
        <w:spacing w:after="0" w:line="219" w:lineRule="auto"/>
        <w:rPr>
          <w:sz w:val="20"/>
          <w:szCs w:val="20"/>
          <w:color w:val="auto"/>
        </w:rPr>
      </w:pPr>
      <w:r>
        <w:rPr>
          <w:rFonts w:ascii="Times New Roman" w:cs="Times New Roman" w:eastAsia="Times New Roman" w:hAnsi="Times New Roman"/>
          <w:sz w:val="19"/>
          <w:szCs w:val="19"/>
          <w:color w:val="auto"/>
        </w:rPr>
        <w:t>Period of an Award or prior to the timely payment in full of the Exercise Price of any Restricted Stock, any Shares remaining subject to vesting</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or with respect to which the purchase price has not been paid in full, shall thereupon be forfeited, transferred to, and redeemed, repurchased or cancelled by, as the case may be, in any manner as set forth in Section 6.6.2(i) through (v), subject to Applicable Law and the Grantee shall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further rights with respect to such Restricted Stock.</w:t>
      </w:r>
    </w:p>
    <w:p>
      <w:pPr>
        <w:spacing w:after="0" w:line="37" w:lineRule="exact"/>
        <w:rPr>
          <w:sz w:val="20"/>
          <w:szCs w:val="20"/>
          <w:color w:val="auto"/>
        </w:rPr>
      </w:pPr>
    </w:p>
    <w:p>
      <w:pPr>
        <w:ind w:left="500"/>
        <w:spacing w:after="0"/>
        <w:tabs>
          <w:tab w:leader="none" w:pos="1080" w:val="left"/>
        </w:tabs>
        <w:rPr>
          <w:sz w:val="20"/>
          <w:szCs w:val="20"/>
          <w:color w:val="auto"/>
        </w:rPr>
      </w:pPr>
      <w:r>
        <w:rPr>
          <w:rFonts w:ascii="Times New Roman" w:cs="Times New Roman" w:eastAsia="Times New Roman" w:hAnsi="Times New Roman"/>
          <w:sz w:val="19"/>
          <w:szCs w:val="19"/>
          <w:color w:val="auto"/>
        </w:rPr>
        <w:t>11.4.</w:t>
      </w:r>
      <w:r>
        <w:rPr>
          <w:sz w:val="20"/>
          <w:szCs w:val="20"/>
          <w:color w:val="auto"/>
        </w:rPr>
        <w:tab/>
      </w:r>
      <w:r>
        <w:rPr>
          <w:rFonts w:ascii="Times New Roman" w:cs="Times New Roman" w:eastAsia="Times New Roman" w:hAnsi="Times New Roman"/>
          <w:sz w:val="19"/>
          <w:szCs w:val="19"/>
          <w:u w:val="single" w:color="auto"/>
          <w:color w:val="auto"/>
        </w:rPr>
        <w:t>Ownership</w:t>
      </w:r>
      <w:r>
        <w:rPr>
          <w:rFonts w:ascii="Times New Roman" w:cs="Times New Roman" w:eastAsia="Times New Roman" w:hAnsi="Times New Roman"/>
          <w:sz w:val="19"/>
          <w:szCs w:val="19"/>
          <w:color w:val="auto"/>
        </w:rPr>
        <w:t>. During the Restricted Period the Grantee shall possess all incidents of ownership of such Restricted Stock, subject to</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Section 6.10 and Section 11.2, including the right to vote and receive dividends with respect to such Shares. All securities, if any, received by a Grantee with respect to Restricted Stock as a result of any stock split, stock dividend, combination of shares, or other similar transaction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to the restrictions applicable to the original Award.</w:t>
      </w:r>
    </w:p>
    <w:p>
      <w:pPr>
        <w:spacing w:after="0" w:line="33" w:lineRule="exact"/>
        <w:rPr>
          <w:sz w:val="20"/>
          <w:szCs w:val="20"/>
          <w:color w:val="auto"/>
        </w:rPr>
      </w:pPr>
    </w:p>
    <w:p>
      <w:pPr>
        <w:ind w:left="440" w:hanging="434"/>
        <w:spacing w:after="0"/>
        <w:tabs>
          <w:tab w:leader="none" w:pos="44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RESTRICTED STOCK UNITS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 RSU is an Award covering a number of Shares that is settled, if vested and (if applicable) exercised, by issuance of those Shares. An RSU</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may be awarded to any eligible Grantee, including under Section 102 of the Ordinance. The Award Agreement relating to the grant of RSUs under this Plan (the “</w:t>
      </w:r>
      <w:r>
        <w:rPr>
          <w:rFonts w:ascii="Times New Roman" w:cs="Times New Roman" w:eastAsia="Times New Roman" w:hAnsi="Times New Roman"/>
          <w:sz w:val="19"/>
          <w:szCs w:val="19"/>
          <w:b w:val="1"/>
          <w:bCs w:val="1"/>
          <w:color w:val="auto"/>
        </w:rPr>
        <w:t>Restricted Stock Unit Agreement</w:t>
      </w:r>
      <w:r>
        <w:rPr>
          <w:rFonts w:ascii="Times New Roman" w:cs="Times New Roman" w:eastAsia="Times New Roman" w:hAnsi="Times New Roman"/>
          <w:sz w:val="19"/>
          <w:szCs w:val="19"/>
          <w:color w:val="auto"/>
        </w:rPr>
        <w:t>”), shall be in such form as the Committee shall from time to time approve. The RSUs</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shall be subject to all applicable terms of this Plan, which in the case of RSUs granted under Section 102 of the Ordinance shall include Section 9 hereof, and may be subject to any other terms that are not inconsistent with</w:t>
      </w:r>
    </w:p>
    <w:p>
      <w:pPr>
        <w:sectPr>
          <w:pgSz w:w="11900" w:h="16838" w:orient="portrait"/>
          <w:cols w:equalWidth="0" w:num="1">
            <w:col w:w="11240"/>
          </w:cols>
          <w:pgMar w:left="320" w:top="1242" w:right="339" w:bottom="1440" w:gutter="0" w:footer="0" w:header="0"/>
        </w:sectPr>
      </w:pPr>
    </w:p>
    <w:bookmarkStart w:id="183" w:name="page184"/>
    <w:bookmarkEnd w:id="183"/>
    <w:p>
      <w:pPr>
        <w:spacing w:after="0" w:line="255" w:lineRule="auto"/>
        <w:rPr>
          <w:sz w:val="20"/>
          <w:szCs w:val="20"/>
          <w:color w:val="auto"/>
        </w:rPr>
      </w:pPr>
      <w:r>
        <w:rPr>
          <w:rFonts w:ascii="Times New Roman" w:cs="Times New Roman" w:eastAsia="Times New Roman" w:hAnsi="Times New Roman"/>
          <w:sz w:val="19"/>
          <w:szCs w:val="19"/>
          <w:color w:val="auto"/>
        </w:rPr>
        <w:t>this Plan. The provisions of the various Restricted Stock Unit Agreements entered into under this Plan need not be identical. RSUs may be granted in consideration of a reduction in the recipient’s other compensation.</w:t>
      </w:r>
    </w:p>
    <w:p>
      <w:pPr>
        <w:spacing w:after="0" w:line="12"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9"/>
          <w:szCs w:val="19"/>
          <w:color w:val="auto"/>
        </w:rPr>
        <w:t xml:space="preserve">12.1.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No payment of Exercise Price shall be required as consideration for RSUs, unless included in the Award Agreement or as required by Applicable Law (including, Section 304 of the Companies Law), and Section 6.4 shall apply, if applicable.</w:t>
      </w:r>
    </w:p>
    <w:p>
      <w:pPr>
        <w:spacing w:after="0" w:line="12"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9"/>
          <w:szCs w:val="19"/>
          <w:color w:val="auto"/>
        </w:rPr>
        <w:t xml:space="preserve">12.2. </w:t>
      </w:r>
      <w:r>
        <w:rPr>
          <w:rFonts w:ascii="Times New Roman" w:cs="Times New Roman" w:eastAsia="Times New Roman" w:hAnsi="Times New Roman"/>
          <w:sz w:val="19"/>
          <w:szCs w:val="19"/>
          <w:u w:val="single" w:color="auto"/>
          <w:color w:val="auto"/>
        </w:rPr>
        <w:t>Stockholders’ Rights</w:t>
      </w:r>
      <w:r>
        <w:rPr>
          <w:rFonts w:ascii="Times New Roman" w:cs="Times New Roman" w:eastAsia="Times New Roman" w:hAnsi="Times New Roman"/>
          <w:sz w:val="19"/>
          <w:szCs w:val="19"/>
          <w:color w:val="auto"/>
        </w:rPr>
        <w:t>. The Grantee shall not possess or own any ownership rights in the Shares underlying the RSUs and no rights as a Stockholder shall exist prior to the actual issuance of Shares in the name of the Grantee.</w:t>
      </w:r>
    </w:p>
    <w:p>
      <w:pPr>
        <w:spacing w:after="0" w:line="12"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12.3. </w:t>
      </w:r>
      <w:r>
        <w:rPr>
          <w:rFonts w:ascii="Times New Roman" w:cs="Times New Roman" w:eastAsia="Times New Roman" w:hAnsi="Times New Roman"/>
          <w:sz w:val="19"/>
          <w:szCs w:val="19"/>
          <w:u w:val="single" w:color="auto"/>
          <w:color w:val="auto"/>
        </w:rPr>
        <w:t>Settlements of Awards</w:t>
      </w:r>
      <w:r>
        <w:rPr>
          <w:rFonts w:ascii="Times New Roman" w:cs="Times New Roman" w:eastAsia="Times New Roman" w:hAnsi="Times New Roman"/>
          <w:sz w:val="19"/>
          <w:szCs w:val="19"/>
          <w:color w:val="auto"/>
        </w:rPr>
        <w:t>. Settlement of vested RSUs shall be made in the form of Shares or cash (in case of 102 Trustee Awards, the settlement shall be made in the form of shares only). Distribution to a Grantee of an amount (or amounts) from settlement of vested RSUs can</w:t>
      </w:r>
    </w:p>
    <w:p>
      <w:pPr>
        <w:spacing w:after="0" w:line="219" w:lineRule="auto"/>
        <w:rPr>
          <w:sz w:val="20"/>
          <w:szCs w:val="20"/>
          <w:color w:val="auto"/>
        </w:rPr>
      </w:pPr>
      <w:r>
        <w:rPr>
          <w:rFonts w:ascii="Times New Roman" w:cs="Times New Roman" w:eastAsia="Times New Roman" w:hAnsi="Times New Roman"/>
          <w:sz w:val="19"/>
          <w:szCs w:val="19"/>
          <w:color w:val="auto"/>
        </w:rPr>
        <w:t>be deferred to a date after settlement as determined by the Committee. The amount of a deferred distribution may be increased by an interest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factor or by dividend equivalents. Until the grant of RSUs is settled, the number of Shares underlying such RSUs shall be subject to adjustment pursuant hereto.</w:t>
      </w:r>
    </w:p>
    <w:p>
      <w:pPr>
        <w:spacing w:after="0" w:line="26"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 xml:space="preserve">12.4. </w:t>
      </w:r>
      <w:r>
        <w:rPr>
          <w:rFonts w:ascii="Times New Roman" w:cs="Times New Roman" w:eastAsia="Times New Roman" w:hAnsi="Times New Roman"/>
          <w:sz w:val="19"/>
          <w:szCs w:val="19"/>
          <w:u w:val="single" w:color="auto"/>
          <w:color w:val="auto"/>
        </w:rPr>
        <w:t>Section 409A Restrictions</w:t>
      </w:r>
      <w:r>
        <w:rPr>
          <w:rFonts w:ascii="Times New Roman" w:cs="Times New Roman" w:eastAsia="Times New Roman" w:hAnsi="Times New Roman"/>
          <w:sz w:val="19"/>
          <w:szCs w:val="19"/>
          <w:color w:val="auto"/>
        </w:rPr>
        <w:t>. Notwithstanding anything to the contrary set forth herein, any RSUs granted under this Plan that are not exempt from the requirements of Section 409A of the Code shall contain such restrictions or other provisions so that such RSUs will comply</w:t>
      </w:r>
    </w:p>
    <w:p>
      <w:pPr>
        <w:spacing w:after="0" w:line="210" w:lineRule="auto"/>
        <w:rPr>
          <w:sz w:val="20"/>
          <w:szCs w:val="20"/>
          <w:color w:val="auto"/>
        </w:rPr>
      </w:pPr>
      <w:r>
        <w:rPr>
          <w:rFonts w:ascii="Times New Roman" w:cs="Times New Roman" w:eastAsia="Times New Roman" w:hAnsi="Times New Roman"/>
          <w:sz w:val="19"/>
          <w:szCs w:val="19"/>
          <w:color w:val="auto"/>
        </w:rPr>
        <w:t>with the requirements of Section 409A of the Code, if applicable to the Company. Such restrictions, if any, shall be determined by the Committee and contained in the Restricted Stock Unit Agreement evidencing such RSU. For example, such restrictions may include a</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requirement that any Shares that are to be issued in a year following the year in which the RSU vests must be issued in accordance with a fixed, pre-determined schedule.</w:t>
      </w:r>
    </w:p>
    <w:p>
      <w:pPr>
        <w:spacing w:after="0" w:line="23" w:lineRule="exact"/>
        <w:rPr>
          <w:sz w:val="20"/>
          <w:szCs w:val="20"/>
          <w:color w:val="auto"/>
        </w:rPr>
      </w:pPr>
    </w:p>
    <w:p>
      <w:pPr>
        <w:ind w:left="440" w:hanging="434"/>
        <w:spacing w:after="0"/>
        <w:tabs>
          <w:tab w:leader="none" w:pos="44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SHARE OR SHARE-BASED AWARDS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13.1. The Committee may grant other Awards under this Plan pursuant to which Shares (which may, but need not, be Restricted Stock pursuant to Section 11 hereof), cash (in settlement of Share-based Awards) or a combination thereof, are or may in the future be acquired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received, or Awards denominated in stock units, including units valued on the basis of measures other than market value.</w:t>
      </w:r>
    </w:p>
    <w:p>
      <w:pPr>
        <w:spacing w:after="0" w:line="37"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9"/>
          <w:szCs w:val="19"/>
          <w:color w:val="auto"/>
        </w:rPr>
        <w:t>13.2.</w:t>
        <w:tab/>
        <w:t>The Committee may also grant stock appreciation rights without the grant of an accompanying option, which rights shall permit</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 Grantees to receive, at the time of any exercise of such rights, cash equal to the amount by which the Fair Market Value of the Shares in respect to which the right was granted is so exercised exceeds the exercise price thereof. The exercise price of any such stock appreciation right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granted to a Grantee who is subject to U.S. federal income tax shall be determined in compliance with Section 7.2.</w:t>
      </w:r>
    </w:p>
    <w:p>
      <w:pPr>
        <w:spacing w:after="0" w:line="37" w:lineRule="exact"/>
        <w:rPr>
          <w:sz w:val="20"/>
          <w:szCs w:val="20"/>
          <w:color w:val="auto"/>
        </w:rPr>
      </w:pPr>
    </w:p>
    <w:p>
      <w:pPr>
        <w:ind w:left="500"/>
        <w:spacing w:after="0"/>
        <w:tabs>
          <w:tab w:leader="none" w:pos="1080" w:val="left"/>
        </w:tabs>
        <w:rPr>
          <w:sz w:val="20"/>
          <w:szCs w:val="20"/>
          <w:color w:val="auto"/>
        </w:rPr>
      </w:pPr>
      <w:r>
        <w:rPr>
          <w:rFonts w:ascii="Times New Roman" w:cs="Times New Roman" w:eastAsia="Times New Roman" w:hAnsi="Times New Roman"/>
          <w:sz w:val="19"/>
          <w:szCs w:val="19"/>
          <w:color w:val="auto"/>
        </w:rPr>
        <w:t>13.3.</w:t>
        <w:tab/>
        <w:t>Such other Share-based Awards as set forth above may be granted alone, in addition to, or in tandem with any Award of any type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granted under this Plan (without any obligation or assurance that that such Share-based Awards will be entitled to tax benefits under Applicable Law or to the same tax treatment as other Awards under this Plan).</w:t>
      </w:r>
    </w:p>
    <w:p>
      <w:pPr>
        <w:spacing w:after="0" w:line="22" w:lineRule="exact"/>
        <w:rPr>
          <w:sz w:val="20"/>
          <w:szCs w:val="20"/>
          <w:color w:val="auto"/>
        </w:rPr>
      </w:pPr>
    </w:p>
    <w:p>
      <w:pPr>
        <w:ind w:left="500" w:right="7740" w:hanging="494"/>
        <w:spacing w:after="0" w:line="307" w:lineRule="auto"/>
        <w:tabs>
          <w:tab w:leader="none" w:pos="436"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EFFECT OF CERTAIN CHANGES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14.1.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480" w:firstLine="794"/>
        <w:spacing w:after="0" w:line="230" w:lineRule="auto"/>
        <w:rPr>
          <w:sz w:val="20"/>
          <w:szCs w:val="20"/>
          <w:color w:val="auto"/>
        </w:rPr>
      </w:pPr>
      <w:r>
        <w:rPr>
          <w:rFonts w:ascii="Times New Roman" w:cs="Times New Roman" w:eastAsia="Times New Roman" w:hAnsi="Times New Roman"/>
          <w:sz w:val="19"/>
          <w:szCs w:val="19"/>
          <w:color w:val="auto"/>
        </w:rPr>
        <w:t>14.1.1. In the event of a division or subdivision of the outstanding capital stock of the Company, any distribution of bonus shares (stock split), consolidation or combination of share capital of the Company (reverse stock split), reclassification with respect to the</w:t>
      </w:r>
    </w:p>
    <w:p>
      <w:pPr>
        <w:ind w:left="480"/>
        <w:spacing w:after="0" w:line="210" w:lineRule="auto"/>
        <w:rPr>
          <w:sz w:val="20"/>
          <w:szCs w:val="20"/>
          <w:color w:val="auto"/>
        </w:rPr>
      </w:pPr>
      <w:r>
        <w:rPr>
          <w:rFonts w:ascii="Times New Roman" w:cs="Times New Roman" w:eastAsia="Times New Roman" w:hAnsi="Times New Roman"/>
          <w:sz w:val="19"/>
          <w:szCs w:val="19"/>
          <w:color w:val="auto"/>
        </w:rPr>
        <w:t>Shares or any similar recapitalization events (each, a "</w:t>
      </w:r>
      <w:r>
        <w:rPr>
          <w:rFonts w:ascii="Times New Roman" w:cs="Times New Roman" w:eastAsia="Times New Roman" w:hAnsi="Times New Roman"/>
          <w:sz w:val="19"/>
          <w:szCs w:val="19"/>
          <w:b w:val="1"/>
          <w:bCs w:val="1"/>
          <w:color w:val="auto"/>
        </w:rPr>
        <w:t>Recapitalization</w:t>
      </w:r>
      <w:r>
        <w:rPr>
          <w:rFonts w:ascii="Times New Roman" w:cs="Times New Roman" w:eastAsia="Times New Roman" w:hAnsi="Times New Roman"/>
          <w:sz w:val="19"/>
          <w:szCs w:val="19"/>
          <w:color w:val="auto"/>
        </w:rPr>
        <w:t>"), a merger (including, a reverse merger and a reverse triangular merger), consolidation, amalgamation or like transaction of the Company with or into another corporation, a reorganization (which may</w:t>
      </w:r>
    </w:p>
    <w:p>
      <w:pPr>
        <w:ind w:left="480"/>
        <w:spacing w:after="0" w:line="219" w:lineRule="auto"/>
        <w:rPr>
          <w:sz w:val="20"/>
          <w:szCs w:val="20"/>
          <w:color w:val="auto"/>
        </w:rPr>
      </w:pPr>
      <w:r>
        <w:rPr>
          <w:rFonts w:ascii="Times New Roman" w:cs="Times New Roman" w:eastAsia="Times New Roman" w:hAnsi="Times New Roman"/>
          <w:sz w:val="19"/>
          <w:szCs w:val="19"/>
          <w:color w:val="auto"/>
        </w:rPr>
        <w:t>include a combination or exchange of shares, spin-off or other corporate divestiture or division, or other similar occurrences, the</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Committee shall have the authority to make, without the need for a consent of any holder of an Award, such adjustments as determined by the Committee to be appropriate, in its discretion, in order to adjust (i) the number and class of stock reserved and available for grants of</w:t>
      </w:r>
    </w:p>
    <w:p>
      <w:pPr>
        <w:ind w:left="480"/>
        <w:spacing w:after="0" w:line="219" w:lineRule="auto"/>
        <w:rPr>
          <w:sz w:val="20"/>
          <w:szCs w:val="20"/>
          <w:color w:val="auto"/>
        </w:rPr>
      </w:pPr>
      <w:r>
        <w:rPr>
          <w:rFonts w:ascii="Times New Roman" w:cs="Times New Roman" w:eastAsia="Times New Roman" w:hAnsi="Times New Roman"/>
          <w:sz w:val="19"/>
          <w:szCs w:val="19"/>
          <w:color w:val="auto"/>
        </w:rPr>
        <w:t>Awards, (ii) the number and class of stock covered by outstanding Awards, (iii) the Exercise Price per share covered by any Award, (iv)</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the terms and conditions concerning vesting and exercisability and the term and duration of the outstanding Awards, (v) the type or class of security, asset or right underlying the Award (which need not be only that of the Company, and may be that of the surviving corporation</w:t>
      </w:r>
    </w:p>
    <w:p>
      <w:pPr>
        <w:ind w:left="480"/>
        <w:spacing w:after="0" w:line="219" w:lineRule="auto"/>
        <w:rPr>
          <w:sz w:val="20"/>
          <w:szCs w:val="20"/>
          <w:color w:val="auto"/>
        </w:rPr>
      </w:pPr>
      <w:r>
        <w:rPr>
          <w:rFonts w:ascii="Times New Roman" w:cs="Times New Roman" w:eastAsia="Times New Roman" w:hAnsi="Times New Roman"/>
          <w:sz w:val="19"/>
          <w:szCs w:val="19"/>
          <w:color w:val="auto"/>
        </w:rPr>
        <w:t>or any affiliate thereof or such other entity party to any of the above transactions), and (vi) any other terms of the Award that in the</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opinion of the Committee should be adjusted. Any fractional shares resulting from such adjustment shall be treated as determined by the Committee, and in the absence of such determination shall be rounded to the nearest whole share, and the Company shall have no</w:t>
      </w:r>
    </w:p>
    <w:p>
      <w:pPr>
        <w:ind w:left="480"/>
        <w:spacing w:after="0" w:line="219" w:lineRule="auto"/>
        <w:rPr>
          <w:sz w:val="20"/>
          <w:szCs w:val="20"/>
          <w:color w:val="auto"/>
        </w:rPr>
      </w:pPr>
      <w:r>
        <w:rPr>
          <w:rFonts w:ascii="Times New Roman" w:cs="Times New Roman" w:eastAsia="Times New Roman" w:hAnsi="Times New Roman"/>
          <w:sz w:val="19"/>
          <w:szCs w:val="19"/>
          <w:color w:val="auto"/>
        </w:rPr>
        <w:t>obligation to make any cash or other payment with respect to such fractional shares. No adjustment shall be made by reason of the</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distribution of subscription rights or rights offering to outstanding stock or other issuance of stock by the Company, unless the Committee determines otherwise. The adjustments determined pursuant to this Section 14.1 (including a determination that no adjustment is to be</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made) shall be final, binding and conclusive.</w:t>
      </w:r>
    </w:p>
    <w:p>
      <w:pPr>
        <w:sectPr>
          <w:pgSz w:w="11900" w:h="16838" w:orient="portrait"/>
          <w:cols w:equalWidth="0" w:num="1">
            <w:col w:w="11240"/>
          </w:cols>
          <w:pgMar w:left="320" w:top="1242" w:right="339" w:bottom="1440" w:gutter="0" w:footer="0" w:header="0"/>
        </w:sectPr>
      </w:pPr>
    </w:p>
    <w:bookmarkStart w:id="184" w:name="page185"/>
    <w:bookmarkEnd w:id="184"/>
    <w:p>
      <w:pPr>
        <w:ind w:left="480" w:firstLine="794"/>
        <w:spacing w:after="0" w:line="230" w:lineRule="auto"/>
        <w:rPr>
          <w:sz w:val="20"/>
          <w:szCs w:val="20"/>
          <w:color w:val="auto"/>
        </w:rPr>
      </w:pPr>
      <w:r>
        <w:rPr>
          <w:rFonts w:ascii="Times New Roman" w:cs="Times New Roman" w:eastAsia="Times New Roman" w:hAnsi="Times New Roman"/>
          <w:sz w:val="19"/>
          <w:szCs w:val="19"/>
          <w:color w:val="auto"/>
        </w:rPr>
        <w:t>14.1.2. Notwithstanding anything to the contrary included herein, in the event of a distribution of cash dividend by the Company to all holders of Shares, the Committee shall have the authority to determine, without the need for a consent of any holder of an</w:t>
      </w:r>
    </w:p>
    <w:p>
      <w:pPr>
        <w:ind w:left="480"/>
        <w:spacing w:after="0" w:line="210" w:lineRule="auto"/>
        <w:rPr>
          <w:sz w:val="20"/>
          <w:szCs w:val="20"/>
          <w:color w:val="auto"/>
        </w:rPr>
      </w:pPr>
      <w:r>
        <w:rPr>
          <w:rFonts w:ascii="Times New Roman" w:cs="Times New Roman" w:eastAsia="Times New Roman" w:hAnsi="Times New Roman"/>
          <w:sz w:val="19"/>
          <w:szCs w:val="19"/>
          <w:color w:val="auto"/>
        </w:rPr>
        <w:t>Award, that the Exercise Price of any Award, which is outstanding and unexercised on the record date of such distribution, shall be reduced by an amount equal to the per Share gross dividend amount distributed by the Company, and the Committee may determine that</w:t>
      </w:r>
    </w:p>
    <w:p>
      <w:pPr>
        <w:ind w:left="480"/>
        <w:spacing w:after="0" w:line="219" w:lineRule="auto"/>
        <w:rPr>
          <w:sz w:val="20"/>
          <w:szCs w:val="20"/>
          <w:color w:val="auto"/>
        </w:rPr>
      </w:pPr>
      <w:r>
        <w:rPr>
          <w:rFonts w:ascii="Times New Roman" w:cs="Times New Roman" w:eastAsia="Times New Roman" w:hAnsi="Times New Roman"/>
          <w:sz w:val="19"/>
          <w:szCs w:val="19"/>
          <w:color w:val="auto"/>
        </w:rPr>
        <w:t>the Exercise Price following such reduction shall be not less than the par value of a Share (if share bear a par value). The application of</w:t>
      </w:r>
    </w:p>
    <w:p>
      <w:pPr>
        <w:spacing w:after="0" w:line="1" w:lineRule="exact"/>
        <w:rPr>
          <w:sz w:val="20"/>
          <w:szCs w:val="20"/>
          <w:color w:val="auto"/>
        </w:rPr>
      </w:pPr>
    </w:p>
    <w:p>
      <w:pPr>
        <w:ind w:left="480"/>
        <w:spacing w:after="0" w:line="228" w:lineRule="auto"/>
        <w:rPr>
          <w:sz w:val="20"/>
          <w:szCs w:val="20"/>
          <w:color w:val="auto"/>
        </w:rPr>
      </w:pPr>
      <w:r>
        <w:rPr>
          <w:rFonts w:ascii="Times New Roman" w:cs="Times New Roman" w:eastAsia="Times New Roman" w:hAnsi="Times New Roman"/>
          <w:sz w:val="19"/>
          <w:szCs w:val="19"/>
          <w:color w:val="auto"/>
        </w:rPr>
        <w:t>this Section with respect to any 102 Awards shall be subject to obtaining a ruling from the ITA, to the extent required by applicable law and subject to the terms and conditions of any such ruling.</w:t>
      </w:r>
    </w:p>
    <w:p>
      <w:pPr>
        <w:spacing w:after="0" w:line="26"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 xml:space="preserve">14.2. </w:t>
      </w:r>
      <w:r>
        <w:rPr>
          <w:rFonts w:ascii="Times New Roman" w:cs="Times New Roman" w:eastAsia="Times New Roman" w:hAnsi="Times New Roman"/>
          <w:sz w:val="19"/>
          <w:szCs w:val="19"/>
          <w:u w:val="single" w:color="auto"/>
          <w:color w:val="auto"/>
        </w:rPr>
        <w:t>Merger/Sale of Company</w:t>
      </w:r>
      <w:r>
        <w:rPr>
          <w:rFonts w:ascii="Times New Roman" w:cs="Times New Roman" w:eastAsia="Times New Roman" w:hAnsi="Times New Roman"/>
          <w:sz w:val="19"/>
          <w:szCs w:val="19"/>
          <w:color w:val="auto"/>
        </w:rPr>
        <w:t>. In the event of (i) a sale of all or substantially all of the assets of the Company, or a sale (including an exchange) of all or substantially all of the shares of the Company, to any person, or a purchase by a stockholder of the Company or by an</w:t>
      </w:r>
    </w:p>
    <w:p>
      <w:pPr>
        <w:jc w:val="both"/>
        <w:spacing w:after="0" w:line="210" w:lineRule="auto"/>
        <w:rPr>
          <w:sz w:val="20"/>
          <w:szCs w:val="20"/>
          <w:color w:val="auto"/>
        </w:rPr>
      </w:pPr>
      <w:r>
        <w:rPr>
          <w:rFonts w:ascii="Times New Roman" w:cs="Times New Roman" w:eastAsia="Times New Roman" w:hAnsi="Times New Roman"/>
          <w:sz w:val="19"/>
          <w:szCs w:val="19"/>
          <w:color w:val="auto"/>
        </w:rPr>
        <w:t>Affiliate of such stockholder, of all the shares of the Company held by all or substantially all other stockholders or by other stockholders who are not Affiliated with such acquiring party; (ii) a merger (including, a reverse merger and a reverse triangular merger), consolidation,</w:t>
      </w:r>
    </w:p>
    <w:p>
      <w:pPr>
        <w:spacing w:after="0" w:line="219" w:lineRule="auto"/>
        <w:rPr>
          <w:sz w:val="20"/>
          <w:szCs w:val="20"/>
          <w:color w:val="auto"/>
        </w:rPr>
      </w:pPr>
      <w:r>
        <w:rPr>
          <w:rFonts w:ascii="Times New Roman" w:cs="Times New Roman" w:eastAsia="Times New Roman" w:hAnsi="Times New Roman"/>
          <w:sz w:val="19"/>
          <w:szCs w:val="19"/>
          <w:color w:val="auto"/>
        </w:rPr>
        <w:t>amalgamation or like transaction of the Company with or into another corporation; (iii) a scheme of arrangement for the purpose of effecting</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such sale, merger, consolidation, amalgamation or other transaction; (iv) approval by the stockholders of the Company of a complete liquidation or dissolution of the Company, or (v) such other transaction or set of circumstances that is determined by the Board, in its discretion, to be a</w:t>
      </w:r>
    </w:p>
    <w:p>
      <w:pPr>
        <w:spacing w:after="0" w:line="219" w:lineRule="auto"/>
        <w:rPr>
          <w:sz w:val="20"/>
          <w:szCs w:val="20"/>
          <w:color w:val="auto"/>
        </w:rPr>
      </w:pPr>
      <w:r>
        <w:rPr>
          <w:rFonts w:ascii="Times New Roman" w:cs="Times New Roman" w:eastAsia="Times New Roman" w:hAnsi="Times New Roman"/>
          <w:sz w:val="19"/>
          <w:szCs w:val="19"/>
          <w:color w:val="auto"/>
        </w:rPr>
        <w:t>transaction subject to the provisions of this Section 14.2 excluding any of the foregoing transactions in clauses (i) through (v) if the Board</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determines that such transaction should be excluded from the definition hereof and the applicability of this Section 14.2 (such transaction, a “</w:t>
      </w:r>
      <w:r>
        <w:rPr>
          <w:rFonts w:ascii="Times New Roman" w:cs="Times New Roman" w:eastAsia="Times New Roman" w:hAnsi="Times New Roman"/>
          <w:sz w:val="19"/>
          <w:szCs w:val="19"/>
          <w:b w:val="1"/>
          <w:bCs w:val="1"/>
          <w:color w:val="auto"/>
        </w:rPr>
        <w:t>Merger/Sale</w:t>
      </w:r>
      <w:r>
        <w:rPr>
          <w:rFonts w:ascii="Times New Roman" w:cs="Times New Roman" w:eastAsia="Times New Roman" w:hAnsi="Times New Roman"/>
          <w:sz w:val="19"/>
          <w:szCs w:val="19"/>
          <w:color w:val="auto"/>
        </w:rPr>
        <w:t>”), then, without derogating from the general authority and power of the Board or the Committee under this Plan, without the</w:t>
      </w:r>
    </w:p>
    <w:p>
      <w:pPr>
        <w:spacing w:after="0" w:line="219" w:lineRule="auto"/>
        <w:rPr>
          <w:sz w:val="20"/>
          <w:szCs w:val="20"/>
          <w:color w:val="auto"/>
        </w:rPr>
      </w:pPr>
      <w:r>
        <w:rPr>
          <w:rFonts w:ascii="Times New Roman" w:cs="Times New Roman" w:eastAsia="Times New Roman" w:hAnsi="Times New Roman"/>
          <w:sz w:val="19"/>
          <w:szCs w:val="19"/>
          <w:color w:val="auto"/>
        </w:rPr>
        <w:t>Grantee’s consent and action and without any prior notice requirement, the Committee may make any determination as to the treatment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Awards, in its sole and absolute discretion, as provided herein:</w:t>
      </w:r>
    </w:p>
    <w:p>
      <w:pPr>
        <w:spacing w:after="0" w:line="37" w:lineRule="exact"/>
        <w:rPr>
          <w:sz w:val="20"/>
          <w:szCs w:val="20"/>
          <w:color w:val="auto"/>
        </w:rPr>
      </w:pPr>
    </w:p>
    <w:p>
      <w:pPr>
        <w:ind w:left="480" w:firstLine="794"/>
        <w:spacing w:after="0" w:line="222" w:lineRule="auto"/>
        <w:rPr>
          <w:sz w:val="20"/>
          <w:szCs w:val="20"/>
          <w:color w:val="auto"/>
        </w:rPr>
      </w:pPr>
      <w:r>
        <w:rPr>
          <w:rFonts w:ascii="Times New Roman" w:cs="Times New Roman" w:eastAsia="Times New Roman" w:hAnsi="Times New Roman"/>
          <w:sz w:val="19"/>
          <w:szCs w:val="19"/>
          <w:color w:val="auto"/>
        </w:rPr>
        <w:t>14.2.1. Unless otherwise determined by the Committee, any Award then outstanding shall be assumed or be substituted by the Company, or by the successor corporation in such Merger/Sale or by any parent or Affiliate thereof, as determined by the Committee in its</w:t>
      </w:r>
    </w:p>
    <w:p>
      <w:pPr>
        <w:spacing w:after="0" w:line="2" w:lineRule="exact"/>
        <w:rPr>
          <w:sz w:val="20"/>
          <w:szCs w:val="20"/>
          <w:color w:val="auto"/>
        </w:rPr>
      </w:pPr>
    </w:p>
    <w:p>
      <w:pPr>
        <w:ind w:left="480"/>
        <w:spacing w:after="0" w:line="235" w:lineRule="auto"/>
        <w:rPr>
          <w:sz w:val="20"/>
          <w:szCs w:val="20"/>
          <w:color w:val="auto"/>
        </w:rPr>
      </w:pPr>
      <w:r>
        <w:rPr>
          <w:rFonts w:ascii="Times New Roman" w:cs="Times New Roman" w:eastAsia="Times New Roman" w:hAnsi="Times New Roman"/>
          <w:sz w:val="19"/>
          <w:szCs w:val="19"/>
          <w:color w:val="auto"/>
        </w:rPr>
        <w:t>discretion (the “</w:t>
      </w:r>
      <w:r>
        <w:rPr>
          <w:rFonts w:ascii="Times New Roman" w:cs="Times New Roman" w:eastAsia="Times New Roman" w:hAnsi="Times New Roman"/>
          <w:sz w:val="19"/>
          <w:szCs w:val="19"/>
          <w:b w:val="1"/>
          <w:bCs w:val="1"/>
          <w:color w:val="auto"/>
        </w:rPr>
        <w:t>Successor Corporation</w:t>
      </w:r>
      <w:r>
        <w:rPr>
          <w:rFonts w:ascii="Times New Roman" w:cs="Times New Roman" w:eastAsia="Times New Roman" w:hAnsi="Times New Roman"/>
          <w:sz w:val="19"/>
          <w:szCs w:val="19"/>
          <w:color w:val="auto"/>
        </w:rPr>
        <w:t>”), under terms as determined by the Committee or the terms of this Plan applied by the Successor Corporation to such assumed or substituted Awards.</w:t>
      </w:r>
    </w:p>
    <w:p>
      <w:pPr>
        <w:spacing w:after="0" w:line="27" w:lineRule="exact"/>
        <w:rPr>
          <w:sz w:val="20"/>
          <w:szCs w:val="20"/>
          <w:color w:val="auto"/>
        </w:rPr>
      </w:pPr>
    </w:p>
    <w:p>
      <w:pPr>
        <w:jc w:val="both"/>
        <w:ind w:left="480"/>
        <w:spacing w:after="0" w:line="222" w:lineRule="auto"/>
        <w:rPr>
          <w:sz w:val="20"/>
          <w:szCs w:val="20"/>
          <w:color w:val="auto"/>
        </w:rPr>
      </w:pPr>
      <w:r>
        <w:rPr>
          <w:rFonts w:ascii="Times New Roman" w:cs="Times New Roman" w:eastAsia="Times New Roman" w:hAnsi="Times New Roman"/>
          <w:sz w:val="19"/>
          <w:szCs w:val="19"/>
          <w:color w:val="auto"/>
        </w:rPr>
        <w:t>For the purposes of this Section 14.2.1, the Award shall be considered assumed or substituted if, following a Merger/Sale, the Award confers on the holder thereof the right to purchase or receive, for each Share underlying an Award immediately prior to the Merger/Sale,</w:t>
      </w:r>
    </w:p>
    <w:p>
      <w:pPr>
        <w:ind w:left="480"/>
        <w:spacing w:after="0" w:line="219" w:lineRule="auto"/>
        <w:rPr>
          <w:sz w:val="20"/>
          <w:szCs w:val="20"/>
          <w:color w:val="auto"/>
        </w:rPr>
      </w:pPr>
      <w:r>
        <w:rPr>
          <w:rFonts w:ascii="Times New Roman" w:cs="Times New Roman" w:eastAsia="Times New Roman" w:hAnsi="Times New Roman"/>
          <w:sz w:val="19"/>
          <w:szCs w:val="19"/>
          <w:color w:val="auto"/>
        </w:rPr>
        <w:t>either (i) the consideration (whether shares or other securities, cash or other property, or rights, or any combination thereof) distributed to</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or received by holders of Shares in the Merger/Sale for each Share held on the effective date of the Merger/Sale (and if holders were offered a choice or several types of consideration, the type of consideration as determined by the Committee, which need not be the same</w:t>
      </w:r>
    </w:p>
    <w:p>
      <w:pPr>
        <w:ind w:left="480"/>
        <w:spacing w:after="0" w:line="219" w:lineRule="auto"/>
        <w:rPr>
          <w:sz w:val="20"/>
          <w:szCs w:val="20"/>
          <w:color w:val="auto"/>
        </w:rPr>
      </w:pPr>
      <w:r>
        <w:rPr>
          <w:rFonts w:ascii="Times New Roman" w:cs="Times New Roman" w:eastAsia="Times New Roman" w:hAnsi="Times New Roman"/>
          <w:sz w:val="19"/>
          <w:szCs w:val="19"/>
          <w:color w:val="auto"/>
        </w:rPr>
        <w:t>type for all Grantees), or (ii) regardless of the consideration received by the holders of Shares in the Merger/Sale, solely shares or any type</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of Awards (or their equivalent) of the Successor Corporation at a value to be determined by the Committee in its discretion, or a certain type of consideration (whether shares or other securities, cash or other property, or rights, or any combination thereof) as determined by</w:t>
      </w:r>
    </w:p>
    <w:p>
      <w:pPr>
        <w:ind w:left="480"/>
        <w:spacing w:after="0" w:line="219" w:lineRule="auto"/>
        <w:rPr>
          <w:sz w:val="20"/>
          <w:szCs w:val="20"/>
          <w:color w:val="auto"/>
        </w:rPr>
      </w:pPr>
      <w:r>
        <w:rPr>
          <w:rFonts w:ascii="Times New Roman" w:cs="Times New Roman" w:eastAsia="Times New Roman" w:hAnsi="Times New Roman"/>
          <w:sz w:val="19"/>
          <w:szCs w:val="19"/>
          <w:color w:val="auto"/>
        </w:rPr>
        <w:t>the Committee. Any of the consideration referred to in the foregoing clauses (i) and (ii) shall be subject to the same vesting and expiration</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terms of the Awards applying immediately prior to the Merger/Sale, unless determined by the Committee, in its discretion, that the consideration shall be subject to different vesting and expiration terms, or other terms, and the Committee may determine that it be subject</w:t>
      </w:r>
    </w:p>
    <w:p>
      <w:pPr>
        <w:ind w:left="480"/>
        <w:spacing w:after="0" w:line="219" w:lineRule="auto"/>
        <w:rPr>
          <w:sz w:val="20"/>
          <w:szCs w:val="20"/>
          <w:color w:val="auto"/>
        </w:rPr>
      </w:pPr>
      <w:r>
        <w:rPr>
          <w:rFonts w:ascii="Times New Roman" w:cs="Times New Roman" w:eastAsia="Times New Roman" w:hAnsi="Times New Roman"/>
          <w:sz w:val="19"/>
          <w:szCs w:val="19"/>
          <w:color w:val="auto"/>
        </w:rPr>
        <w:t>to other or additional terms. The foregoing shall not limit the Committee’s authority to determine that in lieu of such assumption or</w:t>
      </w:r>
    </w:p>
    <w:p>
      <w:pPr>
        <w:spacing w:after="0" w:line="1" w:lineRule="exact"/>
        <w:rPr>
          <w:sz w:val="20"/>
          <w:szCs w:val="20"/>
          <w:color w:val="auto"/>
        </w:rPr>
      </w:pPr>
    </w:p>
    <w:p>
      <w:pPr>
        <w:ind w:left="480"/>
        <w:spacing w:after="0" w:line="228" w:lineRule="auto"/>
        <w:rPr>
          <w:sz w:val="20"/>
          <w:szCs w:val="20"/>
          <w:color w:val="auto"/>
        </w:rPr>
      </w:pPr>
      <w:r>
        <w:rPr>
          <w:rFonts w:ascii="Times New Roman" w:cs="Times New Roman" w:eastAsia="Times New Roman" w:hAnsi="Times New Roman"/>
          <w:sz w:val="19"/>
          <w:szCs w:val="19"/>
          <w:color w:val="auto"/>
        </w:rPr>
        <w:t>substitution of Awards for Awards of the Successor Corporation, such Award will be substituted for shares or other securities, cash or other property, or rights, or any combination thereof, including as set forth in Section 14.2.2 hereunder.</w:t>
      </w:r>
    </w:p>
    <w:p>
      <w:pPr>
        <w:spacing w:after="0" w:line="26" w:lineRule="exact"/>
        <w:rPr>
          <w:sz w:val="20"/>
          <w:szCs w:val="20"/>
          <w:color w:val="auto"/>
        </w:rPr>
      </w:pPr>
    </w:p>
    <w:p>
      <w:pPr>
        <w:ind w:left="1280"/>
        <w:spacing w:after="0"/>
        <w:tabs>
          <w:tab w:leader="none" w:pos="1980" w:val="left"/>
        </w:tabs>
        <w:rPr>
          <w:sz w:val="20"/>
          <w:szCs w:val="20"/>
          <w:color w:val="auto"/>
        </w:rPr>
      </w:pPr>
      <w:r>
        <w:rPr>
          <w:rFonts w:ascii="Times New Roman" w:cs="Times New Roman" w:eastAsia="Times New Roman" w:hAnsi="Times New Roman"/>
          <w:sz w:val="19"/>
          <w:szCs w:val="19"/>
          <w:color w:val="auto"/>
        </w:rPr>
        <w:t>14.2.2.</w:t>
        <w:tab/>
        <w:t>Regardless of whether or not Awards are assumed or substituted, the Committee may (but shall not be obligated to):</w:t>
      </w:r>
    </w:p>
    <w:p>
      <w:pPr>
        <w:spacing w:after="0" w:line="34" w:lineRule="exact"/>
        <w:rPr>
          <w:sz w:val="20"/>
          <w:szCs w:val="20"/>
          <w:color w:val="auto"/>
        </w:rPr>
      </w:pPr>
    </w:p>
    <w:p>
      <w:pPr>
        <w:ind w:left="480" w:firstLine="1249"/>
        <w:spacing w:after="0" w:line="214" w:lineRule="auto"/>
        <w:rPr>
          <w:sz w:val="20"/>
          <w:szCs w:val="20"/>
          <w:color w:val="auto"/>
        </w:rPr>
      </w:pPr>
      <w:r>
        <w:rPr>
          <w:rFonts w:ascii="Times New Roman" w:cs="Times New Roman" w:eastAsia="Times New Roman" w:hAnsi="Times New Roman"/>
          <w:sz w:val="19"/>
          <w:szCs w:val="19"/>
          <w:color w:val="auto"/>
        </w:rPr>
        <w:t>14.2.2.1. provide for the Grantee to have the right to exercise the Award in respect of Shares covered by the Award which would otherwise be exercisable or vested, under such terms and conditions as the Committee shall determine, and the cancellation</w:t>
      </w:r>
    </w:p>
    <w:p>
      <w:pPr>
        <w:ind w:left="480"/>
        <w:spacing w:after="0" w:line="219" w:lineRule="auto"/>
        <w:rPr>
          <w:sz w:val="20"/>
          <w:szCs w:val="20"/>
          <w:color w:val="auto"/>
        </w:rPr>
      </w:pPr>
      <w:r>
        <w:rPr>
          <w:rFonts w:ascii="Times New Roman" w:cs="Times New Roman" w:eastAsia="Times New Roman" w:hAnsi="Times New Roman"/>
          <w:sz w:val="19"/>
          <w:szCs w:val="19"/>
          <w:color w:val="auto"/>
        </w:rPr>
        <w:t>of all unexercised Awards (whether vested or unvested) upon or immediately prior to the closing of the Merger/Sale, unless the</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Committee provides for the Grantee to have the right to exercise the Award, or otherwise for the acceleration of vesting of such Award, as to all or part of the Shares covered by the Award which would not otherwise be exercisable or vested, under such terms and conditions as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Committee shall determine;</w:t>
      </w:r>
    </w:p>
    <w:p>
      <w:pPr>
        <w:spacing w:after="0" w:line="7" w:lineRule="exact"/>
        <w:rPr>
          <w:sz w:val="20"/>
          <w:szCs w:val="20"/>
          <w:color w:val="auto"/>
        </w:rPr>
      </w:pPr>
    </w:p>
    <w:p>
      <w:pPr>
        <w:ind w:left="480" w:firstLine="1249"/>
        <w:spacing w:after="0" w:line="218" w:lineRule="auto"/>
        <w:rPr>
          <w:sz w:val="20"/>
          <w:szCs w:val="20"/>
          <w:color w:val="auto"/>
        </w:rPr>
      </w:pPr>
      <w:r>
        <w:rPr>
          <w:rFonts w:ascii="Times New Roman" w:cs="Times New Roman" w:eastAsia="Times New Roman" w:hAnsi="Times New Roman"/>
          <w:sz w:val="19"/>
          <w:szCs w:val="19"/>
          <w:color w:val="auto"/>
        </w:rPr>
        <w:t>14.2.2.2. provide for the cancellation of each outstanding Award at or immediately prior to the closing of such Merger/Sale, and if and to the extent payment shall be made to the Grantee of an amount in shares or other securities of the Company, the</w:t>
      </w:r>
    </w:p>
    <w:p>
      <w:pPr>
        <w:ind w:left="480"/>
        <w:spacing w:after="0" w:line="210" w:lineRule="auto"/>
        <w:rPr>
          <w:sz w:val="20"/>
          <w:szCs w:val="20"/>
          <w:color w:val="auto"/>
        </w:rPr>
      </w:pPr>
      <w:r>
        <w:rPr>
          <w:rFonts w:ascii="Times New Roman" w:cs="Times New Roman" w:eastAsia="Times New Roman" w:hAnsi="Times New Roman"/>
          <w:sz w:val="19"/>
          <w:szCs w:val="19"/>
          <w:color w:val="auto"/>
        </w:rPr>
        <w:t>acquiror or of a corporation or other business entity which is a party to the Merger/Sale, cash or other property, or rights, or any combination thereof, as determined by the Committee to be fair in the circumstances, and subject to such terms and conditions as</w:t>
      </w:r>
    </w:p>
    <w:p>
      <w:pPr>
        <w:spacing w:after="0" w:line="1" w:lineRule="exact"/>
        <w:rPr>
          <w:sz w:val="20"/>
          <w:szCs w:val="20"/>
          <w:color w:val="auto"/>
        </w:rPr>
      </w:pPr>
    </w:p>
    <w:p>
      <w:pPr>
        <w:ind w:left="480"/>
        <w:spacing w:after="0" w:line="235" w:lineRule="auto"/>
        <w:rPr>
          <w:sz w:val="20"/>
          <w:szCs w:val="20"/>
          <w:color w:val="auto"/>
        </w:rPr>
      </w:pPr>
      <w:r>
        <w:rPr>
          <w:rFonts w:ascii="Times New Roman" w:cs="Times New Roman" w:eastAsia="Times New Roman" w:hAnsi="Times New Roman"/>
          <w:sz w:val="19"/>
          <w:szCs w:val="19"/>
          <w:color w:val="auto"/>
        </w:rPr>
        <w:t>determined by the Committee. The Committee shall have full authority to select the method for determining the payment (being the intrinsic (“spread”) value of the option,</w:t>
      </w:r>
    </w:p>
    <w:p>
      <w:pPr>
        <w:sectPr>
          <w:pgSz w:w="11900" w:h="16838" w:orient="portrait"/>
          <w:cols w:equalWidth="0" w:num="1">
            <w:col w:w="11240"/>
          </w:cols>
          <w:pgMar w:left="320" w:top="1242" w:right="339" w:bottom="1440" w:gutter="0" w:footer="0" w:header="0"/>
        </w:sectPr>
      </w:pPr>
    </w:p>
    <w:bookmarkStart w:id="185" w:name="page186"/>
    <w:bookmarkEnd w:id="185"/>
    <w:p>
      <w:pPr>
        <w:jc w:val="both"/>
        <w:spacing w:after="0" w:line="231" w:lineRule="auto"/>
        <w:rPr>
          <w:sz w:val="20"/>
          <w:szCs w:val="20"/>
          <w:color w:val="auto"/>
        </w:rPr>
      </w:pPr>
      <w:r>
        <w:rPr>
          <w:rFonts w:ascii="Times New Roman" w:cs="Times New Roman" w:eastAsia="Times New Roman" w:hAnsi="Times New Roman"/>
          <w:sz w:val="19"/>
          <w:szCs w:val="19"/>
          <w:color w:val="auto"/>
        </w:rPr>
        <w:t xml:space="preserve">Black-Scholes model or any other method). </w:t>
      </w:r>
      <w:r>
        <w:rPr>
          <w:rFonts w:ascii="Times New Roman" w:cs="Times New Roman" w:eastAsia="Times New Roman" w:hAnsi="Times New Roman"/>
          <w:sz w:val="19"/>
          <w:szCs w:val="19"/>
          <w:i w:val="1"/>
          <w:iCs w:val="1"/>
          <w:color w:val="auto"/>
        </w:rPr>
        <w:t>Inter alia</w:t>
      </w:r>
      <w:r>
        <w:rPr>
          <w:rFonts w:ascii="Times New Roman" w:cs="Times New Roman" w:eastAsia="Times New Roman" w:hAnsi="Times New Roman"/>
          <w:sz w:val="19"/>
          <w:szCs w:val="19"/>
          <w:color w:val="auto"/>
        </w:rPr>
        <w:t>, and without limitation of the following determination being made in other circumstances, the Committee’s determination may provide that payment shall be set to zero if the value of the Shares is determined to be</w:t>
      </w:r>
    </w:p>
    <w:p>
      <w:pPr>
        <w:jc w:val="both"/>
        <w:spacing w:after="0" w:line="228" w:lineRule="auto"/>
        <w:rPr>
          <w:sz w:val="20"/>
          <w:szCs w:val="20"/>
          <w:color w:val="auto"/>
        </w:rPr>
      </w:pPr>
      <w:r>
        <w:rPr>
          <w:rFonts w:ascii="Times New Roman" w:cs="Times New Roman" w:eastAsia="Times New Roman" w:hAnsi="Times New Roman"/>
          <w:sz w:val="19"/>
          <w:szCs w:val="19"/>
          <w:color w:val="auto"/>
        </w:rPr>
        <w:t>less than the Exercise Price, or in respect of Shares covered by the Award which would not otherwise be exercisable or vested, or that payment may be made only in excess of the Exercise Price; and/or</w:t>
      </w:r>
    </w:p>
    <w:p>
      <w:pPr>
        <w:spacing w:after="0" w:line="1" w:lineRule="exact"/>
        <w:rPr>
          <w:sz w:val="20"/>
          <w:szCs w:val="20"/>
          <w:color w:val="auto"/>
        </w:rPr>
      </w:pPr>
    </w:p>
    <w:p>
      <w:pPr>
        <w:jc w:val="both"/>
        <w:ind w:firstLine="1249"/>
        <w:spacing w:after="0" w:line="232" w:lineRule="auto"/>
        <w:rPr>
          <w:sz w:val="20"/>
          <w:szCs w:val="20"/>
          <w:color w:val="auto"/>
        </w:rPr>
      </w:pPr>
      <w:r>
        <w:rPr>
          <w:rFonts w:ascii="Times New Roman" w:cs="Times New Roman" w:eastAsia="Times New Roman" w:hAnsi="Times New Roman"/>
          <w:sz w:val="19"/>
          <w:szCs w:val="19"/>
          <w:color w:val="auto"/>
        </w:rPr>
        <w:t>14.2.2.3. provide that the terms of any Award shall be otherwise amended, modified or terminated, as determined by the Committee to be fair in the circumstances.</w:t>
      </w:r>
    </w:p>
    <w:p>
      <w:pPr>
        <w:spacing w:after="0" w:line="1" w:lineRule="exact"/>
        <w:rPr>
          <w:sz w:val="20"/>
          <w:szCs w:val="20"/>
          <w:color w:val="auto"/>
        </w:rPr>
      </w:pPr>
    </w:p>
    <w:p>
      <w:pPr>
        <w:jc w:val="both"/>
        <w:ind w:firstLine="794"/>
        <w:spacing w:after="0" w:line="214" w:lineRule="auto"/>
        <w:rPr>
          <w:sz w:val="20"/>
          <w:szCs w:val="20"/>
          <w:color w:val="auto"/>
        </w:rPr>
      </w:pPr>
      <w:r>
        <w:rPr>
          <w:rFonts w:ascii="Times New Roman" w:cs="Times New Roman" w:eastAsia="Times New Roman" w:hAnsi="Times New Roman"/>
          <w:sz w:val="19"/>
          <w:szCs w:val="19"/>
          <w:color w:val="auto"/>
        </w:rPr>
        <w:t>14.2.3. The Committee may determine: (i) that any payments made in respect of Awards shall be made or delayed to the same extent that payment of consideration to the holders of the Shares in connection with the Merger/Sale is made or delayed as a result of</w:t>
      </w:r>
    </w:p>
    <w:p>
      <w:pPr>
        <w:spacing w:after="0" w:line="219" w:lineRule="auto"/>
        <w:rPr>
          <w:sz w:val="20"/>
          <w:szCs w:val="20"/>
          <w:color w:val="auto"/>
        </w:rPr>
      </w:pPr>
      <w:r>
        <w:rPr>
          <w:rFonts w:ascii="Times New Roman" w:cs="Times New Roman" w:eastAsia="Times New Roman" w:hAnsi="Times New Roman"/>
          <w:sz w:val="19"/>
          <w:szCs w:val="19"/>
          <w:color w:val="auto"/>
        </w:rPr>
        <w:t>escrows, indemnification, earn outs, holdbacks or any other contingencies or conditions; (ii) the terms and conditions applying to the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payment made or payable to the Grantees, including participation in escrow, indemnification, releases, earn-outs, holdbacks or any other contingencies; and (iii) that any terms and conditions applying under the applicable definitive transaction agreements shall apply to the</w:t>
      </w:r>
    </w:p>
    <w:p>
      <w:pPr>
        <w:spacing w:after="0" w:line="219" w:lineRule="auto"/>
        <w:rPr>
          <w:sz w:val="20"/>
          <w:szCs w:val="20"/>
          <w:color w:val="auto"/>
        </w:rPr>
      </w:pPr>
      <w:r>
        <w:rPr>
          <w:rFonts w:ascii="Times New Roman" w:cs="Times New Roman" w:eastAsia="Times New Roman" w:hAnsi="Times New Roman"/>
          <w:sz w:val="19"/>
          <w:szCs w:val="19"/>
          <w:color w:val="auto"/>
        </w:rPr>
        <w:t>Grantees (including, appointment and engagement of a stockholders or sellers representative, payment of fees or other costs and expenses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associated with such services, indemnifying such representative, and authorization to such representative within the scope of such representative’s authority in the applicable definitive transaction agreements).</w:t>
      </w:r>
    </w:p>
    <w:p>
      <w:pPr>
        <w:spacing w:after="0" w:line="1" w:lineRule="exact"/>
        <w:rPr>
          <w:sz w:val="20"/>
          <w:szCs w:val="20"/>
          <w:color w:val="auto"/>
        </w:rPr>
      </w:pPr>
    </w:p>
    <w:p>
      <w:pPr>
        <w:jc w:val="both"/>
        <w:ind w:firstLine="794"/>
        <w:spacing w:after="0" w:line="232" w:lineRule="auto"/>
        <w:rPr>
          <w:sz w:val="20"/>
          <w:szCs w:val="20"/>
          <w:color w:val="auto"/>
        </w:rPr>
      </w:pPr>
      <w:r>
        <w:rPr>
          <w:rFonts w:ascii="Times New Roman" w:cs="Times New Roman" w:eastAsia="Times New Roman" w:hAnsi="Times New Roman"/>
          <w:sz w:val="19"/>
          <w:szCs w:val="19"/>
          <w:color w:val="auto"/>
        </w:rPr>
        <w:t>14.2.4. The Committee may determine to suspend the Grantee’s rights to exercise any vested portion of an Award for a period of time prior to the signing or consummation of a Merger/Sale transaction.</w:t>
      </w:r>
    </w:p>
    <w:p>
      <w:pPr>
        <w:spacing w:after="0" w:line="1" w:lineRule="exact"/>
        <w:rPr>
          <w:sz w:val="20"/>
          <w:szCs w:val="20"/>
          <w:color w:val="auto"/>
        </w:rPr>
      </w:pPr>
    </w:p>
    <w:p>
      <w:pPr>
        <w:jc w:val="both"/>
        <w:ind w:firstLine="794"/>
        <w:spacing w:after="0" w:line="214" w:lineRule="auto"/>
        <w:rPr>
          <w:sz w:val="20"/>
          <w:szCs w:val="20"/>
          <w:color w:val="auto"/>
        </w:rPr>
      </w:pPr>
      <w:r>
        <w:rPr>
          <w:rFonts w:ascii="Times New Roman" w:cs="Times New Roman" w:eastAsia="Times New Roman" w:hAnsi="Times New Roman"/>
          <w:sz w:val="19"/>
          <w:szCs w:val="19"/>
          <w:color w:val="auto"/>
        </w:rPr>
        <w:t>14.2.5. Without limiting the generality of this Section 14, if the consideration in exchange for Awards in a Merger/Sale includes any securities and due receipt thereof by any Grantee (or by the Trustee for the benefit of such Grantee) may require under</w:t>
      </w:r>
    </w:p>
    <w:p>
      <w:pPr>
        <w:spacing w:after="0" w:line="219" w:lineRule="auto"/>
        <w:rPr>
          <w:sz w:val="20"/>
          <w:szCs w:val="20"/>
          <w:color w:val="auto"/>
        </w:rPr>
      </w:pPr>
      <w:r>
        <w:rPr>
          <w:rFonts w:ascii="Times New Roman" w:cs="Times New Roman" w:eastAsia="Times New Roman" w:hAnsi="Times New Roman"/>
          <w:sz w:val="19"/>
          <w:szCs w:val="19"/>
          <w:color w:val="auto"/>
        </w:rPr>
        <w:t>applicable law (i) the registration or qualification of such securities or of any person as a broker or dealer or agent with respect to such</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securities; or (ii) the provision to any Grantee of any information under the Securities Act or any other securities laws, then the Committee may determine that the Grantee shall be paid in lieu thereof, against surrender of the Shares or cancellation of any other Awards, an</w:t>
      </w:r>
    </w:p>
    <w:p>
      <w:pPr>
        <w:spacing w:after="0" w:line="219" w:lineRule="auto"/>
        <w:rPr>
          <w:sz w:val="20"/>
          <w:szCs w:val="20"/>
          <w:color w:val="auto"/>
        </w:rPr>
      </w:pPr>
      <w:r>
        <w:rPr>
          <w:rFonts w:ascii="Times New Roman" w:cs="Times New Roman" w:eastAsia="Times New Roman" w:hAnsi="Times New Roman"/>
          <w:sz w:val="19"/>
          <w:szCs w:val="19"/>
          <w:color w:val="auto"/>
        </w:rPr>
        <w:t>amount in cash or other property, or rights, or any combination thereof, as determined by the Committee to be fair in the circumstances,</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and subject to such terms and conditions as determined by the Committee. Nothing herein shall entitle any Grantee to receive any form of consideration that such Grantee would be ineligible to receive as a result of such Grantee’s failure to satisfy (in the Committee’s sole</w:t>
      </w:r>
    </w:p>
    <w:p>
      <w:pPr>
        <w:spacing w:after="0" w:line="219" w:lineRule="auto"/>
        <w:rPr>
          <w:sz w:val="20"/>
          <w:szCs w:val="20"/>
          <w:color w:val="auto"/>
        </w:rPr>
      </w:pPr>
      <w:r>
        <w:rPr>
          <w:rFonts w:ascii="Times New Roman" w:cs="Times New Roman" w:eastAsia="Times New Roman" w:hAnsi="Times New Roman"/>
          <w:sz w:val="19"/>
          <w:szCs w:val="19"/>
          <w:color w:val="auto"/>
        </w:rPr>
        <w:t>determination) any condition, requirement or limitation that is generally applicable to the Company’s stockholders, or that is otherwise</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applicable under the terms of the Merger/Sale, and in such case, the Committee shall determine the type of consideration and the terms applying to such Grantees.</w:t>
      </w:r>
    </w:p>
    <w:p>
      <w:pPr>
        <w:spacing w:after="0" w:line="1" w:lineRule="exact"/>
        <w:rPr>
          <w:sz w:val="20"/>
          <w:szCs w:val="20"/>
          <w:color w:val="auto"/>
        </w:rPr>
      </w:pPr>
    </w:p>
    <w:p>
      <w:pPr>
        <w:jc w:val="both"/>
        <w:ind w:firstLine="794"/>
        <w:spacing w:after="0" w:line="218" w:lineRule="auto"/>
        <w:rPr>
          <w:sz w:val="20"/>
          <w:szCs w:val="20"/>
          <w:color w:val="auto"/>
        </w:rPr>
      </w:pPr>
      <w:r>
        <w:rPr>
          <w:rFonts w:ascii="Times New Roman" w:cs="Times New Roman" w:eastAsia="Times New Roman" w:hAnsi="Times New Roman"/>
          <w:sz w:val="19"/>
          <w:szCs w:val="19"/>
          <w:color w:val="auto"/>
        </w:rPr>
        <w:t>14.2.6. Neither the authorities and powers of the Committee under this Section 14.2, nor the exercise or implementation thereof, shall (i) be restricted or limited in any way by any adverse consequences (tax or otherwise) that may result to any holder of an</w:t>
      </w:r>
    </w:p>
    <w:p>
      <w:pPr>
        <w:jc w:val="both"/>
        <w:spacing w:after="0" w:line="210" w:lineRule="auto"/>
        <w:rPr>
          <w:sz w:val="20"/>
          <w:szCs w:val="20"/>
          <w:color w:val="auto"/>
        </w:rPr>
      </w:pPr>
      <w:r>
        <w:rPr>
          <w:rFonts w:ascii="Times New Roman" w:cs="Times New Roman" w:eastAsia="Times New Roman" w:hAnsi="Times New Roman"/>
          <w:sz w:val="19"/>
          <w:szCs w:val="19"/>
          <w:color w:val="auto"/>
        </w:rPr>
        <w:t xml:space="preserve">Award, and (ii) as, </w:t>
      </w:r>
      <w:r>
        <w:rPr>
          <w:rFonts w:ascii="Times New Roman" w:cs="Times New Roman" w:eastAsia="Times New Roman" w:hAnsi="Times New Roman"/>
          <w:sz w:val="19"/>
          <w:szCs w:val="19"/>
          <w:i w:val="1"/>
          <w:iCs w:val="1"/>
          <w:color w:val="auto"/>
        </w:rPr>
        <w:t>inter alia</w:t>
      </w:r>
      <w:r>
        <w:rPr>
          <w:rFonts w:ascii="Times New Roman" w:cs="Times New Roman" w:eastAsia="Times New Roman" w:hAnsi="Times New Roman"/>
          <w:sz w:val="19"/>
          <w:szCs w:val="19"/>
          <w:color w:val="auto"/>
        </w:rPr>
        <w:t>, being a feature of the Award upon its grant, be deemed to constitute a change or an amendment of the rights of such holder under this Plan, nor shall any such adverse consequences (as well as any adverse tax consequences that may result from</w:t>
      </w:r>
    </w:p>
    <w:p>
      <w:pPr>
        <w:spacing w:after="0" w:line="219" w:lineRule="auto"/>
        <w:rPr>
          <w:sz w:val="20"/>
          <w:szCs w:val="20"/>
          <w:color w:val="auto"/>
        </w:rPr>
      </w:pPr>
      <w:r>
        <w:rPr>
          <w:rFonts w:ascii="Times New Roman" w:cs="Times New Roman" w:eastAsia="Times New Roman" w:hAnsi="Times New Roman"/>
          <w:sz w:val="19"/>
          <w:szCs w:val="19"/>
          <w:color w:val="auto"/>
        </w:rPr>
        <w:t>any tax ruling or other approval or determination of any relevant tax authority) be deemed to constitute a change or an amendment of the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rights of such holder under this Plan, and may be effected without consent of any Grantee and without any liability to the Company or its Affiliates, or to their respective officers, directors, employees and representatives, and the respective successors and assigns of any of the</w:t>
      </w:r>
    </w:p>
    <w:p>
      <w:pPr>
        <w:spacing w:after="0" w:line="219" w:lineRule="auto"/>
        <w:rPr>
          <w:sz w:val="20"/>
          <w:szCs w:val="20"/>
          <w:color w:val="auto"/>
        </w:rPr>
      </w:pPr>
      <w:r>
        <w:rPr>
          <w:rFonts w:ascii="Times New Roman" w:cs="Times New Roman" w:eastAsia="Times New Roman" w:hAnsi="Times New Roman"/>
          <w:sz w:val="19"/>
          <w:szCs w:val="19"/>
          <w:color w:val="auto"/>
        </w:rPr>
        <w:t>foregoing. The Committee need not take the same action with respect to all Awards or with respect to all Service Providers. The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Committee may take different actions with respect to the vested and unvested portions of an Award. The Committee may determine an amount or type of consideration to be received or distributed in a Merger/Sale which may differ as among the Grantees, and as between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Grantees and any other holders of stock of the Company.</w:t>
      </w:r>
    </w:p>
    <w:p>
      <w:pPr>
        <w:spacing w:after="0" w:line="7" w:lineRule="exact"/>
        <w:rPr>
          <w:sz w:val="20"/>
          <w:szCs w:val="20"/>
          <w:color w:val="auto"/>
        </w:rPr>
      </w:pPr>
    </w:p>
    <w:p>
      <w:pPr>
        <w:jc w:val="both"/>
        <w:ind w:firstLine="800"/>
        <w:spacing w:after="0" w:line="227" w:lineRule="auto"/>
        <w:rPr>
          <w:sz w:val="20"/>
          <w:szCs w:val="20"/>
          <w:color w:val="auto"/>
        </w:rPr>
      </w:pPr>
      <w:r>
        <w:rPr>
          <w:rFonts w:ascii="Times New Roman" w:cs="Times New Roman" w:eastAsia="Times New Roman" w:hAnsi="Times New Roman"/>
          <w:sz w:val="19"/>
          <w:szCs w:val="19"/>
          <w:color w:val="auto"/>
        </w:rPr>
        <w:t>14.2.7. The Committee may determine that upon a Merger/Sale any Shares held by Grantees (or for Grantee’s benefit) are sold in accordance with instructions issued by the Committee in connection with such Merger/Sale, which shall be final, conclusive and binding on all Grantees.</w:t>
      </w:r>
    </w:p>
    <w:p>
      <w:pPr>
        <w:ind w:left="800"/>
        <w:spacing w:after="0" w:line="220" w:lineRule="auto"/>
        <w:tabs>
          <w:tab w:leader="none" w:pos="1520" w:val="left"/>
        </w:tabs>
        <w:rPr>
          <w:sz w:val="20"/>
          <w:szCs w:val="20"/>
          <w:color w:val="auto"/>
        </w:rPr>
      </w:pPr>
      <w:r>
        <w:rPr>
          <w:rFonts w:ascii="Times New Roman" w:cs="Times New Roman" w:eastAsia="Times New Roman" w:hAnsi="Times New Roman"/>
          <w:sz w:val="19"/>
          <w:szCs w:val="19"/>
          <w:color w:val="auto"/>
        </w:rPr>
        <w:t>14.2.8.</w:t>
        <w:tab/>
        <w:t>All of the Committee’s determinations pursuant to this Section 14 shall be at its sole and absolute discretion, and shall</w:t>
      </w:r>
    </w:p>
    <w:p>
      <w:pPr>
        <w:jc w:val="both"/>
        <w:spacing w:after="0" w:line="210" w:lineRule="auto"/>
        <w:rPr>
          <w:sz w:val="20"/>
          <w:szCs w:val="20"/>
          <w:color w:val="auto"/>
        </w:rPr>
      </w:pPr>
      <w:r>
        <w:rPr>
          <w:rFonts w:ascii="Times New Roman" w:cs="Times New Roman" w:eastAsia="Times New Roman" w:hAnsi="Times New Roman"/>
          <w:sz w:val="19"/>
          <w:szCs w:val="19"/>
          <w:color w:val="auto"/>
        </w:rPr>
        <w:t>be final, conclusive and binding on all Grantees (including, for clarity, as it relates to Shares issued upon exercise or vesting of any Awards or that are Awards, unless otherwise determined by the Committee) and without any liability to the Company or its Affiliates, or</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to their respective officers, directors, employees, stockholders and representatives, and the respective successors and assigns of any of the foregoing, in connection with the method of treatment, chosen course of action or determinations made hereunder.</w:t>
      </w:r>
    </w:p>
    <w:p>
      <w:pPr>
        <w:ind w:left="800"/>
        <w:spacing w:after="0" w:line="219" w:lineRule="auto"/>
        <w:tabs>
          <w:tab w:leader="none" w:pos="1560" w:val="left"/>
        </w:tabs>
        <w:rPr>
          <w:sz w:val="20"/>
          <w:szCs w:val="20"/>
          <w:color w:val="auto"/>
        </w:rPr>
      </w:pPr>
      <w:r>
        <w:rPr>
          <w:rFonts w:ascii="Times New Roman" w:cs="Times New Roman" w:eastAsia="Times New Roman" w:hAnsi="Times New Roman"/>
          <w:sz w:val="19"/>
          <w:szCs w:val="19"/>
          <w:color w:val="auto"/>
        </w:rPr>
        <w:t>14.2.9.</w:t>
        <w:tab/>
        <w:t>If determined by the Committee, the Grantees shall be subject to the definitive agreement(s) in connection with the</w:t>
      </w:r>
    </w:p>
    <w:p>
      <w:pPr>
        <w:jc w:val="both"/>
        <w:spacing w:after="0" w:line="228" w:lineRule="auto"/>
        <w:rPr>
          <w:sz w:val="20"/>
          <w:szCs w:val="20"/>
          <w:color w:val="auto"/>
        </w:rPr>
      </w:pPr>
      <w:r>
        <w:rPr>
          <w:rFonts w:ascii="Times New Roman" w:cs="Times New Roman" w:eastAsia="Times New Roman" w:hAnsi="Times New Roman"/>
          <w:sz w:val="19"/>
          <w:szCs w:val="19"/>
          <w:color w:val="auto"/>
        </w:rPr>
        <w:t>Merger/Sale as applying to holders of Shares including, such terms, conditions, representations, undertakings, liabilities, limitations, releases, indemnities, appointing and indemnifying stockholders/sellers representative, participating in transaction expenses,</w:t>
      </w:r>
    </w:p>
    <w:p>
      <w:pPr>
        <w:sectPr>
          <w:pgSz w:w="11900" w:h="16838" w:orient="portrait"/>
          <w:cols w:equalWidth="0" w:num="1">
            <w:col w:w="10760"/>
          </w:cols>
          <w:pgMar w:left="800" w:top="1240" w:right="339" w:bottom="1440" w:gutter="0" w:footer="0" w:header="0"/>
        </w:sectPr>
      </w:pPr>
    </w:p>
    <w:bookmarkStart w:id="186" w:name="page187"/>
    <w:bookmarkEnd w:id="186"/>
    <w:p>
      <w:pPr>
        <w:ind w:left="480"/>
        <w:spacing w:after="0" w:line="230" w:lineRule="auto"/>
        <w:rPr>
          <w:sz w:val="20"/>
          <w:szCs w:val="20"/>
          <w:color w:val="auto"/>
        </w:rPr>
      </w:pPr>
      <w:r>
        <w:rPr>
          <w:rFonts w:ascii="Times New Roman" w:cs="Times New Roman" w:eastAsia="Times New Roman" w:hAnsi="Times New Roman"/>
          <w:sz w:val="19"/>
          <w:szCs w:val="19"/>
          <w:color w:val="auto"/>
        </w:rPr>
        <w:t>stockholders/sellers representative expense fund and escrow arrangement, in each case as determined by the Committee. Each Grantee shall execute (and authorizes any person designated by the Company to so execute, as well as (if applicable) the Trustee holding any</w:t>
      </w:r>
    </w:p>
    <w:p>
      <w:pPr>
        <w:ind w:left="480"/>
        <w:spacing w:after="0" w:line="210" w:lineRule="auto"/>
        <w:rPr>
          <w:sz w:val="20"/>
          <w:szCs w:val="20"/>
          <w:color w:val="auto"/>
        </w:rPr>
      </w:pPr>
      <w:r>
        <w:rPr>
          <w:rFonts w:ascii="Times New Roman" w:cs="Times New Roman" w:eastAsia="Times New Roman" w:hAnsi="Times New Roman"/>
          <w:sz w:val="19"/>
          <w:szCs w:val="19"/>
          <w:color w:val="auto"/>
        </w:rPr>
        <w:t>Shares for the Grantee’s behalf) such separate agreement(s) or instruments as may be requested by the Company, the Successor Corporation or the acquiror in connection with such in such Merger/Sale or otherwise under or for the purpose of implementing this</w:t>
      </w:r>
    </w:p>
    <w:p>
      <w:pPr>
        <w:ind w:left="480"/>
        <w:spacing w:after="0" w:line="219" w:lineRule="auto"/>
        <w:rPr>
          <w:sz w:val="20"/>
          <w:szCs w:val="20"/>
          <w:color w:val="auto"/>
        </w:rPr>
      </w:pPr>
      <w:r>
        <w:rPr>
          <w:rFonts w:ascii="Times New Roman" w:cs="Times New Roman" w:eastAsia="Times New Roman" w:hAnsi="Times New Roman"/>
          <w:sz w:val="19"/>
          <w:szCs w:val="19"/>
          <w:color w:val="auto"/>
        </w:rPr>
        <w:t>Section 14.2, and in the form required by them. The execution of such separate agreement(s) may be a condition to the receipt of assumed</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or substituted Awards, payment in lieu of the Award, the exercise of any Award or otherwise to be entitled to benefit from shares or other securities, cash or other property, or rights, or any combination thereof, pursuant to this Section 14.2 (and the Company (and, if</w:t>
      </w:r>
    </w:p>
    <w:p>
      <w:pPr>
        <w:ind w:left="480"/>
        <w:spacing w:after="0" w:line="219" w:lineRule="auto"/>
        <w:rPr>
          <w:sz w:val="20"/>
          <w:szCs w:val="20"/>
          <w:color w:val="auto"/>
        </w:rPr>
      </w:pPr>
      <w:r>
        <w:rPr>
          <w:rFonts w:ascii="Times New Roman" w:cs="Times New Roman" w:eastAsia="Times New Roman" w:hAnsi="Times New Roman"/>
          <w:sz w:val="19"/>
          <w:szCs w:val="19"/>
          <w:color w:val="auto"/>
        </w:rPr>
        <w:t>applicable, the Trustee) may exercise its authorization above and sign such agreement on behalf of the Grantee or subject the Grantee to</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the provisions of such agreements). Without limitation of the foregoing, the proxy pursuant to Section 6.10 includes an authorization of the holder of such proxy to sign, by and on behalf of any Grantee, such documents and agreements required to be signed under this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Section 14.2.</w:t>
      </w:r>
    </w:p>
    <w:p>
      <w:pPr>
        <w:spacing w:after="0" w:line="37" w:lineRule="exact"/>
        <w:rPr>
          <w:sz w:val="20"/>
          <w:szCs w:val="20"/>
          <w:color w:val="auto"/>
        </w:rPr>
      </w:pPr>
    </w:p>
    <w:p>
      <w:pPr>
        <w:ind w:left="500"/>
        <w:spacing w:after="0"/>
        <w:tabs>
          <w:tab w:leader="none" w:pos="1100" w:val="left"/>
        </w:tabs>
        <w:rPr>
          <w:sz w:val="20"/>
          <w:szCs w:val="20"/>
          <w:color w:val="auto"/>
        </w:rPr>
      </w:pPr>
      <w:r>
        <w:rPr>
          <w:rFonts w:ascii="Times New Roman" w:cs="Times New Roman" w:eastAsia="Times New Roman" w:hAnsi="Times New Roman"/>
          <w:sz w:val="19"/>
          <w:szCs w:val="19"/>
          <w:color w:val="auto"/>
        </w:rPr>
        <w:t>14.3.</w:t>
      </w:r>
      <w:r>
        <w:rPr>
          <w:sz w:val="20"/>
          <w:szCs w:val="20"/>
          <w:color w:val="auto"/>
        </w:rPr>
        <w:tab/>
      </w:r>
      <w:r>
        <w:rPr>
          <w:rFonts w:ascii="Times New Roman" w:cs="Times New Roman" w:eastAsia="Times New Roman" w:hAnsi="Times New Roman"/>
          <w:sz w:val="19"/>
          <w:szCs w:val="19"/>
          <w:u w:val="single" w:color="auto"/>
          <w:color w:val="auto"/>
        </w:rPr>
        <w:t>Reservation of Rights</w:t>
      </w:r>
      <w:r>
        <w:rPr>
          <w:rFonts w:ascii="Times New Roman" w:cs="Times New Roman" w:eastAsia="Times New Roman" w:hAnsi="Times New Roman"/>
          <w:sz w:val="19"/>
          <w:szCs w:val="19"/>
          <w:color w:val="auto"/>
        </w:rPr>
        <w:t>. Except as expressly provided in this Section 14 (if any), the Grantee of an Award hereunder shall have no</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rights by reason of any Recapitalization of stock of any class, any increase or decrease in the number of shares of any class, or any dissolution, liquidation, reorganization (which may include a combination or exchange of stock, spin-off or other corporate divestiture or division, or other</w:t>
      </w:r>
    </w:p>
    <w:p>
      <w:pPr>
        <w:spacing w:after="0" w:line="219" w:lineRule="auto"/>
        <w:rPr>
          <w:sz w:val="20"/>
          <w:szCs w:val="20"/>
          <w:color w:val="auto"/>
        </w:rPr>
      </w:pPr>
      <w:r>
        <w:rPr>
          <w:rFonts w:ascii="Times New Roman" w:cs="Times New Roman" w:eastAsia="Times New Roman" w:hAnsi="Times New Roman"/>
          <w:sz w:val="19"/>
          <w:szCs w:val="19"/>
          <w:color w:val="auto"/>
        </w:rPr>
        <w:t>similar occurrences), or Merger/Sale. Any issue by the Company of shares of any class, or securities convertible into shares of stock of any</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class, shall not affect, and no adjustment by reason thereof shall be made with respect to, the number, type or price of stock subject to an Award. The grant of an Award pursuant to this Plan shall not affect in any way the right or power of the Company to make adjustments,</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reclassifications, reorganizations or changes of its capital or business structures or to merge or to consolidate or to dissolve, liquidate or sell, or transfer all or part of its business or assets or engage in any similar transactions.</w:t>
      </w:r>
    </w:p>
    <w:p>
      <w:pPr>
        <w:spacing w:after="0" w:line="23" w:lineRule="exact"/>
        <w:rPr>
          <w:sz w:val="20"/>
          <w:szCs w:val="20"/>
          <w:color w:val="auto"/>
        </w:rPr>
      </w:pPr>
    </w:p>
    <w:p>
      <w:pPr>
        <w:ind w:left="440" w:hanging="434"/>
        <w:spacing w:after="0"/>
        <w:tabs>
          <w:tab w:leader="none" w:pos="440"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NON-TRANSFERABILITY OF AWARDS; SURVIVING BENEFICIARY</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15.1. All Awards granted under this Plan by their terms shall not be transferable, other than by will or by the laws of descent and distribution, unless otherwise determined by the Committee or under this Plan, provided that with respect to Shares issued upon exercise, Shares</w:t>
      </w:r>
    </w:p>
    <w:p>
      <w:pPr>
        <w:spacing w:after="0" w:line="219" w:lineRule="auto"/>
        <w:rPr>
          <w:sz w:val="20"/>
          <w:szCs w:val="20"/>
          <w:color w:val="auto"/>
        </w:rPr>
      </w:pPr>
      <w:r>
        <w:rPr>
          <w:rFonts w:ascii="Times New Roman" w:cs="Times New Roman" w:eastAsia="Times New Roman" w:hAnsi="Times New Roman"/>
          <w:sz w:val="19"/>
          <w:szCs w:val="19"/>
          <w:color w:val="auto"/>
        </w:rPr>
        <w:t>issued upon the vesting of Awards or Awards that are Shares, the restrictions on transfer shall be the restrictions referred to in Section 16</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(Conditions upon Issuance of Shares) hereof. Subject to the above provisions, the terms of such Award, this Plan and any applicable Award Agreement shall be binding upon the beneficiaries, executors, administrators, heirs and successors of such Grantee. Awards may be exercised or</w:t>
      </w:r>
    </w:p>
    <w:p>
      <w:pPr>
        <w:spacing w:after="0" w:line="219" w:lineRule="auto"/>
        <w:rPr>
          <w:sz w:val="20"/>
          <w:szCs w:val="20"/>
          <w:color w:val="auto"/>
        </w:rPr>
      </w:pPr>
      <w:r>
        <w:rPr>
          <w:rFonts w:ascii="Times New Roman" w:cs="Times New Roman" w:eastAsia="Times New Roman" w:hAnsi="Times New Roman"/>
          <w:sz w:val="19"/>
          <w:szCs w:val="19"/>
          <w:color w:val="auto"/>
        </w:rPr>
        <w:t>otherwise realized, during the lifetime of the Grantee, only by the Grantee or by his guardian or legal representative, to the extent provided for</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herein. Any transfer of an Award not permitted hereunder (including transfers pursuant to any decree of divorce, dissolution or separate maintenance, any property settlement, any separation agreement or any other agreement with a spouse) and any grant of any interest in any</w:t>
      </w:r>
    </w:p>
    <w:p>
      <w:pPr>
        <w:spacing w:after="0" w:line="219" w:lineRule="auto"/>
        <w:rPr>
          <w:sz w:val="20"/>
          <w:szCs w:val="20"/>
          <w:color w:val="auto"/>
        </w:rPr>
      </w:pPr>
      <w:r>
        <w:rPr>
          <w:rFonts w:ascii="Times New Roman" w:cs="Times New Roman" w:eastAsia="Times New Roman" w:hAnsi="Times New Roman"/>
          <w:sz w:val="19"/>
          <w:szCs w:val="19"/>
          <w:color w:val="auto"/>
        </w:rPr>
        <w:t>Award to, or creation in any way of any direct or indirect interest in any Award by, any party other than the Grantee shall be null and void and</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shall not confer upon any party or person, other than the Grantee, any rights. A Grantee may file with the Committee a written designation of a beneficiary, who shall be permitted to exercise such Grantee’s Award or to whom any benefit under this Plan is to be paid, in each case, in the</w:t>
      </w:r>
    </w:p>
    <w:p>
      <w:pPr>
        <w:spacing w:after="0" w:line="219" w:lineRule="auto"/>
        <w:rPr>
          <w:sz w:val="20"/>
          <w:szCs w:val="20"/>
          <w:color w:val="auto"/>
        </w:rPr>
      </w:pPr>
      <w:r>
        <w:rPr>
          <w:rFonts w:ascii="Times New Roman" w:cs="Times New Roman" w:eastAsia="Times New Roman" w:hAnsi="Times New Roman"/>
          <w:sz w:val="19"/>
          <w:szCs w:val="19"/>
          <w:color w:val="auto"/>
        </w:rPr>
        <w:t>event of the Grantee’s death before he or she fully exercises his or her Award or receives any or all of such benefit, on such form as may be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prescribed by the Committee and may, from time to time, amend or revoke such designation. If no designated beneficiary survives the Grantee, the executor or administrator of the Grantee’s estate shall be deemed to be the Grantee’s beneficiary. Notwithstanding the foregoing, upon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request of the Grantee and subject to Applicable Law the Committee, at its sole discretion, may permit the Grantee to transfer the Award to a trust whose beneficiaries are the Grantee and/or the Grantee’s immediate family members (all or several of them).</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15.2. Notwithstanding any other provisions of the Plan to the contrary, no Incentive Stock Option may be sold, transferred, pledged, assigned or otherwise alienated or hypothecated, other than by will or by the laws of descent and distribution or in accordance with a beneficiary</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designation pursuant to Section 15.1. Further, all Incentive Stock Options granted to a Grantee shall be exercisable during his or her lifetime only by such Grantee.</w:t>
      </w:r>
    </w:p>
    <w:p>
      <w:pPr>
        <w:spacing w:after="0" w:line="80"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9"/>
          <w:szCs w:val="19"/>
          <w:color w:val="auto"/>
        </w:rPr>
        <w:t>15.3. 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12"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15.4. If and to the extent a Grantee is entitled to transfer an Award and/or Shares underlying an Award in accordance with the terms of the Plan and any other applicable agreements, such transfer shall be subject (in addition, to any other conditions or terms applying thereto) to</w:t>
      </w:r>
    </w:p>
    <w:p>
      <w:pPr>
        <w:spacing w:after="0" w:line="219" w:lineRule="auto"/>
        <w:rPr>
          <w:sz w:val="20"/>
          <w:szCs w:val="20"/>
          <w:color w:val="auto"/>
        </w:rPr>
      </w:pPr>
      <w:r>
        <w:rPr>
          <w:rFonts w:ascii="Times New Roman" w:cs="Times New Roman" w:eastAsia="Times New Roman" w:hAnsi="Times New Roman"/>
          <w:sz w:val="19"/>
          <w:szCs w:val="19"/>
          <w:color w:val="auto"/>
        </w:rPr>
        <w:t>receipt by the Company from such proposed transferee of a written instrument, on a form reasonably acceptable to the Company, pursuant to</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which such proposed transferee agrees to be bound by all provisions of the Plan and any other applicable agreements, including without limitation, any restrictions on transfer of the Award and/or Shares set forth herein (however, failure to so deliver such instrument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as set forth above shall not derogate from all such provisions applying on any transferee).</w:t>
      </w:r>
    </w:p>
    <w:p>
      <w:pPr>
        <w:sectPr>
          <w:pgSz w:w="11900" w:h="16838" w:orient="portrait"/>
          <w:cols w:equalWidth="0" w:num="1">
            <w:col w:w="11240"/>
          </w:cols>
          <w:pgMar w:left="320" w:top="1242" w:right="339" w:bottom="1440" w:gutter="0" w:footer="0" w:header="0"/>
        </w:sectPr>
      </w:pPr>
    </w:p>
    <w:bookmarkStart w:id="187" w:name="page188"/>
    <w:bookmarkEnd w:id="187"/>
    <w:p>
      <w:pPr>
        <w:ind w:left="500"/>
        <w:spacing w:after="0"/>
        <w:tabs>
          <w:tab w:leader="none" w:pos="1060" w:val="left"/>
        </w:tabs>
        <w:rPr>
          <w:sz w:val="20"/>
          <w:szCs w:val="20"/>
          <w:color w:val="auto"/>
        </w:rPr>
      </w:pPr>
      <w:r>
        <w:rPr>
          <w:rFonts w:ascii="Times New Roman" w:cs="Times New Roman" w:eastAsia="Times New Roman" w:hAnsi="Times New Roman"/>
          <w:sz w:val="19"/>
          <w:szCs w:val="19"/>
          <w:color w:val="auto"/>
        </w:rPr>
        <w:t>15.5.</w:t>
        <w:tab/>
        <w:t>The provisions of this Section 15 shall apply to the Grantee and to any purchaser, assignee or transferee of any Shares.</w:t>
      </w:r>
    </w:p>
    <w:p>
      <w:pPr>
        <w:spacing w:after="0" w:line="69" w:lineRule="exact"/>
        <w:rPr>
          <w:sz w:val="20"/>
          <w:szCs w:val="20"/>
          <w:color w:val="auto"/>
        </w:rPr>
      </w:pPr>
    </w:p>
    <w:p>
      <w:pPr>
        <w:ind w:left="440" w:hanging="434"/>
        <w:spacing w:after="0"/>
        <w:tabs>
          <w:tab w:leader="none" w:pos="44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CONDITIONS UPON ISSUANCE OF SHARES; GOVERNING PROVISIONS</w:t>
      </w:r>
      <w:r>
        <w:rPr>
          <w:rFonts w:ascii="Times New Roman" w:cs="Times New Roman" w:eastAsia="Times New Roman" w:hAnsi="Times New Roman"/>
          <w:sz w:val="19"/>
          <w:szCs w:val="19"/>
          <w:u w:val="single" w:color="auto"/>
          <w:color w:val="auto"/>
        </w:rPr>
        <w:t>.</w:t>
      </w:r>
    </w:p>
    <w:p>
      <w:pPr>
        <w:spacing w:after="0" w:line="63"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16.1. </w:t>
      </w:r>
      <w:r>
        <w:rPr>
          <w:rFonts w:ascii="Times New Roman" w:cs="Times New Roman" w:eastAsia="Times New Roman" w:hAnsi="Times New Roman"/>
          <w:sz w:val="19"/>
          <w:szCs w:val="19"/>
          <w:u w:val="single" w:color="auto"/>
          <w:color w:val="auto"/>
        </w:rPr>
        <w:t>Legal Compliance</w:t>
      </w:r>
      <w:r>
        <w:rPr>
          <w:rFonts w:ascii="Times New Roman" w:cs="Times New Roman" w:eastAsia="Times New Roman" w:hAnsi="Times New Roman"/>
          <w:sz w:val="19"/>
          <w:szCs w:val="19"/>
          <w:color w:val="auto"/>
        </w:rPr>
        <w:t>. The grant of Awards and the issuance of Shares upon exercise or settlement of Awards shall be subject to compliance with all Applicable Law as determined by the Company, including, applicable requirements of federal, state and foreign law with</w:t>
      </w:r>
    </w:p>
    <w:p>
      <w:pPr>
        <w:spacing w:after="0" w:line="219" w:lineRule="auto"/>
        <w:rPr>
          <w:sz w:val="20"/>
          <w:szCs w:val="20"/>
          <w:color w:val="auto"/>
        </w:rPr>
      </w:pPr>
      <w:r>
        <w:rPr>
          <w:rFonts w:ascii="Times New Roman" w:cs="Times New Roman" w:eastAsia="Times New Roman" w:hAnsi="Times New Roman"/>
          <w:sz w:val="19"/>
          <w:szCs w:val="19"/>
          <w:color w:val="auto"/>
        </w:rPr>
        <w:t>respect to such securities. The Company shall have no obligations to issue Shares pursuant to the exercise or settlement of an Award and Awards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may not be exercised or settled, if the issuance of Shares upon exercise or settlement would constitute a violation of any Applicable Law as determined by the Company, including, applicable federal, state or foreign securities laws or other law or regulations or the requirements of any</w:t>
      </w:r>
    </w:p>
    <w:p>
      <w:pPr>
        <w:spacing w:after="0" w:line="219" w:lineRule="auto"/>
        <w:rPr>
          <w:sz w:val="20"/>
          <w:szCs w:val="20"/>
          <w:color w:val="auto"/>
        </w:rPr>
      </w:pPr>
      <w:r>
        <w:rPr>
          <w:rFonts w:ascii="Times New Roman" w:cs="Times New Roman" w:eastAsia="Times New Roman" w:hAnsi="Times New Roman"/>
          <w:sz w:val="19"/>
          <w:szCs w:val="19"/>
          <w:color w:val="auto"/>
        </w:rPr>
        <w:t>stock exchange or market system upon which the Shares may then be listed. In addition, no Award may be exercised unless (i) a registration</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statement under the Securities Act or equivalent law in another jurisdiction shall at the time of exercise or settlement of the Award be in effect with respect to the stock issuable upon exercise of the Award, or (ii) in the opinion of legal counsel to the Company, the stock issuable upon</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exercise of the Award may be issued in accordance with the terms of an applicable exemption from the registration requirements of the Securities Act or equivalent law in another jurisdiction. The inability of the Company to obtain authority from any regulatory body having</w:t>
      </w:r>
    </w:p>
    <w:p>
      <w:pPr>
        <w:spacing w:after="0" w:line="219" w:lineRule="auto"/>
        <w:rPr>
          <w:sz w:val="20"/>
          <w:szCs w:val="20"/>
          <w:color w:val="auto"/>
        </w:rPr>
      </w:pPr>
      <w:r>
        <w:rPr>
          <w:rFonts w:ascii="Times New Roman" w:cs="Times New Roman" w:eastAsia="Times New Roman" w:hAnsi="Times New Roman"/>
          <w:sz w:val="19"/>
          <w:szCs w:val="19"/>
          <w:color w:val="auto"/>
        </w:rPr>
        <w:t>jurisdiction, if any, deemed by the Company to be necessary to the lawful issuance and sale of any Shares hereunder, and the inability to issue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Shares hereunder due to non-compliance with any Company policies with respect to the sale of Shares, shall relieve the Company of any liability in respect of the failure to issue or sell such Shares as to which such requisite authority or compliance shall not have been obtained or</w:t>
      </w:r>
    </w:p>
    <w:p>
      <w:pPr>
        <w:spacing w:after="0" w:line="219" w:lineRule="auto"/>
        <w:rPr>
          <w:sz w:val="20"/>
          <w:szCs w:val="20"/>
          <w:color w:val="auto"/>
        </w:rPr>
      </w:pPr>
      <w:r>
        <w:rPr>
          <w:rFonts w:ascii="Times New Roman" w:cs="Times New Roman" w:eastAsia="Times New Roman" w:hAnsi="Times New Roman"/>
          <w:sz w:val="19"/>
          <w:szCs w:val="19"/>
          <w:color w:val="auto"/>
        </w:rPr>
        <w:t>achieved. As a condition to the exercise of an Award, the Company may require the person exercising such Award to satisfy any qualifications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that may be necessary or appropriate, to evidence compliance with any Applicable Law or regulation and to make any representation or warranty with respect thereto as may be requested by the Company, including to represent and warrant at the time of any such exercise that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Shares are being purchased only for investment and without any present intention to sell or distribute such Shares, all in form and content specified by the Company.</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16.2. </w:t>
      </w:r>
      <w:r>
        <w:rPr>
          <w:rFonts w:ascii="Times New Roman" w:cs="Times New Roman" w:eastAsia="Times New Roman" w:hAnsi="Times New Roman"/>
          <w:sz w:val="19"/>
          <w:szCs w:val="19"/>
          <w:u w:val="single" w:color="auto"/>
          <w:color w:val="auto"/>
        </w:rPr>
        <w:t>Provisions Governing Shares</w:t>
      </w:r>
      <w:r>
        <w:rPr>
          <w:rFonts w:ascii="Times New Roman" w:cs="Times New Roman" w:eastAsia="Times New Roman" w:hAnsi="Times New Roman"/>
          <w:sz w:val="19"/>
          <w:szCs w:val="19"/>
          <w:color w:val="auto"/>
        </w:rPr>
        <w:t>. Shares issued pursuant to an Award shall be subject to this Plan (unless otherwise determined by the Committee), and shall be subject to the Certificate of Incorporation and Bylaws of the Company, any limitation, restriction or obligation</w:t>
      </w:r>
    </w:p>
    <w:p>
      <w:pPr>
        <w:spacing w:after="0" w:line="219" w:lineRule="auto"/>
        <w:rPr>
          <w:sz w:val="20"/>
          <w:szCs w:val="20"/>
          <w:color w:val="auto"/>
        </w:rPr>
      </w:pPr>
      <w:r>
        <w:rPr>
          <w:rFonts w:ascii="Times New Roman" w:cs="Times New Roman" w:eastAsia="Times New Roman" w:hAnsi="Times New Roman"/>
          <w:sz w:val="19"/>
          <w:szCs w:val="19"/>
          <w:color w:val="auto"/>
        </w:rPr>
        <w:t>included in any stockholders agreement applicable to all or substantially all of the holders of stock (regardless of whether or not the Grantee is a</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formal party to such stockholders agreement), any other governing documents of the Company, all policies, manuals and internal regulations adopted by the Company from time to time, in each case, as may be amended from time to time, including any provisions included therein</w:t>
      </w:r>
    </w:p>
    <w:p>
      <w:pPr>
        <w:spacing w:after="0" w:line="219" w:lineRule="auto"/>
        <w:rPr>
          <w:sz w:val="20"/>
          <w:szCs w:val="20"/>
          <w:color w:val="auto"/>
        </w:rPr>
      </w:pPr>
      <w:r>
        <w:rPr>
          <w:rFonts w:ascii="Times New Roman" w:cs="Times New Roman" w:eastAsia="Times New Roman" w:hAnsi="Times New Roman"/>
          <w:sz w:val="19"/>
          <w:szCs w:val="19"/>
          <w:color w:val="auto"/>
        </w:rPr>
        <w:t>concerning restrictions or limitations on disposition of Shares (such as, but not limited to, right of first refusal and lock up/market stand-off) or</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grant of any rights with respect thereto, forced sale and bring along/drag along provisions, any provisions concerning restrictions on the use of inside information and other provisions deemed by the Company to be appropriate in order to ensure compliance with Applicable Law. Each</w:t>
      </w:r>
    </w:p>
    <w:p>
      <w:pPr>
        <w:spacing w:after="0" w:line="219" w:lineRule="auto"/>
        <w:rPr>
          <w:sz w:val="20"/>
          <w:szCs w:val="20"/>
          <w:color w:val="auto"/>
        </w:rPr>
      </w:pPr>
      <w:r>
        <w:rPr>
          <w:rFonts w:ascii="Times New Roman" w:cs="Times New Roman" w:eastAsia="Times New Roman" w:hAnsi="Times New Roman"/>
          <w:sz w:val="19"/>
          <w:szCs w:val="19"/>
          <w:color w:val="auto"/>
        </w:rPr>
        <w:t>Grantee shall execute (and authorizes any person designated by the Company to so execute, as well as (if applicable) the Trustee holding any</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Shears for the Grantee’s behalf) such separate agreement(s) as may be requested by the Company relating to matters set forth in or otherwise for the purpose of implementing this Section 16.2. The execution of such separate agreement(s) may be a condition by the Company to the exercise</w:t>
      </w:r>
    </w:p>
    <w:p>
      <w:pPr>
        <w:spacing w:after="0" w:line="219" w:lineRule="auto"/>
        <w:rPr>
          <w:sz w:val="20"/>
          <w:szCs w:val="20"/>
          <w:color w:val="auto"/>
        </w:rPr>
      </w:pPr>
      <w:r>
        <w:rPr>
          <w:rFonts w:ascii="Times New Roman" w:cs="Times New Roman" w:eastAsia="Times New Roman" w:hAnsi="Times New Roman"/>
          <w:sz w:val="19"/>
          <w:szCs w:val="19"/>
          <w:color w:val="auto"/>
        </w:rPr>
        <w:t>of any Award and the Company (and, if applicable, the Trustee) may exercise its authorization above and sign such agreement on behalf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Grantee or subject the Grantee to the provisions of such agreements. Without limitation of the foregoing, the proxy pursuant to Section 6.10 includes an authorization of the holder of such proxy to sign, by and on behalf of any Grantee, such documents and agreements.</w:t>
      </w:r>
    </w:p>
    <w:p>
      <w:pPr>
        <w:spacing w:after="0" w:line="26"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 xml:space="preserve">16.3. </w:t>
      </w:r>
      <w:r>
        <w:rPr>
          <w:rFonts w:ascii="Times New Roman" w:cs="Times New Roman" w:eastAsia="Times New Roman" w:hAnsi="Times New Roman"/>
          <w:sz w:val="19"/>
          <w:szCs w:val="19"/>
          <w:u w:val="single" w:color="auto"/>
          <w:color w:val="auto"/>
        </w:rPr>
        <w:t>Share Purchase Transactions; Forced Sale</w:t>
      </w:r>
      <w:r>
        <w:rPr>
          <w:rFonts w:ascii="Times New Roman" w:cs="Times New Roman" w:eastAsia="Times New Roman" w:hAnsi="Times New Roman"/>
          <w:sz w:val="19"/>
          <w:szCs w:val="19"/>
          <w:color w:val="auto"/>
        </w:rPr>
        <w:t>. In the event that the Board approves a Merger/Sale effected by way of a forced or compulsory sale (whether pursuant to the Company’s Certificate of Incorporation and Bylaws, pursuant to Applicable Law, or any stockholders</w:t>
      </w:r>
    </w:p>
    <w:p>
      <w:pPr>
        <w:spacing w:after="0" w:line="210" w:lineRule="auto"/>
        <w:rPr>
          <w:sz w:val="20"/>
          <w:szCs w:val="20"/>
          <w:color w:val="auto"/>
        </w:rPr>
      </w:pPr>
      <w:r>
        <w:rPr>
          <w:rFonts w:ascii="Times New Roman" w:cs="Times New Roman" w:eastAsia="Times New Roman" w:hAnsi="Times New Roman"/>
          <w:sz w:val="19"/>
          <w:szCs w:val="19"/>
          <w:color w:val="auto"/>
        </w:rPr>
        <w:t>agreement or otherwise) or in the event of a transaction for the sale of all shares of the Company, then, without derogating from such provisions and in addition thereto, the Grantee shall be obligated, and shall be deemed to have agreed to the offer to effect the Merger/Sale (and the Shares</w:t>
      </w:r>
    </w:p>
    <w:p>
      <w:pPr>
        <w:spacing w:after="0" w:line="219" w:lineRule="auto"/>
        <w:rPr>
          <w:sz w:val="20"/>
          <w:szCs w:val="20"/>
          <w:color w:val="auto"/>
        </w:rPr>
      </w:pPr>
      <w:r>
        <w:rPr>
          <w:rFonts w:ascii="Times New Roman" w:cs="Times New Roman" w:eastAsia="Times New Roman" w:hAnsi="Times New Roman"/>
          <w:sz w:val="19"/>
          <w:szCs w:val="19"/>
          <w:color w:val="auto"/>
        </w:rPr>
        <w:t>held by or for the benefit of the Grantee shall be included in the shares of the Company approving the terms of such Merger/Sale for the purpose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of satisfying the required majority), and shall sell all of the Shares held by or for the benefit of the Grantee on the terms and conditions applying to the holders of Shares, in accordance with the instructions then issued by the Board, whose determination shall be final. No Grantee shall</w:t>
      </w:r>
    </w:p>
    <w:p>
      <w:pPr>
        <w:spacing w:after="0" w:line="219" w:lineRule="auto"/>
        <w:rPr>
          <w:sz w:val="20"/>
          <w:szCs w:val="20"/>
          <w:color w:val="auto"/>
        </w:rPr>
      </w:pPr>
      <w:r>
        <w:rPr>
          <w:rFonts w:ascii="Times New Roman" w:cs="Times New Roman" w:eastAsia="Times New Roman" w:hAnsi="Times New Roman"/>
          <w:sz w:val="19"/>
          <w:szCs w:val="19"/>
          <w:color w:val="auto"/>
        </w:rPr>
        <w:t>contest, bring any claims or demands, or exercise any appraisal rights related to any of the foregoing. Each Grantee shall execute (and</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authorizes any person designated by the Company to so execute, as well as (if applicable) the Trustee holding any Shares for the Grantee’s behalf) such documents and agreements, as may be requested by the Company relating to matters set forth in or otherwise for the purpose of</w:t>
      </w:r>
    </w:p>
    <w:p>
      <w:pPr>
        <w:spacing w:after="0" w:line="219" w:lineRule="auto"/>
        <w:rPr>
          <w:sz w:val="20"/>
          <w:szCs w:val="20"/>
          <w:color w:val="auto"/>
        </w:rPr>
      </w:pPr>
      <w:r>
        <w:rPr>
          <w:rFonts w:ascii="Times New Roman" w:cs="Times New Roman" w:eastAsia="Times New Roman" w:hAnsi="Times New Roman"/>
          <w:sz w:val="19"/>
          <w:szCs w:val="19"/>
          <w:color w:val="auto"/>
        </w:rPr>
        <w:t>implementing this Section 16.3. The execution of such separate agreement(s) may be a condition by the Company to the exercise of any Award</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and the Company (and, if applicable, the Trustee) may exercise its authorization above and sign such agreement on behalf of the Grantee or subject the Grantee to the provisions of such agreements. Without limitation of the foregoing, the proxy pursuant to Section 6.10 includes an</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authorization of the holder of such proxy to sign, by and on behalf of any Grantee, such documents and agreements as are required to affect the sale of Shares and</w:t>
      </w:r>
    </w:p>
    <w:p>
      <w:pPr>
        <w:sectPr>
          <w:pgSz w:w="11900" w:h="16838" w:orient="portrait"/>
          <w:cols w:equalWidth="0" w:num="1">
            <w:col w:w="11240"/>
          </w:cols>
          <w:pgMar w:left="320" w:top="1242"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9"/>
          <w:szCs w:val="19"/>
          <w:color w:val="auto"/>
        </w:rPr>
        <w:t>otherwise in connection with such Merger/Sale and waivers of any contest, claims, demands or any appraisal rights.</w:t>
      </w:r>
    </w:p>
    <w:p>
      <w:pPr>
        <w:spacing w:after="0" w:line="73"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16.4. </w:t>
      </w:r>
      <w:r>
        <w:rPr>
          <w:rFonts w:ascii="Times New Roman" w:cs="Times New Roman" w:eastAsia="Times New Roman" w:hAnsi="Times New Roman"/>
          <w:sz w:val="19"/>
          <w:szCs w:val="19"/>
          <w:u w:val="single" w:color="auto"/>
          <w:color w:val="auto"/>
        </w:rPr>
        <w:t>Data Privacy; Data Transfer</w:t>
      </w:r>
      <w:r>
        <w:rPr>
          <w:rFonts w:ascii="Times New Roman" w:cs="Times New Roman" w:eastAsia="Times New Roman" w:hAnsi="Times New Roman"/>
          <w:sz w:val="19"/>
          <w:szCs w:val="19"/>
          <w:color w:val="auto"/>
        </w:rPr>
        <w:t>. Information related to Grantees and Awards hereunder, as shall be received from Grantee or others, and/or held by, the Company or its Affiliates from time to time, and which information may include sensitive and personal information related</w:t>
      </w:r>
    </w:p>
    <w:p>
      <w:pPr>
        <w:spacing w:after="0" w:line="219" w:lineRule="auto"/>
        <w:rPr>
          <w:sz w:val="20"/>
          <w:szCs w:val="20"/>
          <w:color w:val="auto"/>
        </w:rPr>
      </w:pPr>
      <w:r>
        <w:rPr>
          <w:rFonts w:ascii="Times New Roman" w:cs="Times New Roman" w:eastAsia="Times New Roman" w:hAnsi="Times New Roman"/>
          <w:sz w:val="19"/>
          <w:szCs w:val="19"/>
          <w:color w:val="auto"/>
        </w:rPr>
        <w:t>to Grantees (“</w:t>
      </w:r>
      <w:r>
        <w:rPr>
          <w:rFonts w:ascii="Times New Roman" w:cs="Times New Roman" w:eastAsia="Times New Roman" w:hAnsi="Times New Roman"/>
          <w:sz w:val="19"/>
          <w:szCs w:val="19"/>
          <w:b w:val="1"/>
          <w:bCs w:val="1"/>
          <w:color w:val="auto"/>
        </w:rPr>
        <w:t>Information</w:t>
      </w:r>
      <w:r>
        <w:rPr>
          <w:rFonts w:ascii="Times New Roman" w:cs="Times New Roman" w:eastAsia="Times New Roman" w:hAnsi="Times New Roman"/>
          <w:sz w:val="19"/>
          <w:szCs w:val="19"/>
          <w:color w:val="auto"/>
        </w:rPr>
        <w:t>”), will be used by the Company or its Affiliates (or third parties appointed by any of them, including the Trustee) to</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comply with any applicable legal requirement, or for administration of the Plan as they deems necessary or advisable, or for the respective business purposes of the Company or its Affiliates (including in connection with transactions related to any of them). The Company and its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Affiliates shall be entitled to transfer the Information among the Company or its Affiliates, and to third parties for the purposes set forth above, which may include persons located abroad (including, any person administering the Plan or providing services in respect of the Plan or in order</w:t>
      </w:r>
    </w:p>
    <w:p>
      <w:pPr>
        <w:spacing w:after="0" w:line="219" w:lineRule="auto"/>
        <w:rPr>
          <w:sz w:val="20"/>
          <w:szCs w:val="20"/>
          <w:color w:val="auto"/>
        </w:rPr>
      </w:pPr>
      <w:r>
        <w:rPr>
          <w:rFonts w:ascii="Times New Roman" w:cs="Times New Roman" w:eastAsia="Times New Roman" w:hAnsi="Times New Roman"/>
          <w:sz w:val="19"/>
          <w:szCs w:val="19"/>
          <w:color w:val="auto"/>
        </w:rPr>
        <w:t>to comply with legal requirements, or the Trustee, their respective officers, directors, employees and representatives, and the respective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successors and assigns of any of the foregoing), and any person so receiving Information shall be entitled to transfer it for the purposes set forth above. The Company shall use commercially reasonable efforts to ensure that the transfer of such Information shall be limited to the reasonable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and necessary scope. By receiving an Award hereunder, Grantee acknowledges and agrees that the Information is provided at Grantee’s free will and Grantee consents to the storage and transfer of the Information as set forth above.</w:t>
      </w:r>
    </w:p>
    <w:p>
      <w:pPr>
        <w:spacing w:after="0" w:line="23" w:lineRule="exact"/>
        <w:rPr>
          <w:sz w:val="20"/>
          <w:szCs w:val="20"/>
          <w:color w:val="auto"/>
        </w:rPr>
      </w:pPr>
    </w:p>
    <w:p>
      <w:pPr>
        <w:ind w:left="440" w:hanging="434"/>
        <w:spacing w:after="0"/>
        <w:tabs>
          <w:tab w:leader="none" w:pos="44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MARKET STAND-OFF</w:t>
      </w:r>
    </w:p>
    <w:p>
      <w:pPr>
        <w:spacing w:after="0" w:line="63" w:lineRule="exact"/>
        <w:rPr>
          <w:sz w:val="20"/>
          <w:szCs w:val="20"/>
          <w:color w:val="auto"/>
        </w:rPr>
      </w:pPr>
    </w:p>
    <w:p>
      <w:pPr>
        <w:ind w:left="500"/>
        <w:spacing w:after="0"/>
        <w:tabs>
          <w:tab w:leader="none" w:pos="1160" w:val="left"/>
        </w:tabs>
        <w:rPr>
          <w:sz w:val="20"/>
          <w:szCs w:val="20"/>
          <w:color w:val="auto"/>
        </w:rPr>
      </w:pPr>
      <w:r>
        <w:rPr>
          <w:rFonts w:ascii="Times New Roman" w:cs="Times New Roman" w:eastAsia="Times New Roman" w:hAnsi="Times New Roman"/>
          <w:sz w:val="19"/>
          <w:szCs w:val="19"/>
          <w:color w:val="auto"/>
        </w:rPr>
        <w:t>17.1.</w:t>
        <w:tab/>
        <w:t>In connection with any underwritten public offering of equity securities of the Company pursuant to an effective registration</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statement filed under the Securities Act or equivalent law in another jurisdiction, the Grantee shall not directly or indirectly, without the prior written consent of the Company or its underwriters, (i) lend, offer, pledge, sell, contract to sell, sell any option or contract to purchase, purchase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any option or contract to sell, grant any option, right or warrant to purchase, or otherwise transfer or dispose of, directly or indirectly, any Shares or other Awards, any securities of the Company (whether or not such Shares were acquired under this Plan), or any securities convertible into or</w:t>
      </w:r>
    </w:p>
    <w:p>
      <w:pPr>
        <w:spacing w:after="0" w:line="219" w:lineRule="auto"/>
        <w:rPr>
          <w:sz w:val="20"/>
          <w:szCs w:val="20"/>
          <w:color w:val="auto"/>
        </w:rPr>
      </w:pPr>
      <w:r>
        <w:rPr>
          <w:rFonts w:ascii="Times New Roman" w:cs="Times New Roman" w:eastAsia="Times New Roman" w:hAnsi="Times New Roman"/>
          <w:sz w:val="19"/>
          <w:szCs w:val="19"/>
          <w:color w:val="auto"/>
        </w:rPr>
        <w:t>exercisable or exchangeable (directly or indirectly) for Shares or securities of the Company and any other shares or securities issued or</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distributed in respect thereto or in substitution thereof (collectively, “</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or (ii) enter into any swap or other arrangement that transfers to another, in whole or in part, any of the economic consequences of ownership of the Securities, whether any such transaction described in the</w:t>
      </w:r>
    </w:p>
    <w:p>
      <w:pPr>
        <w:spacing w:after="0" w:line="219" w:lineRule="auto"/>
        <w:rPr>
          <w:sz w:val="20"/>
          <w:szCs w:val="20"/>
          <w:color w:val="auto"/>
        </w:rPr>
      </w:pPr>
      <w:r>
        <w:rPr>
          <w:rFonts w:ascii="Times New Roman" w:cs="Times New Roman" w:eastAsia="Times New Roman" w:hAnsi="Times New Roman"/>
          <w:sz w:val="19"/>
          <w:szCs w:val="19"/>
          <w:color w:val="auto"/>
        </w:rPr>
        <w:t>foregoing clauses (i) or (ii) is to be settled by delivery of Securities, in cash or otherwise. The foregoing provisions of this Section 17.1 shall not</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apply to the sale of any shares to an underwriter pursuant to an underwriting agreement. Such restrictions (the “</w:t>
      </w:r>
      <w:r>
        <w:rPr>
          <w:rFonts w:ascii="Times New Roman" w:cs="Times New Roman" w:eastAsia="Times New Roman" w:hAnsi="Times New Roman"/>
          <w:sz w:val="19"/>
          <w:szCs w:val="19"/>
          <w:b w:val="1"/>
          <w:bCs w:val="1"/>
          <w:color w:val="auto"/>
        </w:rPr>
        <w:t>Market Stand-Off</w:t>
      </w:r>
      <w:r>
        <w:rPr>
          <w:rFonts w:ascii="Times New Roman" w:cs="Times New Roman" w:eastAsia="Times New Roman" w:hAnsi="Times New Roman"/>
          <w:sz w:val="19"/>
          <w:szCs w:val="19"/>
          <w:color w:val="auto"/>
        </w:rPr>
        <w:t>”) shall be in effect for such period of time (the “</w:t>
      </w:r>
      <w:r>
        <w:rPr>
          <w:rFonts w:ascii="Times New Roman" w:cs="Times New Roman" w:eastAsia="Times New Roman" w:hAnsi="Times New Roman"/>
          <w:sz w:val="19"/>
          <w:szCs w:val="19"/>
          <w:b w:val="1"/>
          <w:bCs w:val="1"/>
          <w:color w:val="auto"/>
        </w:rPr>
        <w:t>Market Stand-Off Period</w:t>
      </w:r>
      <w:r>
        <w:rPr>
          <w:rFonts w:ascii="Times New Roman" w:cs="Times New Roman" w:eastAsia="Times New Roman" w:hAnsi="Times New Roman"/>
          <w:sz w:val="19"/>
          <w:szCs w:val="19"/>
          <w:color w:val="auto"/>
        </w:rPr>
        <w:t>”): (A) following the first public filing of the registration statement relating to the</w:t>
      </w:r>
    </w:p>
    <w:p>
      <w:pPr>
        <w:spacing w:after="0" w:line="219" w:lineRule="auto"/>
        <w:rPr>
          <w:sz w:val="20"/>
          <w:szCs w:val="20"/>
          <w:color w:val="auto"/>
        </w:rPr>
      </w:pPr>
      <w:r>
        <w:rPr>
          <w:rFonts w:ascii="Times New Roman" w:cs="Times New Roman" w:eastAsia="Times New Roman" w:hAnsi="Times New Roman"/>
          <w:sz w:val="19"/>
          <w:szCs w:val="19"/>
          <w:color w:val="auto"/>
        </w:rPr>
        <w:t>underwritten public offering until the expiration of 180 days following the effective date of such registration statement relating to the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Company’s initial public offering or 90 days following the effective date of such registration statement relating to any other public offering, in each case, provided, however, that if (1) during the last 17 days of the initial Market Stand-Off Period, the Company releases earnings results or</w:t>
      </w:r>
    </w:p>
    <w:p>
      <w:pPr>
        <w:spacing w:after="0" w:line="219" w:lineRule="auto"/>
        <w:rPr>
          <w:sz w:val="20"/>
          <w:szCs w:val="20"/>
          <w:color w:val="auto"/>
        </w:rPr>
      </w:pPr>
      <w:r>
        <w:rPr>
          <w:rFonts w:ascii="Times New Roman" w:cs="Times New Roman" w:eastAsia="Times New Roman" w:hAnsi="Times New Roman"/>
          <w:sz w:val="19"/>
          <w:szCs w:val="19"/>
          <w:color w:val="auto"/>
        </w:rPr>
        <w:t>announces material news or a material event or (2) prior to the expiration of the initial Market Stand-Off Period, the Company announces that it</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will release earnings results during the 15-day period following the last day of the initial Market Stand-Off Period, then in each case the Market Stand-Off Period will be automatically extended until the expiration of the 18-day period beginning on the date of release of the earnings results</w:t>
      </w:r>
    </w:p>
    <w:p>
      <w:pPr>
        <w:spacing w:after="0" w:line="219" w:lineRule="auto"/>
        <w:rPr>
          <w:sz w:val="20"/>
          <w:szCs w:val="20"/>
          <w:color w:val="auto"/>
        </w:rPr>
      </w:pPr>
      <w:r>
        <w:rPr>
          <w:rFonts w:ascii="Times New Roman" w:cs="Times New Roman" w:eastAsia="Times New Roman" w:hAnsi="Times New Roman"/>
          <w:sz w:val="19"/>
          <w:szCs w:val="19"/>
          <w:color w:val="auto"/>
        </w:rPr>
        <w:t>or the announcement of the material news or material event; or (B) such other period as shall be requested by the Company or the underwriters.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Notwithstanding anything herein to the contrary, if the underwriter(s) and the Company agree on a termination date of the Market Stand-Off Period in the event of failure to consummate a certain public offering, then such termination shall apply also to the Market Stand-Off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hereunder with respect to that particular public offering.</w:t>
      </w:r>
    </w:p>
    <w:p>
      <w:pPr>
        <w:spacing w:after="0" w:line="37" w:lineRule="exact"/>
        <w:rPr>
          <w:sz w:val="20"/>
          <w:szCs w:val="20"/>
          <w:color w:val="auto"/>
        </w:rPr>
      </w:pPr>
    </w:p>
    <w:p>
      <w:pPr>
        <w:ind w:left="500"/>
        <w:spacing w:after="0"/>
        <w:tabs>
          <w:tab w:leader="none" w:pos="1080" w:val="left"/>
        </w:tabs>
        <w:rPr>
          <w:sz w:val="20"/>
          <w:szCs w:val="20"/>
          <w:color w:val="auto"/>
        </w:rPr>
      </w:pPr>
      <w:r>
        <w:rPr>
          <w:rFonts w:ascii="Times New Roman" w:cs="Times New Roman" w:eastAsia="Times New Roman" w:hAnsi="Times New Roman"/>
          <w:sz w:val="19"/>
          <w:szCs w:val="19"/>
          <w:color w:val="auto"/>
        </w:rPr>
        <w:t>17.2.</w:t>
        <w:tab/>
        <w:t>In the event of a subdivision of the outstanding capital stock of the Company, the distribution of any securities (whether or not of</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 Company), whether as bonus shares or otherwise, and whether as dividend or otherwise, a recapitalization, a reorganization (which may include a combination or exchange of stock or a similar transaction affecting the Company’s outstanding securities without receipt of</w:t>
      </w:r>
    </w:p>
    <w:p>
      <w:pPr>
        <w:spacing w:after="0" w:line="219" w:lineRule="auto"/>
        <w:rPr>
          <w:sz w:val="20"/>
          <w:szCs w:val="20"/>
          <w:color w:val="auto"/>
        </w:rPr>
      </w:pPr>
      <w:r>
        <w:rPr>
          <w:rFonts w:ascii="Times New Roman" w:cs="Times New Roman" w:eastAsia="Times New Roman" w:hAnsi="Times New Roman"/>
          <w:sz w:val="19"/>
          <w:szCs w:val="19"/>
          <w:color w:val="auto"/>
        </w:rPr>
        <w:t>consideration), a consolidation, a spin-off or other corporate divestiture or division, a reclassification or other similar occurrence, any new,</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substituted or additional securities which are by reason of such transaction distributed with respect to any Shares subject to the Market Stand-Off, or into which such Shares thereby become convertible, shall immediately be subject to the Market Stand-Off.</w:t>
      </w:r>
    </w:p>
    <w:p>
      <w:pPr>
        <w:spacing w:after="0" w:line="26"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9"/>
          <w:szCs w:val="19"/>
          <w:color w:val="auto"/>
        </w:rPr>
        <w:t>17.3. In order to enforce the Market Stand-Off, the Company may impose stop-transfer instructions with respect to the Shares acquired under this Plan until the end of the applicable Market Stand-Off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-86360</wp:posOffset>
            </wp:positionV>
            <wp:extent cx="304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ind w:left="500"/>
        <w:spacing w:after="0"/>
        <w:tabs>
          <w:tab w:leader="none" w:pos="1100" w:val="left"/>
        </w:tabs>
        <w:rPr>
          <w:sz w:val="20"/>
          <w:szCs w:val="20"/>
          <w:color w:val="auto"/>
        </w:rPr>
      </w:pPr>
      <w:r>
        <w:rPr>
          <w:rFonts w:ascii="Times New Roman" w:cs="Times New Roman" w:eastAsia="Times New Roman" w:hAnsi="Times New Roman"/>
          <w:sz w:val="19"/>
          <w:szCs w:val="19"/>
          <w:color w:val="auto"/>
        </w:rPr>
        <w:t>17.4.</w:t>
        <w:tab/>
        <w:t>The underwriters in connection with a registration statement so filed are intended third party beneficiaries of this Section 17 and</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shall have the right, power and authority to enforce the provisions hereof as though they were a party hereto. Each Grantee shall execute such separate agreement(s) as may be requested by the Company or the underwriters in connection with such registration statement and in the form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required by them, relating to Market Stand-Off (which need not be identical to the provisions of this</w:t>
      </w:r>
    </w:p>
    <w:p>
      <w:pPr>
        <w:sectPr>
          <w:pgSz w:w="11900" w:h="16838" w:orient="portrait"/>
          <w:cols w:equalWidth="0" w:num="1">
            <w:col w:w="11240"/>
          </w:cols>
          <w:pgMar w:left="320" w:top="1242" w:right="339" w:bottom="1440" w:gutter="0" w:footer="0" w:header="0"/>
        </w:sectPr>
      </w:pPr>
    </w:p>
    <w:bookmarkStart w:id="189" w:name="page190"/>
    <w:bookmarkEnd w:id="189"/>
    <w:p>
      <w:pPr>
        <w:jc w:val="both"/>
        <w:spacing w:after="0" w:line="255" w:lineRule="auto"/>
        <w:rPr>
          <w:sz w:val="20"/>
          <w:szCs w:val="20"/>
          <w:color w:val="auto"/>
        </w:rPr>
      </w:pPr>
      <w:r>
        <w:rPr>
          <w:rFonts w:ascii="Times New Roman" w:cs="Times New Roman" w:eastAsia="Times New Roman" w:hAnsi="Times New Roman"/>
          <w:sz w:val="19"/>
          <w:szCs w:val="19"/>
          <w:color w:val="auto"/>
        </w:rPr>
        <w:t>Section 17, and may include such additional provisions and restrictions as the underwriters deem advisable) or that are necessary to give further effect thereto. The execution of such separate agreement(s) may be a condition by the Company to the exercise of any Award.</w:t>
      </w:r>
    </w:p>
    <w:p>
      <w:pPr>
        <w:spacing w:after="0" w:line="12" w:lineRule="exact"/>
        <w:rPr>
          <w:sz w:val="20"/>
          <w:szCs w:val="20"/>
          <w:color w:val="auto"/>
        </w:rPr>
      </w:pPr>
    </w:p>
    <w:p>
      <w:pPr>
        <w:jc w:val="both"/>
        <w:ind w:firstLine="500"/>
        <w:spacing w:after="0" w:line="237" w:lineRule="auto"/>
        <w:rPr>
          <w:sz w:val="20"/>
          <w:szCs w:val="20"/>
          <w:color w:val="auto"/>
        </w:rPr>
      </w:pPr>
      <w:r>
        <w:rPr>
          <w:rFonts w:ascii="Times New Roman" w:cs="Times New Roman" w:eastAsia="Times New Roman" w:hAnsi="Times New Roman"/>
          <w:sz w:val="19"/>
          <w:szCs w:val="19"/>
          <w:color w:val="auto"/>
        </w:rPr>
        <w:t>17.5. Without derogating from the above provisions of this Section 17 or elsewhere in this Plan, the provisions of this Section 17 shall apply to the Grantee and the Grantee’s heirs, legal representatives, successors, assigns, and to any purchaser, assignee or transferee of any Awards or Shares.</w:t>
      </w:r>
    </w:p>
    <w:p>
      <w:pPr>
        <w:spacing w:after="0" w:line="24" w:lineRule="exact"/>
        <w:rPr>
          <w:sz w:val="20"/>
          <w:szCs w:val="20"/>
          <w:color w:val="auto"/>
        </w:rPr>
      </w:pPr>
    </w:p>
    <w:p>
      <w:pPr>
        <w:ind w:left="440" w:hanging="434"/>
        <w:spacing w:after="0"/>
        <w:tabs>
          <w:tab w:leader="none" w:pos="44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AGREEMENT REGARDING TAXES; DISCLAIMER</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jc w:val="both"/>
        <w:ind w:firstLine="500"/>
        <w:spacing w:after="0" w:line="222" w:lineRule="auto"/>
        <w:rPr>
          <w:sz w:val="20"/>
          <w:szCs w:val="20"/>
          <w:color w:val="auto"/>
        </w:rPr>
      </w:pPr>
      <w:r>
        <w:rPr>
          <w:rFonts w:ascii="Times New Roman" w:cs="Times New Roman" w:eastAsia="Times New Roman" w:hAnsi="Times New Roman"/>
          <w:sz w:val="19"/>
          <w:szCs w:val="19"/>
          <w:color w:val="auto"/>
        </w:rPr>
        <w:t>18.1. If the Committee shall so require, as a condition of exercise of an Award, the release of Shares by the Trustee or the expiration of the Restricted Period, a Grantee shall agree that, no later than the date of such occurrence, the Grantee will pay to the Company (or the Trustee,</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as applicable) or make arrangements satisfactory to the Committee and the Trustee (if applicable) regarding payment of any applicable taxes and compulsory payments of any kind required by Applicable Law to be withheld or paid.</w:t>
      </w:r>
    </w:p>
    <w:p>
      <w:pPr>
        <w:spacing w:after="0" w:line="27" w:lineRule="exact"/>
        <w:rPr>
          <w:sz w:val="20"/>
          <w:szCs w:val="20"/>
          <w:color w:val="auto"/>
        </w:rPr>
      </w:pPr>
    </w:p>
    <w:p>
      <w:pPr>
        <w:ind w:firstLine="496"/>
        <w:spacing w:after="0" w:line="222" w:lineRule="auto"/>
        <w:rPr>
          <w:sz w:val="20"/>
          <w:szCs w:val="20"/>
          <w:color w:val="auto"/>
        </w:rPr>
      </w:pPr>
      <w:r>
        <w:rPr>
          <w:rFonts w:ascii="Times New Roman" w:cs="Times New Roman" w:eastAsia="Times New Roman" w:hAnsi="Times New Roman"/>
          <w:sz w:val="19"/>
          <w:szCs w:val="19"/>
          <w:color w:val="auto"/>
        </w:rPr>
        <w:t xml:space="preserve">18.2. </w:t>
      </w:r>
      <w:r>
        <w:rPr>
          <w:rFonts w:ascii="Times New Roman" w:cs="Times New Roman" w:eastAsia="Times New Roman" w:hAnsi="Times New Roman"/>
          <w:sz w:val="19"/>
          <w:szCs w:val="19"/>
          <w:u w:val="single" w:color="auto"/>
          <w:color w:val="auto"/>
        </w:rPr>
        <w:t>TAX LIABILITY</w:t>
      </w:r>
      <w:r>
        <w:rPr>
          <w:rFonts w:ascii="Times New Roman" w:cs="Times New Roman" w:eastAsia="Times New Roman" w:hAnsi="Times New Roman"/>
          <w:sz w:val="19"/>
          <w:szCs w:val="19"/>
          <w:color w:val="auto"/>
        </w:rPr>
        <w:t>. ALL TAX CONSEQUENCES UNDER ANY APPLICABLE LAW WHICH MAY ARISE FROM THE GRANT OF ANY AWARDS OR THE EXERCISE THEREOF, THE SALE OR DISPOSITION OF ANY SHARES GRANTED HEREUNDER</w:t>
      </w:r>
    </w:p>
    <w:p>
      <w:pPr>
        <w:spacing w:after="0" w:line="219" w:lineRule="auto"/>
        <w:rPr>
          <w:sz w:val="20"/>
          <w:szCs w:val="20"/>
          <w:color w:val="auto"/>
        </w:rPr>
      </w:pPr>
      <w:r>
        <w:rPr>
          <w:rFonts w:ascii="Times New Roman" w:cs="Times New Roman" w:eastAsia="Times New Roman" w:hAnsi="Times New Roman"/>
          <w:sz w:val="19"/>
          <w:szCs w:val="19"/>
          <w:color w:val="auto"/>
        </w:rPr>
        <w:t>OR ISSUED UPON EXERCISE OR (IF APPLICABLE) THE VESTING OF ANY AWARD, THE ASSUMPTION, SUBSTITUTION,</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CANCELLATION OR PAYMENT IN LIEU OF AWARDS OR FROM ANY OTHER ACTION IN CONNECTION WITH THE FOREGOING (INCLUDING WITHOUT LIMITATION ANY TAXES AND COMPULSORY PAYMENTS, SUCH AS SOCIAL SECURITY OR HEALTH</w:t>
      </w:r>
    </w:p>
    <w:p>
      <w:pPr>
        <w:spacing w:after="0" w:line="219" w:lineRule="auto"/>
        <w:rPr>
          <w:sz w:val="20"/>
          <w:szCs w:val="20"/>
          <w:color w:val="auto"/>
        </w:rPr>
      </w:pPr>
      <w:r>
        <w:rPr>
          <w:rFonts w:ascii="Times New Roman" w:cs="Times New Roman" w:eastAsia="Times New Roman" w:hAnsi="Times New Roman"/>
          <w:sz w:val="19"/>
          <w:szCs w:val="19"/>
          <w:color w:val="auto"/>
        </w:rPr>
        <w:t>TAX PAYABLE BY THE GRANTEE OR THE COMPANY IN CONNECTION THEREWITH) SHALL BE BORNE AND PAID SOLELY BY</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 GRANTEE, AND THE GRANTEE SHALL INDEMNIFY THE COMPANY, ITS SUBSIDIARIES AND AFFILIATES AND THE TRUSTEE, AND SHALL HOLD THEM HARMLESS AGAINST AND FROM ANY LIABILITY FOR ANY SUCH TAX OR PAYMENT OR</w:t>
      </w:r>
    </w:p>
    <w:p>
      <w:pPr>
        <w:spacing w:after="0" w:line="219" w:lineRule="auto"/>
        <w:rPr>
          <w:sz w:val="20"/>
          <w:szCs w:val="20"/>
          <w:color w:val="auto"/>
        </w:rPr>
      </w:pPr>
      <w:r>
        <w:rPr>
          <w:rFonts w:ascii="Times New Roman" w:cs="Times New Roman" w:eastAsia="Times New Roman" w:hAnsi="Times New Roman"/>
          <w:sz w:val="19"/>
          <w:szCs w:val="19"/>
          <w:color w:val="auto"/>
        </w:rPr>
        <w:t>ANY PENALTY, INTEREST OR INDEXATION THEREON. EACH GRANTEE AGREES TO, AND UNDERTAKES TO COMPLY WITH,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ANY RULING, SETTLEMENT, CLOSING AGREEMENT OR OTHER SIMILAR AGREEMENT OR ARRANGEMENT WITH ANY TAX AUTHORITY IN CONNECTION WITH THE FOREGOING WHICH IS APPROVED BY THE COMPANY.</w:t>
      </w:r>
    </w:p>
    <w:p>
      <w:pPr>
        <w:spacing w:after="0" w:line="26"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 xml:space="preserve">18.3. </w:t>
      </w:r>
      <w:r>
        <w:rPr>
          <w:rFonts w:ascii="Times New Roman" w:cs="Times New Roman" w:eastAsia="Times New Roman" w:hAnsi="Times New Roman"/>
          <w:sz w:val="19"/>
          <w:szCs w:val="19"/>
          <w:u w:val="single" w:color="auto"/>
          <w:color w:val="auto"/>
        </w:rPr>
        <w:t>NO TAX ADVICE</w:t>
      </w:r>
      <w:r>
        <w:rPr>
          <w:rFonts w:ascii="Times New Roman" w:cs="Times New Roman" w:eastAsia="Times New Roman" w:hAnsi="Times New Roman"/>
          <w:sz w:val="19"/>
          <w:szCs w:val="19"/>
          <w:color w:val="auto"/>
        </w:rPr>
        <w:t>. THE GRANTEE IS ADVISED TO CONSULT WITH A TAX ADVISOR WITH RESPECT TO THE TAX CONSEQUENCES OF RECEIVING, EXERCISING OR DISPOSING OF AWARDS HEREUNDER. THE COMPANY DOES NOT ASSUME</w:t>
      </w:r>
    </w:p>
    <w:p>
      <w:pPr>
        <w:spacing w:after="0" w:line="228" w:lineRule="auto"/>
        <w:rPr>
          <w:sz w:val="20"/>
          <w:szCs w:val="20"/>
          <w:color w:val="auto"/>
        </w:rPr>
      </w:pPr>
      <w:r>
        <w:rPr>
          <w:rFonts w:ascii="Times New Roman" w:cs="Times New Roman" w:eastAsia="Times New Roman" w:hAnsi="Times New Roman"/>
          <w:sz w:val="19"/>
          <w:szCs w:val="19"/>
          <w:color w:val="auto"/>
        </w:rPr>
        <w:t>ANY RESPONSIBILITY TO ADVISE THE GRANTEE ON SUCH MATTERS, WHICH SHALL REMAIN SOLELY THE RESPONSIBILITY OF THE GRANTEE.</w:t>
      </w:r>
    </w:p>
    <w:p>
      <w:pPr>
        <w:spacing w:after="0" w:line="26"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 xml:space="preserve">18.4. </w:t>
      </w:r>
      <w:r>
        <w:rPr>
          <w:rFonts w:ascii="Times New Roman" w:cs="Times New Roman" w:eastAsia="Times New Roman" w:hAnsi="Times New Roman"/>
          <w:sz w:val="19"/>
          <w:szCs w:val="19"/>
          <w:u w:val="single" w:color="auto"/>
          <w:color w:val="auto"/>
        </w:rPr>
        <w:t>TAX TREATMENT</w:t>
      </w:r>
      <w:r>
        <w:rPr>
          <w:rFonts w:ascii="Times New Roman" w:cs="Times New Roman" w:eastAsia="Times New Roman" w:hAnsi="Times New Roman"/>
          <w:sz w:val="19"/>
          <w:szCs w:val="19"/>
          <w:color w:val="auto"/>
        </w:rPr>
        <w:t>. THE COMPANY AND ITS AFFILIATES DO NOT UNDERTAKE OR ASSUME ANY LIABILITY OR RESPONSIBILITY TO THE EFFECT THAT ANY AWARD SHALL QUALIFY WITH ANY PARTICULAR TAX REGIME OR RULES</w:t>
      </w:r>
    </w:p>
    <w:p>
      <w:pPr>
        <w:spacing w:after="0" w:line="210" w:lineRule="auto"/>
        <w:rPr>
          <w:sz w:val="20"/>
          <w:szCs w:val="20"/>
          <w:color w:val="auto"/>
        </w:rPr>
      </w:pPr>
      <w:r>
        <w:rPr>
          <w:rFonts w:ascii="Times New Roman" w:cs="Times New Roman" w:eastAsia="Times New Roman" w:hAnsi="Times New Roman"/>
          <w:sz w:val="19"/>
          <w:szCs w:val="19"/>
          <w:color w:val="auto"/>
        </w:rPr>
        <w:t>APPLYING TO PARTICULAR TAX TREATMENT, OR BENEFIT FROM ANY PARTICULAR TAX TREATMENT OR TAX ADVANTAGE OF ANY TYPE AND THE COMPANY AND ITS AFFILIATES SHALL BEAR NO LIABILITY IN CONNECTION WITH THE MANNER</w:t>
      </w:r>
    </w:p>
    <w:p>
      <w:pPr>
        <w:spacing w:after="0" w:line="219" w:lineRule="auto"/>
        <w:rPr>
          <w:sz w:val="20"/>
          <w:szCs w:val="20"/>
          <w:color w:val="auto"/>
        </w:rPr>
      </w:pPr>
      <w:r>
        <w:rPr>
          <w:rFonts w:ascii="Times New Roman" w:cs="Times New Roman" w:eastAsia="Times New Roman" w:hAnsi="Times New Roman"/>
          <w:sz w:val="19"/>
          <w:szCs w:val="19"/>
          <w:color w:val="auto"/>
        </w:rPr>
        <w:t>IN WHICH ANY AWARD IS TREATED FOR TAX PURPOSES, REGARDLESS OF WHETHER THE AWARD WAS GRANTED OR WAS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INTENDED TO QUALIFY UNDER ANY PARTICULAR TAX REGIME OR TREATMENT. THIS PROVISION SHALL SUPERSEDE ANY TYPE OF AWARDS OR TAX QUALIFICATION INDICATED IN ANY CORPORATE RESOLUTION OR AWARD AGREEMENT, WHICH</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SHALL AT ALL TIMES BE SUBJECT TO THE REQUIREMENTS OF APPLICABLE LAW. THE COMPANY AND ITS AFFILIATES DO NOT UNDERTAKE AND SHALL NOT BE REQUIRED TO TAKE ANY ACTION IN ORDER TO QUALIFY ANY AWARD WITH THE</w:t>
      </w:r>
    </w:p>
    <w:p>
      <w:pPr>
        <w:spacing w:after="0" w:line="219" w:lineRule="auto"/>
        <w:rPr>
          <w:sz w:val="20"/>
          <w:szCs w:val="20"/>
          <w:color w:val="auto"/>
        </w:rPr>
      </w:pPr>
      <w:r>
        <w:rPr>
          <w:rFonts w:ascii="Times New Roman" w:cs="Times New Roman" w:eastAsia="Times New Roman" w:hAnsi="Times New Roman"/>
          <w:sz w:val="19"/>
          <w:szCs w:val="19"/>
          <w:color w:val="auto"/>
        </w:rPr>
        <w:t>REQUIREMENT OF ANY PARTICULAR TAX TREATMENT AND NO INDICATION IN ANY DOCUMENT TO THE EFFECT THAT</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ANY AWARD IS INTENDED TO QUALIFY FOR ANY TAX TREATMENT SHALL IMPLY SUCH AN UNDERTAKING. THE COMPANY AND ITS AFFILIATES DO NOT UNDERTAKE TO REPORT FOR TAX PURPOSES ANY AWARD IN ANY PARTICULAR</w:t>
      </w:r>
    </w:p>
    <w:p>
      <w:pPr>
        <w:spacing w:after="0" w:line="219" w:lineRule="auto"/>
        <w:rPr>
          <w:sz w:val="20"/>
          <w:szCs w:val="20"/>
          <w:color w:val="auto"/>
        </w:rPr>
      </w:pPr>
      <w:r>
        <w:rPr>
          <w:rFonts w:ascii="Times New Roman" w:cs="Times New Roman" w:eastAsia="Times New Roman" w:hAnsi="Times New Roman"/>
          <w:sz w:val="19"/>
          <w:szCs w:val="19"/>
          <w:color w:val="auto"/>
        </w:rPr>
        <w:t>MANNER, INCLUDING IN ANY MANNER CONSISTENT WITH ANY PARTICULAR TAX TREATMENT. NO ASSURANCE IS MADE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BY THE COMPANY OR ANY OF ITS AFFILIATES THAT ANY PARTICULAR TAX TREATMENT ON THE DATE OF GRANT WILL CONTINUE TO EXIST OR THAT THE AWARD WOULD QUALIFY AT THE TIME OF EXERCISE OR DISPOSITION THEREOF WITH</w:t>
      </w:r>
    </w:p>
    <w:p>
      <w:pPr>
        <w:spacing w:after="0" w:line="219" w:lineRule="auto"/>
        <w:rPr>
          <w:sz w:val="20"/>
          <w:szCs w:val="20"/>
          <w:color w:val="auto"/>
        </w:rPr>
      </w:pPr>
      <w:r>
        <w:rPr>
          <w:rFonts w:ascii="Times New Roman" w:cs="Times New Roman" w:eastAsia="Times New Roman" w:hAnsi="Times New Roman"/>
          <w:sz w:val="19"/>
          <w:szCs w:val="19"/>
          <w:color w:val="auto"/>
        </w:rPr>
        <w:t>ANY  PARTICULAR  TAX  TREATMENT.  THE  COMPANY  AND  ITS  AFFILIATES  SHALL  NOT  HAVE  ANY  LIABILITY  OR</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OBLIGATION OF ANY NATURE IN THE EVENT THAT AN AWARD DOES NOT QUALIFY FOR ANY PARTICULAR TAX TREATMENT, REGARDLESS WHETHER THE COMPANY COULD HAVE OR SHOULD HAVE TAKEN ANY ACTION TO CAUSE</w:t>
      </w:r>
    </w:p>
    <w:p>
      <w:pPr>
        <w:spacing w:after="0" w:line="219" w:lineRule="auto"/>
        <w:rPr>
          <w:sz w:val="20"/>
          <w:szCs w:val="20"/>
          <w:color w:val="auto"/>
        </w:rPr>
      </w:pPr>
      <w:r>
        <w:rPr>
          <w:rFonts w:ascii="Times New Roman" w:cs="Times New Roman" w:eastAsia="Times New Roman" w:hAnsi="Times New Roman"/>
          <w:sz w:val="19"/>
          <w:szCs w:val="19"/>
          <w:color w:val="auto"/>
        </w:rPr>
        <w:t>SUCH QUALIFICATION TO BE MET AND SUCH QUALIFICATION REMAINS AT ALL TIMES AND UNDER ALL CIRCUMSTANCES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AT THE RISK OF THE GRANTEE. THE COMPANY DOES NOT UNDERTAKE OR ASSUME ANY LIABILITY TO CONTEST A DETERMINATION OR INTERPRETATION (WHETHER WRITTEN OR UNWRITTEN) OF ANY TAX AUTHORITIES, INCLUDING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RESPECT OF THE QUALIFICATION UNDER ANY PARTICULAR TAX REGIME OR RULES APPLYING TO PARTICULAR TAX</w:t>
      </w:r>
    </w:p>
    <w:p>
      <w:pPr>
        <w:sectPr>
          <w:pgSz w:w="11900" w:h="16838" w:orient="portrait"/>
          <w:cols w:equalWidth="0" w:num="1">
            <w:col w:w="11240"/>
          </w:cols>
          <w:pgMar w:left="320" w:top="1242" w:right="339" w:bottom="1440" w:gutter="0" w:footer="0" w:header="0"/>
        </w:sectPr>
      </w:pPr>
    </w:p>
    <w:bookmarkStart w:id="190" w:name="page191"/>
    <w:bookmarkEnd w:id="190"/>
    <w:p>
      <w:pPr>
        <w:spacing w:after="0" w:line="255" w:lineRule="auto"/>
        <w:rPr>
          <w:sz w:val="20"/>
          <w:szCs w:val="20"/>
          <w:color w:val="auto"/>
        </w:rPr>
      </w:pPr>
      <w:r>
        <w:rPr>
          <w:rFonts w:ascii="Times New Roman" w:cs="Times New Roman" w:eastAsia="Times New Roman" w:hAnsi="Times New Roman"/>
          <w:sz w:val="19"/>
          <w:szCs w:val="19"/>
          <w:color w:val="auto"/>
        </w:rPr>
        <w:t>TREATMENT. IF THE AWARDS DO NOT QUALIFY UNDER ANY PARTICULAR TAX TREATMENT IT COULD RESULT IN ADVERSE TAX CONSEQUENCES TO THE GRANTEE.</w:t>
      </w:r>
    </w:p>
    <w:p>
      <w:pPr>
        <w:spacing w:after="0" w:line="12"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18.5. The Company or any Subsidiary or Affiliate may take such action as it may deem necessary or appropriate, in its discretion, for the purpose of or in connection with withholding of any taxes and compulsory payments which the Trustee, the Company or any Subsidiary or</w:t>
      </w:r>
    </w:p>
    <w:p>
      <w:pPr>
        <w:spacing w:after="0" w:line="210" w:lineRule="auto"/>
        <w:rPr>
          <w:sz w:val="20"/>
          <w:szCs w:val="20"/>
          <w:color w:val="auto"/>
        </w:rPr>
      </w:pPr>
      <w:r>
        <w:rPr>
          <w:rFonts w:ascii="Times New Roman" w:cs="Times New Roman" w:eastAsia="Times New Roman" w:hAnsi="Times New Roman"/>
          <w:sz w:val="19"/>
          <w:szCs w:val="19"/>
          <w:color w:val="auto"/>
        </w:rPr>
        <w:t>Affiliate (or any applicable agent thereof) is required by any Applicable Law to withhold in connection with any Awards (collectively, “</w:t>
      </w:r>
      <w:r>
        <w:rPr>
          <w:rFonts w:ascii="Times New Roman" w:cs="Times New Roman" w:eastAsia="Times New Roman" w:hAnsi="Times New Roman"/>
          <w:sz w:val="19"/>
          <w:szCs w:val="19"/>
          <w:b w:val="1"/>
          <w:bCs w:val="1"/>
          <w:color w:val="auto"/>
        </w:rPr>
        <w:t>Withholding Obligations</w:t>
      </w:r>
      <w:r>
        <w:rPr>
          <w:rFonts w:ascii="Times New Roman" w:cs="Times New Roman" w:eastAsia="Times New Roman" w:hAnsi="Times New Roman"/>
          <w:sz w:val="19"/>
          <w:szCs w:val="19"/>
          <w:color w:val="auto"/>
        </w:rPr>
        <w:t>”). Such actions may include (i) requiring a Grantees to remit to the Company in cash an amount sufficient to satisfy</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such Withholding Obligations and any other taxes and compulsory payments, payable by the Company in connection with the Award or the exercise or (if applicable) the vesting thereof; (ii) subject to Applicable Law, allowing the Grantees to provide Shares to the Company, in an</w:t>
      </w:r>
    </w:p>
    <w:p>
      <w:pPr>
        <w:spacing w:after="0" w:line="219" w:lineRule="auto"/>
        <w:rPr>
          <w:sz w:val="20"/>
          <w:szCs w:val="20"/>
          <w:color w:val="auto"/>
        </w:rPr>
      </w:pPr>
      <w:r>
        <w:rPr>
          <w:rFonts w:ascii="Times New Roman" w:cs="Times New Roman" w:eastAsia="Times New Roman" w:hAnsi="Times New Roman"/>
          <w:sz w:val="19"/>
          <w:szCs w:val="19"/>
          <w:color w:val="auto"/>
        </w:rPr>
        <w:t>amount that at such time, reflects a value that the Committee determines to be sufficient to satisfy such Withholding Obligations; (iii)</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withholding Shares otherwise issuable upon the exercise of an Award at a value which is determined by the Committee to be sufficient to satisfy such Withholding Obligations; or (iv) any combination of the foregoing. The Company shall not be obligated to allow the exercise of any Award</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by or on behalf of a Grantee until all tax consequences arising from the exercise of such Award are resolved in a manner acceptable to the Company.</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18.6. Each Grantee shall notify the Company in writing promptly and in any event within ten (10) days after the date on which such Grantee first obtains knowledge of any tax authority inquiry, audit, assertion, determination, investigation, or question relating in any manner to</w:t>
      </w:r>
    </w:p>
    <w:p>
      <w:pPr>
        <w:spacing w:after="0" w:line="219" w:lineRule="auto"/>
        <w:rPr>
          <w:sz w:val="20"/>
          <w:szCs w:val="20"/>
          <w:color w:val="auto"/>
        </w:rPr>
      </w:pPr>
      <w:r>
        <w:rPr>
          <w:rFonts w:ascii="Times New Roman" w:cs="Times New Roman" w:eastAsia="Times New Roman" w:hAnsi="Times New Roman"/>
          <w:sz w:val="19"/>
          <w:szCs w:val="19"/>
          <w:color w:val="auto"/>
        </w:rPr>
        <w:t>the Awards granted or received hereunder or Shares issued thereunder and shall continuously inform the Company of any developments,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proceedings, discussions and negotiations relating to such matter, and shall allow the Company and its representatives to participate in any proceedings and discussions concerning such matters. Upon request, a Grantee shall provide to the Company any information or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relating to any matter described in the preceding sentence, which the Company, in its discretion, requires.</w:t>
      </w:r>
    </w:p>
    <w:p>
      <w:pPr>
        <w:spacing w:after="0" w:line="37"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9"/>
          <w:szCs w:val="19"/>
          <w:color w:val="auto"/>
        </w:rPr>
        <w:t>18.7.</w:t>
        <w:tab/>
        <w:t>With respect to 102 Non-Trustee Options, if the Grantee ceases to be employed by the Company or any Affiliate, the Grantee shall</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extend to the Company and/or its Affiliate with whom the Grantee is employed a security or guarantee for the payment of taxes due at the time of sale of Shares, all in accordance with the provisions of Section 102 of the Ordinance and the Rules.</w:t>
      </w:r>
    </w:p>
    <w:p>
      <w:pPr>
        <w:spacing w:after="0" w:line="26"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18.8. If a Grantee makes an election under Section 83(b) of the Code to be taxed with respect to an Award as of the date of transfer of Shares rather than as of the date or dates upon which the Grantee would otherwise be taxable under Section 83(a) of the Code, such Grantee</w:t>
      </w:r>
    </w:p>
    <w:p>
      <w:pPr>
        <w:spacing w:after="0" w:line="210" w:lineRule="auto"/>
        <w:rPr>
          <w:sz w:val="20"/>
          <w:szCs w:val="20"/>
          <w:color w:val="auto"/>
        </w:rPr>
      </w:pPr>
      <w:r>
        <w:rPr>
          <w:rFonts w:ascii="Times New Roman" w:cs="Times New Roman" w:eastAsia="Times New Roman" w:hAnsi="Times New Roman"/>
          <w:sz w:val="19"/>
          <w:szCs w:val="19"/>
          <w:color w:val="auto"/>
        </w:rPr>
        <w:t>shall deliver a copy of such election to the Company upon or prior to the filing such election with the U.S. Internal Revenue Service. Neither the Company nor any Affiliate shall have any liability or responsibility relating to or arising out of the filing or not filing of any such election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defects in its construction.</w:t>
      </w:r>
    </w:p>
    <w:p>
      <w:pPr>
        <w:spacing w:after="0" w:line="33" w:lineRule="exact"/>
        <w:rPr>
          <w:sz w:val="20"/>
          <w:szCs w:val="20"/>
          <w:color w:val="auto"/>
        </w:rPr>
      </w:pPr>
    </w:p>
    <w:p>
      <w:pPr>
        <w:ind w:left="440" w:hanging="434"/>
        <w:spacing w:after="0"/>
        <w:tabs>
          <w:tab w:leader="none" w:pos="44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RIGHTS AS A STOCKHOLDER; VOTING AND DIVIDENDS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19.1. Subject to Section 11.4, a Grantee shall have no rights as a stockholder of the Company with respect to any Shares covered by an Award until the Grantee shall have exercised the Award, paid the Exercise Price therefor and becomes the record holder of the subject Shares. In</w:t>
      </w:r>
    </w:p>
    <w:p>
      <w:pPr>
        <w:spacing w:after="0" w:line="210" w:lineRule="auto"/>
        <w:rPr>
          <w:sz w:val="20"/>
          <w:szCs w:val="20"/>
          <w:color w:val="auto"/>
        </w:rPr>
      </w:pPr>
      <w:r>
        <w:rPr>
          <w:rFonts w:ascii="Times New Roman" w:cs="Times New Roman" w:eastAsia="Times New Roman" w:hAnsi="Times New Roman"/>
          <w:sz w:val="19"/>
          <w:szCs w:val="19"/>
          <w:color w:val="auto"/>
        </w:rPr>
        <w:t>the case of 102 Awards, the Trustee shall have no rights as a stockholder of the Company with respect to the Shares covered by such Award until the Trustee becomes the record holder for such Shares for the Grantee’s benefit, and the Grantee shall not be deemed to be a stockholder and</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shall have no rights as a stockholder of the Company with respect to the Shares covered by the Award until the date of the release of such Shares from the Trustee to the Grantee and the transfer of record ownership of such Shares to the Grantee (provided, however, that the Grantee shall be</w:t>
      </w:r>
    </w:p>
    <w:p>
      <w:pPr>
        <w:spacing w:after="0" w:line="219" w:lineRule="auto"/>
        <w:rPr>
          <w:sz w:val="20"/>
          <w:szCs w:val="20"/>
          <w:color w:val="auto"/>
        </w:rPr>
      </w:pPr>
      <w:r>
        <w:rPr>
          <w:rFonts w:ascii="Times New Roman" w:cs="Times New Roman" w:eastAsia="Times New Roman" w:hAnsi="Times New Roman"/>
          <w:sz w:val="19"/>
          <w:szCs w:val="19"/>
          <w:color w:val="auto"/>
        </w:rPr>
        <w:t>entitled to receive from the Trustee any cash dividend or distribution made on account of the Shares held by the Trustee for such Grantee’s</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benefit, subject to any tax withholding and compulsory payment). No adjustment shall be made for dividends (ordinary or extraordinary, whether in shares or other securities, cash or other property, or rights, or any combination thereof) or distribution of other rights for which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record date is prior to the date on which the Grantee or Trustee (as applicable) becomes the record holder of the Shares covered by an Award, except as provided in Section 14 hereof.</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19.2. With respect to all Awards issued in the form of Shares hereunder or upon the exercise or (if applicable) the vesting of Awards hereunder, any and all voting rights attached to such Shares shall be subject to Section 6.10, and the Grantee shall be entitled to receive</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dividends distributed with respect to such Shares, subject to the provisions of the Company’s Certificate of Incorporation and Bylaws, as amended from time to time, and subject to any Applicable Law.</w:t>
      </w:r>
    </w:p>
    <w:p>
      <w:pPr>
        <w:spacing w:after="0" w:line="27" w:lineRule="exact"/>
        <w:rPr>
          <w:sz w:val="20"/>
          <w:szCs w:val="20"/>
          <w:color w:val="auto"/>
        </w:rPr>
      </w:pPr>
    </w:p>
    <w:p>
      <w:pPr>
        <w:ind w:firstLine="500"/>
        <w:spacing w:after="0" w:line="241" w:lineRule="auto"/>
        <w:rPr>
          <w:sz w:val="20"/>
          <w:szCs w:val="20"/>
          <w:color w:val="auto"/>
        </w:rPr>
      </w:pPr>
      <w:r>
        <w:rPr>
          <w:rFonts w:ascii="Times New Roman" w:cs="Times New Roman" w:eastAsia="Times New Roman" w:hAnsi="Times New Roman"/>
          <w:sz w:val="19"/>
          <w:szCs w:val="19"/>
          <w:color w:val="auto"/>
        </w:rPr>
        <w:t>19.3. The Company may, but shall not be obligated to, register or qualify the sale of Shares under any applicable securities law or any other Applicable Law.</w:t>
      </w:r>
    </w:p>
    <w:p>
      <w:pPr>
        <w:spacing w:after="0" w:line="34" w:lineRule="exact"/>
        <w:rPr>
          <w:sz w:val="20"/>
          <w:szCs w:val="20"/>
          <w:color w:val="auto"/>
        </w:rPr>
      </w:pPr>
    </w:p>
    <w:p>
      <w:pPr>
        <w:ind w:left="440" w:hanging="434"/>
        <w:spacing w:after="0"/>
        <w:tabs>
          <w:tab w:leader="none" w:pos="44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REPRESENTATION BY COMPANY</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By granting the Awards, the Company is not, and shall not be deemed as, making any representation or warranties to the Grantee regarding the Company, its business affairs, its prospects or the future value of its Shares and such representations and warranties are hereby disclaimed.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shall not be required to provide to any Grantee any information, documents or material in connection with the Grantee’s considering</w:t>
      </w:r>
    </w:p>
    <w:p>
      <w:pPr>
        <w:sectPr>
          <w:pgSz w:w="11900" w:h="16838" w:orient="portrait"/>
          <w:cols w:equalWidth="0" w:num="1">
            <w:col w:w="11240"/>
          </w:cols>
          <w:pgMar w:left="320" w:top="1242" w:right="339" w:bottom="1440" w:gutter="0" w:footer="0" w:header="0"/>
        </w:sectPr>
      </w:pPr>
    </w:p>
    <w:bookmarkStart w:id="191" w:name="page192"/>
    <w:bookmarkEnd w:id="191"/>
    <w:p>
      <w:pPr>
        <w:spacing w:after="0" w:line="255" w:lineRule="auto"/>
        <w:rPr>
          <w:sz w:val="20"/>
          <w:szCs w:val="20"/>
          <w:color w:val="auto"/>
        </w:rPr>
      </w:pPr>
      <w:r>
        <w:rPr>
          <w:rFonts w:ascii="Times New Roman" w:cs="Times New Roman" w:eastAsia="Times New Roman" w:hAnsi="Times New Roman"/>
          <w:sz w:val="19"/>
          <w:szCs w:val="19"/>
          <w:color w:val="auto"/>
        </w:rPr>
        <w:t>an exercise of an Award. To the extent that any information, documents or materials are provided, the Company shall have no liability with respect thereto. Any decision by a Grantee to exercise an Award shall solely be at the risk of the Grantee.</w:t>
      </w:r>
    </w:p>
    <w:p>
      <w:pPr>
        <w:spacing w:after="0" w:line="61" w:lineRule="exact"/>
        <w:rPr>
          <w:sz w:val="20"/>
          <w:szCs w:val="20"/>
          <w:color w:val="auto"/>
        </w:rPr>
      </w:pPr>
    </w:p>
    <w:p>
      <w:pPr>
        <w:ind w:left="440" w:hanging="434"/>
        <w:spacing w:after="0"/>
        <w:tabs>
          <w:tab w:leader="none" w:pos="44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RETENTION RIGHTS</w:t>
      </w:r>
      <w:r>
        <w:rPr>
          <w:rFonts w:ascii="Times New Roman" w:cs="Times New Roman" w:eastAsia="Times New Roman" w:hAnsi="Times New Roman"/>
          <w:sz w:val="19"/>
          <w:szCs w:val="19"/>
          <w:color w:val="auto"/>
        </w:rPr>
        <w:t>.</w:t>
      </w:r>
    </w:p>
    <w:p>
      <w:pPr>
        <w:spacing w:after="0" w:line="7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Nothing in this Plan, any Award Agreement or in any Award granted or agreement entered into pursuant hereto shall confer upon any Grantee the right to continue in the employ of, or be in the service of the Company or any Subsidiary or Affiliate thereof as a Service Provider or to be</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entitled to any remuneration or benefits not set forth in this Plan or such agreement, or to interfere with or limit in any way the right of the Company or any such Subsidiary or Affiliate to terminate such Grantee’s employment or service (including, any right of the Company or any of</w:t>
      </w:r>
    </w:p>
    <w:p>
      <w:pPr>
        <w:spacing w:after="0" w:line="219" w:lineRule="auto"/>
        <w:rPr>
          <w:sz w:val="20"/>
          <w:szCs w:val="20"/>
          <w:color w:val="auto"/>
        </w:rPr>
      </w:pPr>
      <w:r>
        <w:rPr>
          <w:rFonts w:ascii="Times New Roman" w:cs="Times New Roman" w:eastAsia="Times New Roman" w:hAnsi="Times New Roman"/>
          <w:sz w:val="19"/>
          <w:szCs w:val="19"/>
          <w:color w:val="auto"/>
        </w:rPr>
        <w:t>its Affiliates to immediately cease the Grantee’s employment or service or to shorten all or part of the notice period, regardless of whether notice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of termination was given by the Company or its Affiliates or by the Grantee). Awards granted under this Plan shall not be affected by any change in duties or position of a Grantee, subject to Sections 6.6 through 6.8. No Grantee shall be entitled to claim and the Grantee hereby</w:t>
      </w:r>
    </w:p>
    <w:p>
      <w:pPr>
        <w:spacing w:after="0" w:line="219" w:lineRule="auto"/>
        <w:rPr>
          <w:sz w:val="20"/>
          <w:szCs w:val="20"/>
          <w:color w:val="auto"/>
        </w:rPr>
      </w:pPr>
      <w:r>
        <w:rPr>
          <w:rFonts w:ascii="Times New Roman" w:cs="Times New Roman" w:eastAsia="Times New Roman" w:hAnsi="Times New Roman"/>
          <w:sz w:val="19"/>
          <w:szCs w:val="19"/>
          <w:color w:val="auto"/>
        </w:rPr>
        <w:t>waives any claim against the Company or any Subsidiary or Affiliate that he or she was prevented from continuing to vest Awards as of the date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of termination of his or her employment with, or services to, the Company or any Subsidiary or Affiliate. No Grantee shall be entitled to any compensation in respect of the Awards which would have vested had such Grantee’s employment or engagement with the Company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Subsidiary or Affiliate) not been terminated.</w:t>
      </w:r>
    </w:p>
    <w:p>
      <w:pPr>
        <w:spacing w:after="0" w:line="33" w:lineRule="exact"/>
        <w:rPr>
          <w:sz w:val="20"/>
          <w:szCs w:val="20"/>
          <w:color w:val="auto"/>
        </w:rPr>
      </w:pPr>
    </w:p>
    <w:p>
      <w:pPr>
        <w:ind w:left="440" w:hanging="434"/>
        <w:spacing w:after="0"/>
        <w:tabs>
          <w:tab w:leader="none" w:pos="44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PERIOD DURING WHICH AWARDS MAY BE GRANTED.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Awards may be granted pursuant to this Plan from time to time within a period of ten (10) years from the Effective Date, which period may be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extended from time to time by the Board. From and after such date (as extended) no grants of Awards may be made and this Plan shall continue to be in full force and effect with respect to Awards or Shares issued thereunder that remain outstanding.</w:t>
      </w:r>
    </w:p>
    <w:p>
      <w:pPr>
        <w:spacing w:after="0" w:line="35" w:lineRule="exact"/>
        <w:rPr>
          <w:sz w:val="20"/>
          <w:szCs w:val="20"/>
          <w:color w:val="auto"/>
        </w:rPr>
      </w:pPr>
    </w:p>
    <w:p>
      <w:pPr>
        <w:ind w:left="440" w:hanging="434"/>
        <w:spacing w:after="0"/>
        <w:tabs>
          <w:tab w:leader="none" w:pos="44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AMENDMENT OF THIS PLAN AND AWARDS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23.1. The Board at any time and from time to time may suspend, terminate, modify or amend this Plan, whether retroactively or prospectively. Any amendment effected in accordance with this Section shall be binding upon all Grantees and all Awards, whether granted</w:t>
      </w:r>
    </w:p>
    <w:p>
      <w:pPr>
        <w:spacing w:after="0" w:line="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prior to or after the date of such amendment, and without the need to obtain the consent of any Grantee. No termination or amendment of this Plan shall affect any then outstanding Award unless expressly provided by the Board.</w:t>
      </w:r>
    </w:p>
    <w:p>
      <w:pPr>
        <w:spacing w:after="0" w:line="27"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23.2. Subject to changes in Applicable Law that would permit otherwise, without the approval of the Company’s stockholders, there shall be (i) no increase in the maximum aggregate number of Shares that may be issued under this Plan as Incentive Stock Options (except by</w:t>
      </w:r>
    </w:p>
    <w:p>
      <w:pPr>
        <w:spacing w:after="0" w:line="219" w:lineRule="auto"/>
        <w:rPr>
          <w:sz w:val="20"/>
          <w:szCs w:val="20"/>
          <w:color w:val="auto"/>
        </w:rPr>
      </w:pPr>
      <w:r>
        <w:rPr>
          <w:rFonts w:ascii="Times New Roman" w:cs="Times New Roman" w:eastAsia="Times New Roman" w:hAnsi="Times New Roman"/>
          <w:sz w:val="19"/>
          <w:szCs w:val="19"/>
          <w:color w:val="auto"/>
        </w:rPr>
        <w:t>operation of the provisions of Section 14.1), (ii) no change in the class of persons eligible to receive Incentive Stock Options, and (iii) no other</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amendment of this Plan that would require approval of the Company’s stockholders under any Applicable Law. Unless not permitted by Applicable Law, if the grant of an Award is subject to approval by stockholders, the date of grant of the Award shall be determined as if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Award had not been subject to such approval. Failure to obtain approval by the stockholders shall not in any way derogate from the valid and binding effect of any grant of an Award that is not an Incentive Stock Option.</w:t>
      </w:r>
    </w:p>
    <w:p>
      <w:pPr>
        <w:spacing w:after="0" w:line="27" w:lineRule="exact"/>
        <w:rPr>
          <w:sz w:val="20"/>
          <w:szCs w:val="20"/>
          <w:color w:val="auto"/>
        </w:rPr>
      </w:pPr>
    </w:p>
    <w:p>
      <w:pPr>
        <w:ind w:right="20" w:firstLine="500"/>
        <w:spacing w:after="0" w:line="241" w:lineRule="auto"/>
        <w:rPr>
          <w:sz w:val="20"/>
          <w:szCs w:val="20"/>
          <w:color w:val="auto"/>
        </w:rPr>
      </w:pPr>
      <w:r>
        <w:rPr>
          <w:rFonts w:ascii="Times New Roman" w:cs="Times New Roman" w:eastAsia="Times New Roman" w:hAnsi="Times New Roman"/>
          <w:sz w:val="19"/>
          <w:szCs w:val="19"/>
          <w:color w:val="auto"/>
        </w:rPr>
        <w:t>23.3. The Board or the Committee at any time and from time to time may modify or amend any Award theretofore granted, including any Award Agreement, whether retroactively or prospectively.</w:t>
      </w:r>
    </w:p>
    <w:p>
      <w:pPr>
        <w:spacing w:after="0" w:line="20" w:lineRule="exact"/>
        <w:rPr>
          <w:sz w:val="20"/>
          <w:szCs w:val="20"/>
          <w:color w:val="auto"/>
        </w:rPr>
      </w:pPr>
    </w:p>
    <w:p>
      <w:pPr>
        <w:ind w:left="440" w:hanging="434"/>
        <w:spacing w:after="0"/>
        <w:tabs>
          <w:tab w:leader="none" w:pos="44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APPROVAL</w:t>
      </w:r>
      <w:r>
        <w:rPr>
          <w:rFonts w:ascii="Times New Roman" w:cs="Times New Roman" w:eastAsia="Times New Roman" w:hAnsi="Times New Roman"/>
          <w:sz w:val="19"/>
          <w:szCs w:val="19"/>
          <w:color w:val="auto"/>
        </w:rPr>
        <w:t>.</w:t>
      </w:r>
    </w:p>
    <w:p>
      <w:pPr>
        <w:spacing w:after="0" w:line="59"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9"/>
          <w:szCs w:val="19"/>
          <w:color w:val="auto"/>
        </w:rPr>
        <w:t>24.1.</w:t>
        <w:tab/>
        <w:t>This Plan shall take effect upon its adoption by the Board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ind w:firstLine="500"/>
        <w:spacing w:after="0" w:line="230" w:lineRule="auto"/>
        <w:rPr>
          <w:sz w:val="20"/>
          <w:szCs w:val="20"/>
          <w:color w:val="auto"/>
        </w:rPr>
      </w:pPr>
      <w:r>
        <w:rPr>
          <w:rFonts w:ascii="Times New Roman" w:cs="Times New Roman" w:eastAsia="Times New Roman" w:hAnsi="Times New Roman"/>
          <w:sz w:val="19"/>
          <w:szCs w:val="19"/>
          <w:color w:val="auto"/>
        </w:rPr>
        <w:t>24.2. Solely with respect to grants of Incentive Stock Options, this Plan shall also be subject to stockholders’ approval, within one year of the Effective Date, by a majority of the votes cast on the proposal at a meeting or a written consent of stockholders (however, if the grant of</w:t>
      </w:r>
    </w:p>
    <w:p>
      <w:pPr>
        <w:spacing w:after="0" w:line="210" w:lineRule="auto"/>
        <w:rPr>
          <w:sz w:val="20"/>
          <w:szCs w:val="20"/>
          <w:color w:val="auto"/>
        </w:rPr>
      </w:pPr>
      <w:r>
        <w:rPr>
          <w:rFonts w:ascii="Times New Roman" w:cs="Times New Roman" w:eastAsia="Times New Roman" w:hAnsi="Times New Roman"/>
          <w:sz w:val="19"/>
          <w:szCs w:val="19"/>
          <w:color w:val="auto"/>
        </w:rPr>
        <w:t>an Award is subject to approval by stockholders, the date of grant of the Award shall be determined as if the Award had not been subject to such approval). Failure to obtain such approval by the stockholders within such period shall not in any way derogate from the valid and binding effect</w:t>
      </w:r>
    </w:p>
    <w:p>
      <w:pPr>
        <w:spacing w:after="0" w:line="219" w:lineRule="auto"/>
        <w:rPr>
          <w:sz w:val="20"/>
          <w:szCs w:val="20"/>
          <w:color w:val="auto"/>
        </w:rPr>
      </w:pPr>
      <w:r>
        <w:rPr>
          <w:rFonts w:ascii="Times New Roman" w:cs="Times New Roman" w:eastAsia="Times New Roman" w:hAnsi="Times New Roman"/>
          <w:sz w:val="19"/>
          <w:szCs w:val="19"/>
          <w:color w:val="auto"/>
        </w:rPr>
        <w:t>of any grant of an Award, except that any Options previously granted under this Plan may not qualify as Incentive Stock Options but, rather,</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shall constitute Nonqualified Stock Options. Upon approval of this Plan by the stockholders of the Company as set forth above, all Incentive Stock Options granted under this Plan on or after the Effective Date shall be fully effective as if the stockholders of the Company had approved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Plan on the Effective Date.</w:t>
      </w:r>
    </w:p>
    <w:p>
      <w:pPr>
        <w:spacing w:after="0" w:line="37"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9"/>
          <w:szCs w:val="19"/>
          <w:color w:val="auto"/>
        </w:rPr>
        <w:t>24.3. 102 Awards are conditional upon the filing with or approval by the ITA, if required, as set forth in Section 9. Failure to so file or obtain such approval shall not in any way derogate from the valid and binding effect of any grant of an Award, which is not a 102 Award.</w:t>
      </w:r>
    </w:p>
    <w:p>
      <w:pPr>
        <w:spacing w:after="0" w:line="8" w:lineRule="exact"/>
        <w:rPr>
          <w:sz w:val="20"/>
          <w:szCs w:val="20"/>
          <w:color w:val="auto"/>
        </w:rPr>
      </w:pPr>
    </w:p>
    <w:p>
      <w:pPr>
        <w:ind w:left="440" w:hanging="434"/>
        <w:spacing w:after="0"/>
        <w:tabs>
          <w:tab w:leader="none" w:pos="4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RULES PARTICULAR TO SPECIFIC COUNTRIES; SECTION 409A</w:t>
      </w:r>
      <w:r>
        <w:rPr>
          <w:rFonts w:ascii="Times New Roman" w:cs="Times New Roman" w:eastAsia="Times New Roman" w:hAnsi="Times New Roman"/>
          <w:sz w:val="19"/>
          <w:szCs w:val="19"/>
          <w:u w:val="single" w:color="auto"/>
          <w:color w:val="auto"/>
        </w:rPr>
        <w:t>.</w:t>
      </w:r>
    </w:p>
    <w:p>
      <w:pPr>
        <w:spacing w:after="0" w:line="63" w:lineRule="exact"/>
        <w:rPr>
          <w:sz w:val="20"/>
          <w:szCs w:val="20"/>
          <w:color w:val="auto"/>
        </w:rPr>
      </w:pPr>
    </w:p>
    <w:p>
      <w:pPr>
        <w:ind w:firstLine="500"/>
        <w:spacing w:after="0" w:line="222" w:lineRule="auto"/>
        <w:rPr>
          <w:sz w:val="20"/>
          <w:szCs w:val="20"/>
          <w:color w:val="auto"/>
        </w:rPr>
      </w:pPr>
      <w:r>
        <w:rPr>
          <w:rFonts w:ascii="Times New Roman" w:cs="Times New Roman" w:eastAsia="Times New Roman" w:hAnsi="Times New Roman"/>
          <w:sz w:val="19"/>
          <w:szCs w:val="19"/>
          <w:color w:val="auto"/>
        </w:rPr>
        <w:t>25.1. Notwithstanding anything herein to the contrary, the terms and conditions of this Plan may be supplemented or amended with respect to a particular country or tax regime by means of an appendix to this Plan, and to the extent that the terms and conditions set forth in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appendix conflict with any</w:t>
      </w:r>
    </w:p>
    <w:p>
      <w:pPr>
        <w:sectPr>
          <w:pgSz w:w="11900" w:h="16838" w:orient="portrait"/>
          <w:cols w:equalWidth="0" w:num="1">
            <w:col w:w="11240"/>
          </w:cols>
          <w:pgMar w:left="320" w:top="1242" w:right="339" w:bottom="1440" w:gutter="0" w:footer="0" w:header="0"/>
        </w:sectPr>
      </w:pPr>
    </w:p>
    <w:bookmarkStart w:id="192" w:name="page193"/>
    <w:bookmarkEnd w:id="192"/>
    <w:p>
      <w:pPr>
        <w:spacing w:after="0" w:line="230" w:lineRule="auto"/>
        <w:rPr>
          <w:sz w:val="20"/>
          <w:szCs w:val="20"/>
          <w:color w:val="auto"/>
        </w:rPr>
      </w:pPr>
      <w:r>
        <w:rPr>
          <w:rFonts w:ascii="Times New Roman" w:cs="Times New Roman" w:eastAsia="Times New Roman" w:hAnsi="Times New Roman"/>
          <w:sz w:val="19"/>
          <w:szCs w:val="19"/>
          <w:color w:val="auto"/>
        </w:rPr>
        <w:t>provisions of this Plan, the provisions of such appendix shall govern. Terms and conditions set forth in such appendix shall apply only to Awards granted to Grantees under the jurisdiction of the specific country or such other tax regime that is the subject of such appendix and shall</w:t>
      </w:r>
    </w:p>
    <w:p>
      <w:pPr>
        <w:spacing w:after="0" w:line="210" w:lineRule="auto"/>
        <w:rPr>
          <w:sz w:val="20"/>
          <w:szCs w:val="20"/>
          <w:color w:val="auto"/>
        </w:rPr>
      </w:pPr>
      <w:r>
        <w:rPr>
          <w:rFonts w:ascii="Times New Roman" w:cs="Times New Roman" w:eastAsia="Times New Roman" w:hAnsi="Times New Roman"/>
          <w:sz w:val="19"/>
          <w:szCs w:val="19"/>
          <w:color w:val="auto"/>
        </w:rPr>
        <w:t>not apply to Awards issued to a Grantee not under the jurisdiction of such country or such other tax regime. The adoption of any such appendix shall be subject to the approval of the Board or the Committee, and if determined by the Committee to be required in connection with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application of certain tax treatment, pursuant to applicable stock exchange rules or regulations or otherwise, then also the approval of the stockholders of the Company at the required majority.</w:t>
      </w:r>
    </w:p>
    <w:p>
      <w:pPr>
        <w:spacing w:after="0" w:line="27"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9"/>
          <w:szCs w:val="19"/>
          <w:color w:val="auto"/>
        </w:rPr>
        <w:t>25.2.</w:t>
        <w:tab/>
        <w:t>This Section 25.2 shall only apply to Awards granted to Grantees who are subject to United States Federal income tax.</w:t>
      </w:r>
    </w:p>
    <w:p>
      <w:pPr>
        <w:spacing w:after="0" w:line="59" w:lineRule="exact"/>
        <w:rPr>
          <w:sz w:val="20"/>
          <w:szCs w:val="20"/>
          <w:color w:val="auto"/>
        </w:rPr>
      </w:pPr>
    </w:p>
    <w:p>
      <w:pPr>
        <w:ind w:left="1280"/>
        <w:spacing w:after="0"/>
        <w:tabs>
          <w:tab w:leader="none" w:pos="1960" w:val="left"/>
        </w:tabs>
        <w:rPr>
          <w:sz w:val="20"/>
          <w:szCs w:val="20"/>
          <w:color w:val="auto"/>
        </w:rPr>
      </w:pPr>
      <w:r>
        <w:rPr>
          <w:rFonts w:ascii="Times New Roman" w:cs="Times New Roman" w:eastAsia="Times New Roman" w:hAnsi="Times New Roman"/>
          <w:sz w:val="19"/>
          <w:szCs w:val="19"/>
          <w:color w:val="auto"/>
        </w:rPr>
        <w:t>25.2.1</w:t>
        <w:tab/>
        <w:t>It is the intention of the Company that no Award shall be deferred compensation subject to Section 409A of the Code</w:t>
      </w:r>
    </w:p>
    <w:p>
      <w:pPr>
        <w:spacing w:after="0" w:line="2" w:lineRule="exact"/>
        <w:rPr>
          <w:sz w:val="20"/>
          <w:szCs w:val="20"/>
          <w:color w:val="auto"/>
        </w:rPr>
      </w:pPr>
    </w:p>
    <w:p>
      <w:pPr>
        <w:ind w:left="480"/>
        <w:spacing w:after="0" w:line="228" w:lineRule="auto"/>
        <w:rPr>
          <w:sz w:val="20"/>
          <w:szCs w:val="20"/>
          <w:color w:val="auto"/>
        </w:rPr>
      </w:pPr>
      <w:r>
        <w:rPr>
          <w:rFonts w:ascii="Times New Roman" w:cs="Times New Roman" w:eastAsia="Times New Roman" w:hAnsi="Times New Roman"/>
          <w:sz w:val="19"/>
          <w:szCs w:val="19"/>
          <w:color w:val="auto"/>
        </w:rPr>
        <w:t>unless and to the extent that the Committee specifically determines otherwise as provided in Section 25.2.2, and the Plan and the terms and conditions of all Awards shall be interpreted and administered accordingly.</w:t>
      </w:r>
    </w:p>
    <w:p>
      <w:pPr>
        <w:spacing w:after="0" w:line="158" w:lineRule="exact"/>
        <w:rPr>
          <w:sz w:val="20"/>
          <w:szCs w:val="20"/>
          <w:color w:val="auto"/>
        </w:rPr>
      </w:pPr>
    </w:p>
    <w:p>
      <w:pPr>
        <w:ind w:left="480" w:firstLine="794"/>
        <w:spacing w:after="0" w:line="222" w:lineRule="auto"/>
        <w:rPr>
          <w:sz w:val="20"/>
          <w:szCs w:val="20"/>
          <w:color w:val="auto"/>
        </w:rPr>
      </w:pPr>
      <w:r>
        <w:rPr>
          <w:rFonts w:ascii="Times New Roman" w:cs="Times New Roman" w:eastAsia="Times New Roman" w:hAnsi="Times New Roman"/>
          <w:sz w:val="19"/>
          <w:szCs w:val="19"/>
          <w:color w:val="auto"/>
        </w:rPr>
        <w:t>25.2.2 The terms and conditions governing any Awards that the Committee determines will be subject to Section 409A of the Code, including any rules for payment or elective or mandatory deferral of the payment or delivery of Shares or cash pursuant thereto, and</w:t>
      </w:r>
    </w:p>
    <w:p>
      <w:pPr>
        <w:ind w:left="480"/>
        <w:spacing w:after="0" w:line="219" w:lineRule="auto"/>
        <w:rPr>
          <w:sz w:val="20"/>
          <w:szCs w:val="20"/>
          <w:color w:val="auto"/>
        </w:rPr>
      </w:pPr>
      <w:r>
        <w:rPr>
          <w:rFonts w:ascii="Times New Roman" w:cs="Times New Roman" w:eastAsia="Times New Roman" w:hAnsi="Times New Roman"/>
          <w:sz w:val="19"/>
          <w:szCs w:val="19"/>
          <w:color w:val="auto"/>
        </w:rPr>
        <w:t>any rules regarding treatment of such Awards in the event of a Change in Control, shall be set forth in the applicable Award Agreement</w:t>
      </w:r>
    </w:p>
    <w:p>
      <w:pPr>
        <w:spacing w:after="0" w:line="1" w:lineRule="exact"/>
        <w:rPr>
          <w:sz w:val="20"/>
          <w:szCs w:val="20"/>
          <w:color w:val="auto"/>
        </w:rPr>
      </w:pPr>
    </w:p>
    <w:p>
      <w:pPr>
        <w:ind w:left="480"/>
        <w:spacing w:after="0" w:line="228" w:lineRule="auto"/>
        <w:rPr>
          <w:sz w:val="20"/>
          <w:szCs w:val="20"/>
          <w:color w:val="auto"/>
        </w:rPr>
      </w:pPr>
      <w:r>
        <w:rPr>
          <w:rFonts w:ascii="Times New Roman" w:cs="Times New Roman" w:eastAsia="Times New Roman" w:hAnsi="Times New Roman"/>
          <w:sz w:val="19"/>
          <w:szCs w:val="19"/>
          <w:color w:val="auto"/>
        </w:rPr>
        <w:t>and shall be intended to comply in all respects with Section 409A of the Code, and the Plan and the terms and conditions of such Awards shall be interpreted and administered accordingly.</w:t>
      </w:r>
    </w:p>
    <w:p>
      <w:pPr>
        <w:spacing w:after="0" w:line="158" w:lineRule="exact"/>
        <w:rPr>
          <w:sz w:val="20"/>
          <w:szCs w:val="20"/>
          <w:color w:val="auto"/>
        </w:rPr>
      </w:pPr>
    </w:p>
    <w:p>
      <w:pPr>
        <w:ind w:left="1280"/>
        <w:spacing w:after="0"/>
        <w:tabs>
          <w:tab w:leader="none" w:pos="2020" w:val="left"/>
        </w:tabs>
        <w:rPr>
          <w:sz w:val="20"/>
          <w:szCs w:val="20"/>
          <w:color w:val="auto"/>
        </w:rPr>
      </w:pPr>
      <w:r>
        <w:rPr>
          <w:rFonts w:ascii="Times New Roman" w:cs="Times New Roman" w:eastAsia="Times New Roman" w:hAnsi="Times New Roman"/>
          <w:sz w:val="19"/>
          <w:szCs w:val="19"/>
          <w:color w:val="auto"/>
        </w:rPr>
        <w:t>25.2.3</w:t>
        <w:tab/>
        <w:t>The Company shall have complete discretion to interpret and construe the Plan and any Award Agreement in any</w:t>
      </w:r>
    </w:p>
    <w:p>
      <w:pPr>
        <w:spacing w:after="0" w:line="2"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manner that establishes an exemption from (or compliance with) the requirements of Section 409A of the Code. If for any reason, such as imprecision in drafting, any provision of the Plan and/or any Award Agreement does not accurately reflect its intended establishment of</w:t>
      </w:r>
    </w:p>
    <w:p>
      <w:pPr>
        <w:ind w:left="480"/>
        <w:spacing w:after="0" w:line="219" w:lineRule="auto"/>
        <w:rPr>
          <w:sz w:val="20"/>
          <w:szCs w:val="20"/>
          <w:color w:val="auto"/>
        </w:rPr>
      </w:pPr>
      <w:r>
        <w:rPr>
          <w:rFonts w:ascii="Times New Roman" w:cs="Times New Roman" w:eastAsia="Times New Roman" w:hAnsi="Times New Roman"/>
          <w:sz w:val="19"/>
          <w:szCs w:val="19"/>
          <w:color w:val="auto"/>
        </w:rPr>
        <w:t>an exemption from (or compliance with) Code Section 409A, as demonstrated by consistent interpretations or other evidence of intent,</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such provision shall be considered ambiguous as to its exemption from (or compliance with) Section 409A of the Code and shall be interpreted by the Company in a manner consistent with such intent, as determined in the discretion of the Company. If, notwithstanding</w:t>
      </w:r>
    </w:p>
    <w:p>
      <w:pPr>
        <w:ind w:left="480"/>
        <w:spacing w:after="0" w:line="219" w:lineRule="auto"/>
        <w:rPr>
          <w:sz w:val="20"/>
          <w:szCs w:val="20"/>
          <w:color w:val="auto"/>
        </w:rPr>
      </w:pPr>
      <w:r>
        <w:rPr>
          <w:rFonts w:ascii="Times New Roman" w:cs="Times New Roman" w:eastAsia="Times New Roman" w:hAnsi="Times New Roman"/>
          <w:sz w:val="19"/>
          <w:szCs w:val="19"/>
          <w:color w:val="auto"/>
        </w:rPr>
        <w:t>the foregoing provisions of this Section 25.2.3, any provision of the Plan or any such agreement would cause a Grantee to incur any</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 xml:space="preserve">additional tax or interest under Section 409A of the Code, the Company may reform such provision in a manner intended to avoid the incurrence by such Grantee of any such additional tax or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maintain, to the extent reasonably</w:t>
      </w:r>
    </w:p>
    <w:p>
      <w:pPr>
        <w:ind w:left="480"/>
        <w:spacing w:after="0" w:line="219" w:lineRule="auto"/>
        <w:rPr>
          <w:sz w:val="20"/>
          <w:szCs w:val="20"/>
          <w:color w:val="auto"/>
        </w:rPr>
      </w:pPr>
      <w:r>
        <w:rPr>
          <w:rFonts w:ascii="Times New Roman" w:cs="Times New Roman" w:eastAsia="Times New Roman" w:hAnsi="Times New Roman"/>
          <w:sz w:val="19"/>
          <w:szCs w:val="19"/>
          <w:color w:val="auto"/>
        </w:rPr>
        <w:t>practicable, the original intent and economic benefit to the Grantee of the applicable provision without violating the provisions of Section</w:t>
      </w:r>
    </w:p>
    <w:p>
      <w:pPr>
        <w:spacing w:after="0" w:line="1" w:lineRule="exact"/>
        <w:rPr>
          <w:sz w:val="20"/>
          <w:szCs w:val="20"/>
          <w:color w:val="auto"/>
        </w:rPr>
      </w:pPr>
    </w:p>
    <w:p>
      <w:pPr>
        <w:jc w:val="both"/>
        <w:ind w:left="480"/>
        <w:spacing w:after="0" w:line="210" w:lineRule="auto"/>
        <w:rPr>
          <w:sz w:val="20"/>
          <w:szCs w:val="20"/>
          <w:color w:val="auto"/>
        </w:rPr>
      </w:pPr>
      <w:r>
        <w:rPr>
          <w:rFonts w:ascii="Times New Roman" w:cs="Times New Roman" w:eastAsia="Times New Roman" w:hAnsi="Times New Roman"/>
          <w:sz w:val="19"/>
          <w:szCs w:val="19"/>
          <w:color w:val="auto"/>
        </w:rPr>
        <w:t>409A of the Code. For the avoidance of doubt, no provision of this Plan shall be interpreted or construed to transfer any liability for failure to comply with the requirements of Section 409A from any Grantee or any other individual to the Company or any of its affiliates,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employees or agents.</w:t>
      </w:r>
    </w:p>
    <w:p>
      <w:pPr>
        <w:spacing w:after="0" w:line="170" w:lineRule="exact"/>
        <w:rPr>
          <w:sz w:val="20"/>
          <w:szCs w:val="20"/>
          <w:color w:val="auto"/>
        </w:rPr>
      </w:pPr>
    </w:p>
    <w:p>
      <w:pPr>
        <w:ind w:left="480" w:firstLine="794"/>
        <w:spacing w:after="0" w:line="222" w:lineRule="auto"/>
        <w:rPr>
          <w:sz w:val="20"/>
          <w:szCs w:val="20"/>
          <w:color w:val="auto"/>
        </w:rPr>
      </w:pPr>
      <w:r>
        <w:rPr>
          <w:rFonts w:ascii="Times New Roman" w:cs="Times New Roman" w:eastAsia="Times New Roman" w:hAnsi="Times New Roman"/>
          <w:sz w:val="19"/>
          <w:szCs w:val="19"/>
          <w:color w:val="auto"/>
        </w:rPr>
        <w:t>25.2.4 Notwithstanding any other provision in the Plan, any Award Agreement, or any other written document establishing the terms and conditions of an Award, if any Grantee is a “specified employee,” within the meaning of Section 409A of the Code, as of the</w:t>
      </w:r>
    </w:p>
    <w:p>
      <w:pPr>
        <w:ind w:left="480"/>
        <w:spacing w:after="0" w:line="219" w:lineRule="auto"/>
        <w:rPr>
          <w:sz w:val="20"/>
          <w:szCs w:val="20"/>
          <w:color w:val="auto"/>
        </w:rPr>
      </w:pPr>
      <w:r>
        <w:rPr>
          <w:rFonts w:ascii="Times New Roman" w:cs="Times New Roman" w:eastAsia="Times New Roman" w:hAnsi="Times New Roman"/>
          <w:sz w:val="19"/>
          <w:szCs w:val="19"/>
          <w:color w:val="auto"/>
        </w:rPr>
        <w:t>date of his or her “separation from service” (as defined under Section 409A of the Code), then, to the extent required by Treasury</w:t>
      </w:r>
    </w:p>
    <w:p>
      <w:pPr>
        <w:spacing w:after="0" w:line="1" w:lineRule="exact"/>
        <w:rPr>
          <w:sz w:val="20"/>
          <w:szCs w:val="20"/>
          <w:color w:val="auto"/>
        </w:rPr>
      </w:pPr>
    </w:p>
    <w:p>
      <w:pPr>
        <w:ind w:left="480"/>
        <w:spacing w:after="0" w:line="210" w:lineRule="auto"/>
        <w:rPr>
          <w:sz w:val="20"/>
          <w:szCs w:val="20"/>
          <w:color w:val="auto"/>
        </w:rPr>
      </w:pPr>
      <w:r>
        <w:rPr>
          <w:rFonts w:ascii="Times New Roman" w:cs="Times New Roman" w:eastAsia="Times New Roman" w:hAnsi="Times New Roman"/>
          <w:sz w:val="19"/>
          <w:szCs w:val="19"/>
          <w:color w:val="auto"/>
        </w:rPr>
        <w:t>Regulation Section 1.409A-3(i)(2) (or any successor provision), any payment made to such Grantee on account of his or her separation from service shall not be made before a date that is six months after the date of his or her separation from service. The Committee may</w:t>
      </w:r>
    </w:p>
    <w:p>
      <w:pPr>
        <w:spacing w:after="0" w:line="1" w:lineRule="exact"/>
        <w:rPr>
          <w:sz w:val="20"/>
          <w:szCs w:val="20"/>
          <w:color w:val="auto"/>
        </w:rPr>
      </w:pPr>
    </w:p>
    <w:p>
      <w:pPr>
        <w:ind w:left="480"/>
        <w:spacing w:after="0" w:line="235" w:lineRule="auto"/>
        <w:rPr>
          <w:sz w:val="20"/>
          <w:szCs w:val="20"/>
          <w:color w:val="auto"/>
        </w:rPr>
      </w:pPr>
      <w:r>
        <w:rPr>
          <w:rFonts w:ascii="Times New Roman" w:cs="Times New Roman" w:eastAsia="Times New Roman" w:hAnsi="Times New Roman"/>
          <w:sz w:val="19"/>
          <w:szCs w:val="19"/>
          <w:color w:val="auto"/>
        </w:rPr>
        <w:t>elect any of the methods of applying this rule that are permitted under Treasury Regulation Section 1.409A-3(i)(2)(ii) (or any successor provision).</w:t>
      </w:r>
    </w:p>
    <w:p>
      <w:pPr>
        <w:spacing w:after="0" w:line="146" w:lineRule="exact"/>
        <w:rPr>
          <w:sz w:val="20"/>
          <w:szCs w:val="20"/>
          <w:color w:val="auto"/>
        </w:rPr>
      </w:pPr>
    </w:p>
    <w:p>
      <w:pPr>
        <w:ind w:left="480" w:firstLine="794"/>
        <w:spacing w:after="0" w:line="230" w:lineRule="auto"/>
        <w:rPr>
          <w:sz w:val="20"/>
          <w:szCs w:val="20"/>
          <w:color w:val="auto"/>
        </w:rPr>
      </w:pPr>
      <w:r>
        <w:rPr>
          <w:rFonts w:ascii="Times New Roman" w:cs="Times New Roman" w:eastAsia="Times New Roman" w:hAnsi="Times New Roman"/>
          <w:sz w:val="19"/>
          <w:szCs w:val="19"/>
          <w:color w:val="auto"/>
        </w:rPr>
        <w:t>25.2.5 Notwithstanding any other provision of this Section 25.2 to the contrary, although the Company intends to administer the Plan so that Awards will be exempt from, or will comply with, the requirements of Section 409A of the Code, the Company does not</w:t>
      </w:r>
    </w:p>
    <w:p>
      <w:pPr>
        <w:ind w:left="480"/>
        <w:spacing w:after="0" w:line="210" w:lineRule="auto"/>
        <w:rPr>
          <w:sz w:val="20"/>
          <w:szCs w:val="20"/>
          <w:color w:val="auto"/>
        </w:rPr>
      </w:pPr>
      <w:r>
        <w:rPr>
          <w:rFonts w:ascii="Times New Roman" w:cs="Times New Roman" w:eastAsia="Times New Roman" w:hAnsi="Times New Roman"/>
          <w:sz w:val="19"/>
          <w:szCs w:val="19"/>
          <w:color w:val="auto"/>
        </w:rPr>
        <w:t>warrant that any Award under the Plan will qualify for favorable tax treatment under Section 409A of the Code or any other provision of federal, state, local, or non-United States law. The Company shall not be liable to any Grantee for any tax, interest, or penalties the</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Grantee might owe as a result of the grant, holding, vesting, exercise, or payment of any Award under the Plan.</w:t>
      </w:r>
    </w:p>
    <w:p>
      <w:pPr>
        <w:spacing w:after="0" w:line="33" w:lineRule="exact"/>
        <w:rPr>
          <w:sz w:val="20"/>
          <w:szCs w:val="20"/>
          <w:color w:val="auto"/>
        </w:rPr>
      </w:pPr>
    </w:p>
    <w:p>
      <w:pPr>
        <w:ind w:left="440" w:hanging="434"/>
        <w:spacing w:after="0"/>
        <w:tabs>
          <w:tab w:leader="none" w:pos="44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 JURISDICTION</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Plan and all determinations made and actions taken pursuant hereto shall be governed by the laws of the State of Delaware, except with</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respect to matters that are subject to tax laws, regulations and rules of any specific jurisdiction, which shall be governed by the respective laws, regulations and rules of such jurisdiction. Certain definitions, which refer to laws other than the laws of such jurisdiction, shall be construed in</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accordance with such other laws. By signing any Award Agreement or any other agreement relating to an Award, each Grantee irrevocably submits to such exclusive jurisdiction.</w:t>
      </w:r>
    </w:p>
    <w:p>
      <w:pPr>
        <w:sectPr>
          <w:pgSz w:w="11900" w:h="16838" w:orient="portrait"/>
          <w:cols w:equalWidth="0" w:num="1">
            <w:col w:w="11240"/>
          </w:cols>
          <w:pgMar w:left="320" w:top="1242" w:right="339" w:bottom="1440" w:gutter="0" w:footer="0" w:header="0"/>
        </w:sectPr>
      </w:pPr>
    </w:p>
    <w:bookmarkStart w:id="193" w:name="page194"/>
    <w:bookmarkEnd w:id="193"/>
    <w:p>
      <w:pPr>
        <w:ind w:left="440" w:hanging="434"/>
        <w:spacing w:after="0"/>
        <w:tabs>
          <w:tab w:leader="none" w:pos="44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NON-EXCLUSIVITY OF THIS PLAN</w:t>
      </w:r>
      <w:r>
        <w:rPr>
          <w:rFonts w:ascii="Times New Roman" w:cs="Times New Roman" w:eastAsia="Times New Roman" w:hAnsi="Times New Roman"/>
          <w:sz w:val="19"/>
          <w:szCs w:val="19"/>
          <w:color w:val="auto"/>
        </w:rPr>
        <w:t>.</w:t>
      </w:r>
    </w:p>
    <w:p>
      <w:pPr>
        <w:spacing w:after="0" w:line="7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The adoption of this Plan shall not be construed as creating any limitations on the power or authority of the Company to adopt such other or additional incentive or other compensation arrangements of whatever nature as the Company may deem necessary or desirable or preclude or</w:t>
      </w:r>
    </w:p>
    <w:p>
      <w:pPr>
        <w:spacing w:after="0" w:line="219" w:lineRule="auto"/>
        <w:rPr>
          <w:sz w:val="20"/>
          <w:szCs w:val="20"/>
          <w:color w:val="auto"/>
        </w:rPr>
      </w:pPr>
      <w:r>
        <w:rPr>
          <w:rFonts w:ascii="Times New Roman" w:cs="Times New Roman" w:eastAsia="Times New Roman" w:hAnsi="Times New Roman"/>
          <w:sz w:val="19"/>
          <w:szCs w:val="19"/>
          <w:color w:val="auto"/>
        </w:rPr>
        <w:t>limit the continuation of any other plan, practice or arrangement for the payment of compensation or fringe benefits to employees generally,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to any class or group of employees, which the Company or any Affiliate now has lawfully put into effect, including any retirement, pension, savings and stock purchase plan, insurance, death and disability benefits and executive short-term or long-term incentive plans.</w:t>
      </w:r>
    </w:p>
    <w:p>
      <w:pPr>
        <w:spacing w:after="0" w:line="22" w:lineRule="exact"/>
        <w:rPr>
          <w:sz w:val="20"/>
          <w:szCs w:val="20"/>
          <w:color w:val="auto"/>
        </w:rPr>
      </w:pPr>
    </w:p>
    <w:p>
      <w:pPr>
        <w:ind w:left="440" w:hanging="434"/>
        <w:spacing w:after="0"/>
        <w:tabs>
          <w:tab w:leader="none" w:pos="44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63" w:lineRule="exact"/>
        <w:rPr>
          <w:sz w:val="20"/>
          <w:szCs w:val="20"/>
          <w:color w:val="auto"/>
        </w:rPr>
      </w:pPr>
    </w:p>
    <w:p>
      <w:pPr>
        <w:jc w:val="both"/>
        <w:ind w:firstLine="500"/>
        <w:spacing w:after="0" w:line="237" w:lineRule="auto"/>
        <w:rPr>
          <w:sz w:val="20"/>
          <w:szCs w:val="20"/>
          <w:color w:val="auto"/>
        </w:rPr>
      </w:pPr>
      <w:r>
        <w:rPr>
          <w:rFonts w:ascii="Times New Roman" w:cs="Times New Roman" w:eastAsia="Times New Roman" w:hAnsi="Times New Roman"/>
          <w:sz w:val="19"/>
          <w:szCs w:val="19"/>
          <w:color w:val="auto"/>
        </w:rPr>
        <w:t xml:space="preserve">28.1. </w:t>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Grantee shall be bound by and the Shares issued upon exercise or (if applicable) the vesting of any Awards granted hereunder shall remain subject to this Plan after the exercise or (if applicable) the vesting of Awards, in accordance with the terms of this Plan, whether or not the Grantee is then or at any time thereafter employed or engaged by the Company or any of its Affiliates.</w:t>
      </w:r>
    </w:p>
    <w:p>
      <w:pPr>
        <w:spacing w:after="0" w:line="28" w:lineRule="exact"/>
        <w:rPr>
          <w:sz w:val="20"/>
          <w:szCs w:val="20"/>
          <w:color w:val="auto"/>
        </w:rPr>
      </w:pPr>
    </w:p>
    <w:p>
      <w:pPr>
        <w:jc w:val="both"/>
        <w:ind w:firstLine="500"/>
        <w:spacing w:after="0" w:line="241" w:lineRule="auto"/>
        <w:rPr>
          <w:sz w:val="20"/>
          <w:szCs w:val="20"/>
          <w:color w:val="auto"/>
        </w:rPr>
      </w:pPr>
      <w:r>
        <w:rPr>
          <w:rFonts w:ascii="Times New Roman" w:cs="Times New Roman" w:eastAsia="Times New Roman" w:hAnsi="Times New Roman"/>
          <w:sz w:val="19"/>
          <w:szCs w:val="19"/>
          <w:color w:val="auto"/>
        </w:rPr>
        <w:t xml:space="preserve">28.2. </w:t>
      </w:r>
      <w:r>
        <w:rPr>
          <w:rFonts w:ascii="Times New Roman" w:cs="Times New Roman" w:eastAsia="Times New Roman" w:hAnsi="Times New Roman"/>
          <w:sz w:val="19"/>
          <w:szCs w:val="19"/>
          <w:u w:val="single" w:color="auto"/>
          <w:color w:val="auto"/>
        </w:rPr>
        <w:t>Additional Terms</w:t>
      </w:r>
      <w:r>
        <w:rPr>
          <w:rFonts w:ascii="Times New Roman" w:cs="Times New Roman" w:eastAsia="Times New Roman" w:hAnsi="Times New Roman"/>
          <w:sz w:val="19"/>
          <w:szCs w:val="19"/>
          <w:color w:val="auto"/>
        </w:rPr>
        <w:t>. Each Award awarded under this Plan may contain such other terms and conditions not inconsistent with this Plan as may be determined by the Committee, in its sole discretion.</w:t>
      </w:r>
    </w:p>
    <w:p>
      <w:pPr>
        <w:spacing w:after="0" w:line="24" w:lineRule="exact"/>
        <w:rPr>
          <w:sz w:val="20"/>
          <w:szCs w:val="20"/>
          <w:color w:val="auto"/>
        </w:rPr>
      </w:pPr>
    </w:p>
    <w:p>
      <w:pPr>
        <w:jc w:val="both"/>
        <w:ind w:firstLine="500"/>
        <w:spacing w:after="0" w:line="237" w:lineRule="auto"/>
        <w:rPr>
          <w:sz w:val="20"/>
          <w:szCs w:val="20"/>
          <w:color w:val="auto"/>
        </w:rPr>
      </w:pPr>
      <w:r>
        <w:rPr>
          <w:rFonts w:ascii="Times New Roman" w:cs="Times New Roman" w:eastAsia="Times New Roman" w:hAnsi="Times New Roman"/>
          <w:sz w:val="19"/>
          <w:szCs w:val="19"/>
          <w:color w:val="auto"/>
        </w:rPr>
        <w:t xml:space="preserve">28.3. </w:t>
      </w:r>
      <w:r>
        <w:rPr>
          <w:rFonts w:ascii="Times New Roman" w:cs="Times New Roman" w:eastAsia="Times New Roman" w:hAnsi="Times New Roman"/>
          <w:sz w:val="19"/>
          <w:szCs w:val="19"/>
          <w:u w:val="single" w:color="auto"/>
          <w:color w:val="auto"/>
        </w:rPr>
        <w:t>Fractional Shares</w:t>
      </w:r>
      <w:r>
        <w:rPr>
          <w:rFonts w:ascii="Times New Roman" w:cs="Times New Roman" w:eastAsia="Times New Roman" w:hAnsi="Times New Roman"/>
          <w:sz w:val="19"/>
          <w:szCs w:val="19"/>
          <w:color w:val="auto"/>
        </w:rPr>
        <w:t>. No fractional Share shall be issuable upon exercise or vesting of any Award and the number of Shares to be issued shall be rounded down to the nearest whole Share, with any Share remaining at the last vesting date due to such rounding to be issued upon exercise at such last vesting date.</w:t>
      </w:r>
    </w:p>
    <w:p>
      <w:pPr>
        <w:spacing w:after="0" w:line="28" w:lineRule="exact"/>
        <w:rPr>
          <w:sz w:val="20"/>
          <w:szCs w:val="20"/>
          <w:color w:val="auto"/>
        </w:rPr>
      </w:pPr>
    </w:p>
    <w:p>
      <w:pPr>
        <w:jc w:val="both"/>
        <w:ind w:firstLine="500"/>
        <w:spacing w:after="0" w:line="222" w:lineRule="auto"/>
        <w:rPr>
          <w:sz w:val="20"/>
          <w:szCs w:val="20"/>
          <w:color w:val="auto"/>
        </w:rPr>
      </w:pPr>
      <w:r>
        <w:rPr>
          <w:rFonts w:ascii="Times New Roman" w:cs="Times New Roman" w:eastAsia="Times New Roman" w:hAnsi="Times New Roman"/>
          <w:sz w:val="19"/>
          <w:szCs w:val="19"/>
          <w:color w:val="auto"/>
        </w:rPr>
        <w:t xml:space="preserve">28.4.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provision of this Plan, any Award Agreement or any other agreement entered into in connection with an Award shall be determined to be illegal or unenforceable by any court of law in any jurisdiction, the remaining provisions hereof and thereof shall be</w:t>
      </w:r>
    </w:p>
    <w:p>
      <w:pPr>
        <w:spacing w:after="0" w:line="219" w:lineRule="auto"/>
        <w:rPr>
          <w:sz w:val="20"/>
          <w:szCs w:val="20"/>
          <w:color w:val="auto"/>
        </w:rPr>
      </w:pPr>
      <w:r>
        <w:rPr>
          <w:rFonts w:ascii="Times New Roman" w:cs="Times New Roman" w:eastAsia="Times New Roman" w:hAnsi="Times New Roman"/>
          <w:sz w:val="19"/>
          <w:szCs w:val="19"/>
          <w:color w:val="auto"/>
        </w:rPr>
        <w:t>severable and enforceable in accordance with their terms, and all provisions shall remain enforceable in any other jurisdiction. In addition, if any</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particular provision contained in this Plan, any Award Agreement or any other agreement entered into in connection with an Award shall for any reason be held to be excessively broad as to duration, geographic scope, activity or subject, it shall be construed by limiting and reducing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provision as to such characteristic so that the provision is enforceable to fullest extent compatible with Applicable Law as it shall then appear.</w:t>
      </w:r>
    </w:p>
    <w:p>
      <w:pPr>
        <w:spacing w:after="0" w:line="37"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9"/>
          <w:szCs w:val="19"/>
          <w:color w:val="auto"/>
        </w:rPr>
        <w:t>28.5.</w:t>
      </w:r>
      <w:r>
        <w:rPr>
          <w:sz w:val="20"/>
          <w:szCs w:val="20"/>
          <w:color w:val="auto"/>
        </w:rPr>
        <w:tab/>
      </w:r>
      <w:r>
        <w:rPr>
          <w:rFonts w:ascii="Times New Roman" w:cs="Times New Roman" w:eastAsia="Times New Roman" w:hAnsi="Times New Roman"/>
          <w:sz w:val="19"/>
          <w:szCs w:val="19"/>
          <w:u w:val="single" w:color="auto"/>
          <w:color w:val="auto"/>
        </w:rPr>
        <w:t>Captions and Titles</w:t>
      </w:r>
      <w:r>
        <w:rPr>
          <w:rFonts w:ascii="Times New Roman" w:cs="Times New Roman" w:eastAsia="Times New Roman" w:hAnsi="Times New Roman"/>
          <w:sz w:val="19"/>
          <w:szCs w:val="19"/>
          <w:color w:val="auto"/>
        </w:rPr>
        <w:t>. The use of captions and titles in this Plan or any Award Agreement or any other agreement entered into in</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9"/>
          <w:szCs w:val="19"/>
          <w:color w:val="auto"/>
        </w:rPr>
        <w:t>connection with an Award is for the convenience of reference only and shall not affect the meaning or interpretation of any provision of this Plan or such agreement.</w:t>
      </w:r>
    </w:p>
    <w:p>
      <w:pPr>
        <w:spacing w:after="0" w:line="357" w:lineRule="exact"/>
        <w:rPr>
          <w:sz w:val="20"/>
          <w:szCs w:val="20"/>
          <w:color w:val="auto"/>
        </w:rPr>
      </w:pPr>
    </w:p>
    <w:p>
      <w:pPr>
        <w:jc w:val="center"/>
        <w:spacing w:after="0"/>
        <w:tabs>
          <w:tab w:leader="none" w:pos="180" w:val="left"/>
          <w:tab w:leader="none" w:pos="160" w:val="left"/>
        </w:tabs>
        <w:rPr>
          <w:sz w:val="20"/>
          <w:szCs w:val="20"/>
          <w:color w:val="auto"/>
        </w:rPr>
      </w:pPr>
      <w:r>
        <w:rPr>
          <w:rFonts w:ascii="Times New Roman" w:cs="Times New Roman" w:eastAsia="Times New Roman" w:hAnsi="Times New Roman"/>
          <w:sz w:val="19"/>
          <w:szCs w:val="19"/>
          <w:color w:val="auto"/>
        </w:rPr>
        <w:t>*</w:t>
        <w:tab/>
        <w:t>*</w:t>
        <w:tab/>
        <w:t>*</w:t>
      </w:r>
    </w:p>
    <w:p>
      <w:pPr>
        <w:sectPr>
          <w:pgSz w:w="11900" w:h="16838" w:orient="portrait"/>
          <w:cols w:equalWidth="0" w:num="1">
            <w:col w:w="11240"/>
          </w:cols>
          <w:pgMar w:left="320" w:top="1238"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1"/>
          <w:szCs w:val="2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OPTION GRANT</w:t>
      </w:r>
    </w:p>
    <w:p>
      <w:pPr>
        <w:spacing w:after="0" w:line="271" w:lineRule="exact"/>
        <w:rPr>
          <w:sz w:val="20"/>
          <w:szCs w:val="20"/>
          <w:color w:val="auto"/>
        </w:rPr>
      </w:pPr>
    </w:p>
    <w:p>
      <w:pPr>
        <w:jc w:val="both"/>
        <w:ind w:firstLine="209"/>
        <w:spacing w:after="0" w:line="285" w:lineRule="auto"/>
        <w:rPr>
          <w:sz w:val="20"/>
          <w:szCs w:val="20"/>
          <w:color w:val="auto"/>
        </w:rPr>
      </w:pPr>
      <w:r>
        <w:rPr>
          <w:rFonts w:ascii="Times New Roman" w:cs="Times New Roman" w:eastAsia="Times New Roman" w:hAnsi="Times New Roman"/>
          <w:sz w:val="19"/>
          <w:szCs w:val="19"/>
          <w:color w:val="auto"/>
        </w:rPr>
        <w:t>You have been granted the following options (the “</w:t>
      </w:r>
      <w:r>
        <w:rPr>
          <w:rFonts w:ascii="Times New Roman" w:cs="Times New Roman" w:eastAsia="Times New Roman" w:hAnsi="Times New Roman"/>
          <w:sz w:val="19"/>
          <w:szCs w:val="19"/>
          <w:b w:val="1"/>
          <w:bCs w:val="1"/>
          <w:color w:val="auto"/>
        </w:rPr>
        <w:t>Options</w:t>
      </w:r>
      <w:r>
        <w:rPr>
          <w:rFonts w:ascii="Times New Roman" w:cs="Times New Roman" w:eastAsia="Times New Roman" w:hAnsi="Times New Roman"/>
          <w:sz w:val="19"/>
          <w:szCs w:val="19"/>
          <w:color w:val="auto"/>
        </w:rPr>
        <w:t>”) to purchase shares of Common Stock par value US$0.001 each (the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C2I Genomics, Inc.</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pursuant and subject to the terms and conditions of the Company’s ‘</w:t>
      </w:r>
      <w:r>
        <w:rPr>
          <w:rFonts w:ascii="Times New Roman" w:cs="Times New Roman" w:eastAsia="Times New Roman" w:hAnsi="Times New Roman"/>
          <w:sz w:val="19"/>
          <w:szCs w:val="19"/>
          <w:i w:val="1"/>
          <w:iCs w:val="1"/>
          <w:color w:val="auto"/>
        </w:rPr>
        <w:t>2019 Stock Incentive Plan</w:t>
      </w:r>
      <w:r>
        <w:rPr>
          <w:rFonts w:ascii="Times New Roman" w:cs="Times New Roman" w:eastAsia="Times New Roman" w:hAnsi="Times New Roman"/>
          <w:sz w:val="19"/>
          <w:szCs w:val="19"/>
          <w:color w:val="auto"/>
        </w:rPr>
        <w:t xml:space="preserve">’, a copy of which is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(as may be amended from time to time,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xml:space="preserve">”), and the additional terms and conditions contained herein. </w:t>
      </w:r>
      <w:r>
        <w:rPr>
          <w:rFonts w:ascii="Times New Roman" w:cs="Times New Roman" w:eastAsia="Times New Roman" w:hAnsi="Times New Roman"/>
          <w:sz w:val="19"/>
          <w:szCs w:val="19"/>
          <w:i w:val="1"/>
          <w:iCs w:val="1"/>
          <w:color w:val="auto"/>
        </w:rPr>
        <w:t>Unless otherwise defined, capitalized terms used herein shall have the meaning ascribed to them under the Plan.</w:t>
      </w:r>
    </w:p>
    <w:p>
      <w:pPr>
        <w:spacing w:after="0" w:line="2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29845</wp:posOffset>
            </wp:positionV>
            <wp:extent cx="30422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2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Date of Grant:</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i w:val="1"/>
          <w:iCs w:val="1"/>
          <w:color w:val="auto"/>
        </w:rPr>
        <w:t>such date being subject to Section 9.4 of the Plan and Section 10.2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-132715</wp:posOffset>
            </wp:positionV>
            <wp:extent cx="30422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63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Intended Type of Award(*):</w:t>
            </w:r>
          </w:p>
        </w:tc>
        <w:tc>
          <w:tcPr>
            <w:tcW w:w="6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Incentive Stock Option (U.S.)</w:t>
            </w:r>
          </w:p>
        </w:tc>
        <w:tc>
          <w:tcPr>
            <w:tcW w:w="0" w:type="dxa"/>
            <w:vAlign w:val="bottom"/>
          </w:tcPr>
          <w:p>
            <w:pPr>
              <w:spacing w:after="0"/>
              <w:rPr>
                <w:sz w:val="1"/>
                <w:szCs w:val="1"/>
                <w:color w:val="auto"/>
              </w:rPr>
            </w:pPr>
          </w:p>
        </w:tc>
      </w:tr>
      <w:tr>
        <w:trPr>
          <w:trHeight w:val="235"/>
        </w:trPr>
        <w:tc>
          <w:tcPr>
            <w:tcW w:w="6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w:t>
            </w:r>
            <w:r>
              <w:rPr>
                <w:rFonts w:ascii="Wingdings" w:cs="Wingdings" w:eastAsia="Wingdings" w:hAnsi="Wingdings"/>
                <w:sz w:val="19"/>
                <w:szCs w:val="19"/>
                <w:b w:val="1"/>
                <w:bCs w:val="1"/>
                <w:color w:val="auto"/>
                <w:highlight w:val="black"/>
              </w:rPr>
              <w:t>ü</w:t>
            </w:r>
            <w:r>
              <w:rPr>
                <w:rFonts w:ascii="Times New Roman" w:cs="Times New Roman" w:eastAsia="Times New Roman" w:hAnsi="Times New Roman"/>
                <w:sz w:val="19"/>
                <w:szCs w:val="19"/>
                <w:b w:val="1"/>
                <w:bCs w:val="1"/>
                <w:i w:val="1"/>
                <w:iCs w:val="1"/>
                <w:color w:val="auto"/>
              </w:rPr>
              <w:t>check one</w:t>
            </w:r>
            <w:r>
              <w:rPr>
                <w:rFonts w:ascii="Times New Roman" w:cs="Times New Roman" w:eastAsia="Times New Roman" w:hAnsi="Times New Roman"/>
                <w:sz w:val="19"/>
                <w:szCs w:val="19"/>
                <w:b w:val="1"/>
                <w:bCs w:val="1"/>
                <w:color w:val="auto"/>
              </w:rPr>
              <w:t>):</w:t>
            </w: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Nonqualified Stock Option (U.S.)</w:t>
            </w:r>
          </w:p>
        </w:tc>
        <w:tc>
          <w:tcPr>
            <w:tcW w:w="0" w:type="dxa"/>
            <w:vAlign w:val="bottom"/>
          </w:tcPr>
          <w:p>
            <w:pPr>
              <w:spacing w:after="0"/>
              <w:rPr>
                <w:sz w:val="1"/>
                <w:szCs w:val="1"/>
                <w:color w:val="auto"/>
              </w:rPr>
            </w:pPr>
          </w:p>
        </w:tc>
      </w:tr>
      <w:tr>
        <w:trPr>
          <w:trHeight w:val="172"/>
        </w:trPr>
        <w:tc>
          <w:tcPr>
            <w:tcW w:w="6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9"/>
                <w:szCs w:val="19"/>
                <w:color w:val="auto"/>
              </w:rPr>
              <w:t>Option  designated  as  102  Capital  Gains  Track</w:t>
            </w:r>
          </w:p>
        </w:tc>
        <w:tc>
          <w:tcPr>
            <w:tcW w:w="0" w:type="dxa"/>
            <w:vAlign w:val="bottom"/>
          </w:tcPr>
          <w:p>
            <w:pPr>
              <w:spacing w:after="0"/>
              <w:rPr>
                <w:sz w:val="1"/>
                <w:szCs w:val="1"/>
                <w:color w:val="auto"/>
              </w:rPr>
            </w:pPr>
          </w:p>
        </w:tc>
      </w:tr>
      <w:tr>
        <w:trPr>
          <w:trHeight w:val="248"/>
        </w:trPr>
        <w:tc>
          <w:tcPr>
            <w:tcW w:w="63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Award (with Trustee) (Israel)</w:t>
            </w:r>
          </w:p>
        </w:tc>
        <w:tc>
          <w:tcPr>
            <w:tcW w:w="0" w:type="dxa"/>
            <w:vAlign w:val="bottom"/>
          </w:tcPr>
          <w:p>
            <w:pPr>
              <w:spacing w:after="0"/>
              <w:rPr>
                <w:sz w:val="1"/>
                <w:szCs w:val="1"/>
                <w:color w:val="auto"/>
              </w:rPr>
            </w:pPr>
          </w:p>
        </w:tc>
      </w:tr>
      <w:tr>
        <w:trPr>
          <w:trHeight w:val="169"/>
        </w:trPr>
        <w:tc>
          <w:tcPr>
            <w:tcW w:w="6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9"/>
                <w:szCs w:val="19"/>
                <w:color w:val="auto"/>
              </w:rPr>
              <w:t>Option designated as 102 Ordinary Income Track</w:t>
            </w:r>
          </w:p>
        </w:tc>
        <w:tc>
          <w:tcPr>
            <w:tcW w:w="0" w:type="dxa"/>
            <w:vAlign w:val="bottom"/>
          </w:tcPr>
          <w:p>
            <w:pPr>
              <w:spacing w:after="0"/>
              <w:rPr>
                <w:sz w:val="1"/>
                <w:szCs w:val="1"/>
                <w:color w:val="auto"/>
              </w:rPr>
            </w:pPr>
          </w:p>
        </w:tc>
      </w:tr>
      <w:tr>
        <w:trPr>
          <w:trHeight w:val="248"/>
        </w:trPr>
        <w:tc>
          <w:tcPr>
            <w:tcW w:w="63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Award (with Trustee) (Israel)</w:t>
            </w:r>
          </w:p>
        </w:tc>
        <w:tc>
          <w:tcPr>
            <w:tcW w:w="0" w:type="dxa"/>
            <w:vAlign w:val="bottom"/>
          </w:tcPr>
          <w:p>
            <w:pPr>
              <w:spacing w:after="0"/>
              <w:rPr>
                <w:sz w:val="1"/>
                <w:szCs w:val="1"/>
                <w:color w:val="auto"/>
              </w:rPr>
            </w:pPr>
          </w:p>
        </w:tc>
      </w:tr>
      <w:tr>
        <w:trPr>
          <w:trHeight w:val="169"/>
        </w:trPr>
        <w:tc>
          <w:tcPr>
            <w:tcW w:w="6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9"/>
                <w:szCs w:val="19"/>
                <w:color w:val="auto"/>
              </w:rPr>
              <w:t>Option  designated  as  102  Non-Trustee  Award</w:t>
            </w:r>
          </w:p>
        </w:tc>
        <w:tc>
          <w:tcPr>
            <w:tcW w:w="0" w:type="dxa"/>
            <w:vAlign w:val="bottom"/>
          </w:tcPr>
          <w:p>
            <w:pPr>
              <w:spacing w:after="0"/>
              <w:rPr>
                <w:sz w:val="1"/>
                <w:szCs w:val="1"/>
                <w:color w:val="auto"/>
              </w:rPr>
            </w:pPr>
          </w:p>
        </w:tc>
      </w:tr>
      <w:tr>
        <w:trPr>
          <w:trHeight w:val="248"/>
        </w:trPr>
        <w:tc>
          <w:tcPr>
            <w:tcW w:w="63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(Israel)</w:t>
            </w:r>
          </w:p>
        </w:tc>
        <w:tc>
          <w:tcPr>
            <w:tcW w:w="0" w:type="dxa"/>
            <w:vAlign w:val="bottom"/>
          </w:tcPr>
          <w:p>
            <w:pPr>
              <w:spacing w:after="0"/>
              <w:rPr>
                <w:sz w:val="1"/>
                <w:szCs w:val="1"/>
                <w:color w:val="auto"/>
              </w:rPr>
            </w:pPr>
          </w:p>
        </w:tc>
      </w:tr>
      <w:tr>
        <w:trPr>
          <w:trHeight w:val="231"/>
        </w:trPr>
        <w:tc>
          <w:tcPr>
            <w:tcW w:w="63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Option designated as 3(9) Award (Israel)</w:t>
            </w:r>
          </w:p>
        </w:tc>
        <w:tc>
          <w:tcPr>
            <w:tcW w:w="0" w:type="dxa"/>
            <w:vAlign w:val="bottom"/>
          </w:tcPr>
          <w:p>
            <w:pPr>
              <w:spacing w:after="0"/>
              <w:rPr>
                <w:sz w:val="1"/>
                <w:szCs w:val="1"/>
                <w:color w:val="auto"/>
              </w:rPr>
            </w:pPr>
          </w:p>
        </w:tc>
      </w:tr>
      <w:tr>
        <w:trPr>
          <w:trHeight w:val="231"/>
        </w:trPr>
        <w:tc>
          <w:tcPr>
            <w:tcW w:w="632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 Subject to Section 9 of the Option Agreement, Section 18.4 of the</w:t>
            </w: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Other</w:t>
            </w:r>
          </w:p>
        </w:tc>
        <w:tc>
          <w:tcPr>
            <w:tcW w:w="0" w:type="dxa"/>
            <w:vAlign w:val="bottom"/>
          </w:tcPr>
          <w:p>
            <w:pPr>
              <w:spacing w:after="0"/>
              <w:rPr>
                <w:sz w:val="1"/>
                <w:szCs w:val="1"/>
                <w:color w:val="auto"/>
              </w:rPr>
            </w:pPr>
          </w:p>
        </w:tc>
      </w:tr>
      <w:tr>
        <w:trPr>
          <w:trHeight w:val="562"/>
        </w:trPr>
        <w:tc>
          <w:tcPr>
            <w:tcW w:w="63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320" w:type="dxa"/>
            <w:vAlign w:val="bottom"/>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Plan and applicable law</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3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Exercise Price</w:t>
            </w:r>
          </w:p>
        </w:tc>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US$</w:t>
            </w: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600" w:type="dxa"/>
            <w:vAlign w:val="bottom"/>
          </w:tcPr>
          <w:p>
            <w:pPr>
              <w:jc w:val="right"/>
              <w:ind w:right="1743"/>
              <w:spacing w:after="0"/>
              <w:rPr>
                <w:sz w:val="20"/>
                <w:szCs w:val="20"/>
                <w:color w:val="auto"/>
              </w:rPr>
            </w:pPr>
            <w:r>
              <w:rPr>
                <w:rFonts w:ascii="Times New Roman" w:cs="Times New Roman" w:eastAsia="Times New Roman" w:hAnsi="Times New Roman"/>
                <w:sz w:val="19"/>
                <w:szCs w:val="19"/>
                <w:color w:val="auto"/>
              </w:rPr>
              <w:t>per Share</w:t>
            </w:r>
          </w:p>
        </w:tc>
        <w:tc>
          <w:tcPr>
            <w:tcW w:w="0" w:type="dxa"/>
            <w:vAlign w:val="bottom"/>
          </w:tcPr>
          <w:p>
            <w:pPr>
              <w:spacing w:after="0"/>
              <w:rPr>
                <w:sz w:val="1"/>
                <w:szCs w:val="1"/>
                <w:color w:val="auto"/>
              </w:rPr>
            </w:pPr>
          </w:p>
        </w:tc>
      </w:tr>
      <w:tr>
        <w:trPr>
          <w:trHeight w:val="456"/>
        </w:trPr>
        <w:tc>
          <w:tcPr>
            <w:tcW w:w="63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Number of Shares underlying the Options:</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3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Vesting Commencement Date:</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3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Vesting Schedule:</w:t>
            </w:r>
          </w:p>
        </w:tc>
        <w:tc>
          <w:tcPr>
            <w:tcW w:w="478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Subject to the terms of the Plan (including Sections 6.6 and</w:t>
            </w: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478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6.7  thereof),  the  Options  will  become  vested  and</w:t>
            </w:r>
          </w:p>
        </w:tc>
        <w:tc>
          <w:tcPr>
            <w:tcW w:w="0" w:type="dxa"/>
            <w:vAlign w:val="bottom"/>
          </w:tcPr>
          <w:p>
            <w:pPr>
              <w:spacing w:after="0"/>
              <w:rPr>
                <w:sz w:val="1"/>
                <w:szCs w:val="1"/>
                <w:color w:val="auto"/>
              </w:rPr>
            </w:pPr>
          </w:p>
        </w:tc>
      </w:tr>
      <w:tr>
        <w:trPr>
          <w:trHeight w:val="251"/>
        </w:trPr>
        <w:tc>
          <w:tcPr>
            <w:tcW w:w="6320" w:type="dxa"/>
            <w:vAlign w:val="bottom"/>
          </w:tcPr>
          <w:p>
            <w:pPr>
              <w:spacing w:after="0"/>
              <w:rPr>
                <w:sz w:val="21"/>
                <w:szCs w:val="21"/>
                <w:color w:val="auto"/>
              </w:rPr>
            </w:pPr>
          </w:p>
        </w:tc>
        <w:tc>
          <w:tcPr>
            <w:tcW w:w="478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exercisable on a quarterly basis for a period of four (4)</w:t>
            </w:r>
          </w:p>
        </w:tc>
        <w:tc>
          <w:tcPr>
            <w:tcW w:w="0" w:type="dxa"/>
            <w:vAlign w:val="bottom"/>
          </w:tcPr>
          <w:p>
            <w:pPr>
              <w:spacing w:after="0"/>
              <w:rPr>
                <w:sz w:val="1"/>
                <w:szCs w:val="1"/>
                <w:color w:val="auto"/>
              </w:rPr>
            </w:pPr>
          </w:p>
        </w:tc>
      </w:tr>
      <w:tr>
        <w:trPr>
          <w:trHeight w:val="251"/>
        </w:trPr>
        <w:tc>
          <w:tcPr>
            <w:tcW w:w="6320" w:type="dxa"/>
            <w:vAlign w:val="bottom"/>
          </w:tcPr>
          <w:p>
            <w:pPr>
              <w:spacing w:after="0"/>
              <w:rPr>
                <w:sz w:val="21"/>
                <w:szCs w:val="21"/>
                <w:color w:val="auto"/>
              </w:rPr>
            </w:pPr>
          </w:p>
        </w:tc>
        <w:tc>
          <w:tcPr>
            <w:tcW w:w="478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years  following  the  Vesting  Commencement  Date  as</w:t>
            </w: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478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follows: (1) 25% of the shares underlying the Options shall</w:t>
            </w:r>
          </w:p>
        </w:tc>
        <w:tc>
          <w:tcPr>
            <w:tcW w:w="0" w:type="dxa"/>
            <w:vAlign w:val="bottom"/>
          </w:tcPr>
          <w:p>
            <w:pPr>
              <w:spacing w:after="0"/>
              <w:rPr>
                <w:sz w:val="1"/>
                <w:szCs w:val="1"/>
                <w:color w:val="auto"/>
              </w:rPr>
            </w:pPr>
          </w:p>
        </w:tc>
      </w:tr>
      <w:tr>
        <w:trPr>
          <w:trHeight w:val="247"/>
        </w:trPr>
        <w:tc>
          <w:tcPr>
            <w:tcW w:w="632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98"/>
              </w:rPr>
              <w:t>become</w:t>
            </w:r>
          </w:p>
        </w:tc>
        <w:tc>
          <w:tcPr>
            <w:tcW w:w="60" w:type="dxa"/>
            <w:vAlign w:val="bottom"/>
          </w:tcPr>
          <w:p>
            <w:pPr>
              <w:spacing w:after="0"/>
              <w:rPr>
                <w:sz w:val="21"/>
                <w:szCs w:val="21"/>
                <w:color w:val="auto"/>
              </w:rPr>
            </w:pPr>
          </w:p>
        </w:tc>
        <w:tc>
          <w:tcPr>
            <w:tcW w:w="4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vested and exercisable on _____________ (the</w:t>
            </w:r>
          </w:p>
        </w:tc>
        <w:tc>
          <w:tcPr>
            <w:tcW w:w="0" w:type="dxa"/>
            <w:vAlign w:val="bottom"/>
          </w:tcPr>
          <w:p>
            <w:pPr>
              <w:spacing w:after="0"/>
              <w:rPr>
                <w:sz w:val="1"/>
                <w:szCs w:val="1"/>
                <w:color w:val="auto"/>
              </w:rPr>
            </w:pPr>
          </w:p>
        </w:tc>
      </w:tr>
      <w:tr>
        <w:trPr>
          <w:trHeight w:val="257"/>
        </w:trPr>
        <w:tc>
          <w:tcPr>
            <w:tcW w:w="632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w:t>
            </w:r>
          </w:p>
        </w:tc>
        <w:tc>
          <w:tcPr>
            <w:tcW w:w="4120" w:type="dxa"/>
            <w:vAlign w:val="bottom"/>
            <w:gridSpan w:val="4"/>
          </w:tcPr>
          <w:p>
            <w:pPr>
              <w:jc w:val="right"/>
              <w:spacing w:after="0"/>
              <w:rPr>
                <w:sz w:val="20"/>
                <w:szCs w:val="20"/>
                <w:color w:val="auto"/>
              </w:rPr>
            </w:pPr>
            <w:r>
              <w:rPr>
                <w:rFonts w:ascii="Times New Roman" w:cs="Times New Roman" w:eastAsia="Times New Roman" w:hAnsi="Times New Roman"/>
                <w:sz w:val="19"/>
                <w:szCs w:val="19"/>
                <w:b w:val="1"/>
                <w:bCs w:val="1"/>
                <w:color w:val="auto"/>
              </w:rPr>
              <w:t>Vesting  Date</w:t>
            </w:r>
            <w:r>
              <w:rPr>
                <w:rFonts w:ascii="Times New Roman" w:cs="Times New Roman" w:eastAsia="Times New Roman" w:hAnsi="Times New Roman"/>
                <w:sz w:val="19"/>
                <w:szCs w:val="19"/>
                <w:color w:val="auto"/>
              </w:rPr>
              <w:t>”);  and  (2)  6.25%  of  the  shares</w:t>
            </w:r>
          </w:p>
        </w:tc>
        <w:tc>
          <w:tcPr>
            <w:tcW w:w="0" w:type="dxa"/>
            <w:vAlign w:val="bottom"/>
          </w:tcPr>
          <w:p>
            <w:pPr>
              <w:spacing w:after="0"/>
              <w:rPr>
                <w:sz w:val="1"/>
                <w:szCs w:val="1"/>
                <w:color w:val="auto"/>
              </w:rPr>
            </w:pPr>
          </w:p>
        </w:tc>
      </w:tr>
    </w:tbl>
    <w:p>
      <w:pPr>
        <w:ind w:left="6400"/>
        <w:spacing w:after="0"/>
        <w:rPr>
          <w:sz w:val="20"/>
          <w:szCs w:val="20"/>
          <w:color w:val="auto"/>
        </w:rPr>
      </w:pPr>
      <w:r>
        <w:rPr>
          <w:rFonts w:ascii="Times New Roman" w:cs="Times New Roman" w:eastAsia="Times New Roman" w:hAnsi="Times New Roman"/>
          <w:sz w:val="19"/>
          <w:szCs w:val="19"/>
          <w:color w:val="auto"/>
        </w:rPr>
        <w:t>underlying the Options shall become vested and exercisable</w:t>
      </w:r>
    </w:p>
    <w:p>
      <w:pPr>
        <w:spacing w:after="0" w:line="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9"/>
          <w:szCs w:val="19"/>
          <w:color w:val="auto"/>
        </w:rPr>
        <w:t>every first of the quarter following the First Vesting Date</w:t>
      </w:r>
    </w:p>
    <w:p>
      <w:pPr>
        <w:spacing w:after="0" w:line="2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9"/>
          <w:szCs w:val="19"/>
          <w:color w:val="auto"/>
        </w:rPr>
        <w:t>for a period of twelve (12) consecutive quarterly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10512138/1</w:t>
      </w:r>
    </w:p>
    <w:p>
      <w:pPr>
        <w:sectPr>
          <w:pgSz w:w="11900" w:h="16838" w:orient="portrait"/>
          <w:cols w:equalWidth="0" w:num="1">
            <w:col w:w="11240"/>
          </w:cols>
          <w:pgMar w:left="320" w:top="100" w:right="339" w:bottom="1440" w:gutter="0" w:footer="0" w:header="0"/>
        </w:sectPr>
      </w:pPr>
    </w:p>
    <w:bookmarkStart w:id="195" w:name="page196"/>
    <w:bookmarkEnd w:id="195"/>
    <w:p>
      <w:pPr>
        <w:ind w:left="80"/>
        <w:spacing w:after="0"/>
        <w:tabs>
          <w:tab w:leader="none" w:pos="6380" w:val="left"/>
        </w:tabs>
        <w:rPr>
          <w:sz w:val="20"/>
          <w:szCs w:val="20"/>
          <w:color w:val="auto"/>
        </w:rPr>
      </w:pPr>
      <w:r>
        <w:rPr>
          <w:rFonts w:ascii="Times New Roman" w:cs="Times New Roman" w:eastAsia="Times New Roman" w:hAnsi="Times New Roman"/>
          <w:sz w:val="19"/>
          <w:szCs w:val="19"/>
          <w:b w:val="1"/>
          <w:bCs w:val="1"/>
          <w:color w:val="auto"/>
        </w:rPr>
        <w:t>Exercise Period:</w:t>
      </w:r>
      <w:r>
        <w:rPr>
          <w:sz w:val="20"/>
          <w:szCs w:val="20"/>
          <w:color w:val="auto"/>
        </w:rPr>
        <w:tab/>
      </w:r>
      <w:r>
        <w:rPr>
          <w:rFonts w:ascii="Times New Roman" w:cs="Times New Roman" w:eastAsia="Times New Roman" w:hAnsi="Times New Roman"/>
          <w:sz w:val="19"/>
          <w:szCs w:val="19"/>
          <w:color w:val="auto"/>
        </w:rPr>
        <w:t>The date determined in accordance with and subject to</w:t>
      </w:r>
    </w:p>
    <w:p>
      <w:pPr>
        <w:spacing w:after="0" w:line="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9"/>
          <w:szCs w:val="19"/>
          <w:color w:val="auto"/>
        </w:rPr>
        <w:t>Section 8 of the Option Agreement and the provisions of</w:t>
      </w:r>
    </w:p>
    <w:p>
      <w:pPr>
        <w:spacing w:after="0" w:line="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9"/>
          <w:szCs w:val="19"/>
          <w:color w:val="auto"/>
        </w:rPr>
        <w:t>the Plan</w:t>
      </w:r>
    </w:p>
    <w:p>
      <w:pPr>
        <w:spacing w:after="0" w:line="31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The Options are governed by this Notice of Option Grant and by the provisions of the Plan and the Option Agreement, both of which are attached to and made an integral part of this Notice. By signing the Option Agreement, the Grantee acknowledges receipt of copies of the Plan</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and the Option Agreement, represents that the Grantee read and is familiar with their provisions, and hereby accepts the Options subject to all of their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- 2 -</w:t>
      </w:r>
    </w:p>
    <w:p>
      <w:pPr>
        <w:sectPr>
          <w:pgSz w:w="11900" w:h="16838" w:orient="portrait"/>
          <w:cols w:equalWidth="0" w:num="1">
            <w:col w:w="11240"/>
          </w:cols>
          <w:pgMar w:left="320" w:top="1330"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9"/>
          <w:szCs w:val="19"/>
          <w:color w:val="auto"/>
        </w:rPr>
        <w:t>THIS  OPTION  AGREEMENT  AND  THE  SECURITIES  ISSUABLE  UPON  EXERCISE  OF  THE  OPTIONS  HAVE  NOT  BEEN</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REGISTERED UNDER THE SECURITIES ACT OF 1933, AS AMENDED (THE “SECURITIES ACT”) OR SUCH APPLICABLE LAWS OF OTHER JURISDICTIONS, OR QUALIFIED UNDER ANY SECURITIES LAW OR ANY OTHER JURISDICTION, AND, SUBJECT</w:t>
      </w:r>
    </w:p>
    <w:p>
      <w:pPr>
        <w:spacing w:after="0" w:line="219" w:lineRule="auto"/>
        <w:rPr>
          <w:sz w:val="20"/>
          <w:szCs w:val="20"/>
          <w:color w:val="auto"/>
        </w:rPr>
      </w:pPr>
      <w:r>
        <w:rPr>
          <w:rFonts w:ascii="Times New Roman" w:cs="Times New Roman" w:eastAsia="Times New Roman" w:hAnsi="Times New Roman"/>
          <w:sz w:val="19"/>
          <w:szCs w:val="19"/>
          <w:color w:val="auto"/>
        </w:rPr>
        <w:t>TO THEIR TERMS, MAY NOT BE OFFERED, SOLD, TRANSFERRED, ASSIGNED, PLEDGED OR HYPOTHECATED UNLESS THERE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IS AN EFFECTIVE REGISTRATION STATEMENT UNDER THE SECURITIES ACT OR SUCH APPLICABLE LAWS OF OTHER JURISDICTIONS COVERING THIS AGREEMENT AND/OR SUCH SECURITIES, OR THE HOLDER RECEIVES AN OPINION OF</w:t>
      </w:r>
    </w:p>
    <w:p>
      <w:pPr>
        <w:spacing w:after="0" w:line="219" w:lineRule="auto"/>
        <w:rPr>
          <w:sz w:val="20"/>
          <w:szCs w:val="20"/>
          <w:color w:val="auto"/>
        </w:rPr>
      </w:pPr>
      <w:r>
        <w:rPr>
          <w:rFonts w:ascii="Times New Roman" w:cs="Times New Roman" w:eastAsia="Times New Roman" w:hAnsi="Times New Roman"/>
          <w:sz w:val="19"/>
          <w:szCs w:val="19"/>
          <w:color w:val="auto"/>
        </w:rPr>
        <w:t>COUNSEL SATISFACTORY TO THE COMPANY STATING THAT SUCH OFFERING, SALE, TRANSFER, ASSIGNMENT, PLEDGE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HYPOTHECATION IS EXEMPT FROM THE REGISTRATION AND PROSPECTUS DELIVERY REQUIREMENTS OF THE SECURITIES ACT AND THE QUALIFICATION REQUIREMENTS UNDER APPLICABLE LAW.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OPTION AGREEMENT</w:t>
      </w:r>
    </w:p>
    <w:p>
      <w:pPr>
        <w:spacing w:after="0" w:line="21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The Company has granted to the Grantee named in the Notice of Option Grant to which this Option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attached Options upon the terms and conditions set forth in the Notice and this Agreement. The Options have been granted pursuant to and shall in all</w:t>
      </w:r>
    </w:p>
    <w:p>
      <w:pPr>
        <w:ind w:right="20"/>
        <w:spacing w:after="0" w:line="235" w:lineRule="auto"/>
        <w:rPr>
          <w:sz w:val="20"/>
          <w:szCs w:val="20"/>
          <w:color w:val="auto"/>
        </w:rPr>
      </w:pPr>
      <w:r>
        <w:rPr>
          <w:rFonts w:ascii="Times New Roman" w:cs="Times New Roman" w:eastAsia="Times New Roman" w:hAnsi="Times New Roman"/>
          <w:sz w:val="19"/>
          <w:szCs w:val="19"/>
          <w:color w:val="auto"/>
        </w:rPr>
        <w:t>respects be subject to the terms and conditions of the Notice, this Agreement and the Plan, the provisions of which are incorporated herein by reference and made an integral part of this Agreement.</w:t>
      </w:r>
    </w:p>
    <w:p>
      <w:pPr>
        <w:spacing w:after="0" w:line="172"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9"/>
          <w:szCs w:val="19"/>
          <w:color w:val="auto"/>
        </w:rPr>
        <w:t>By signing this Agreement, the Grantee: (a) represents that the Grantee has received copies of, and has read and is familiar with the terms and conditions of, the Notice, the Plan and this Agreement, (b) accepts that the Options, the Shares issued upon the exercise thereof and/or any</w:t>
      </w:r>
    </w:p>
    <w:p>
      <w:pPr>
        <w:spacing w:after="0" w:line="210" w:lineRule="auto"/>
        <w:rPr>
          <w:sz w:val="20"/>
          <w:szCs w:val="20"/>
          <w:color w:val="auto"/>
        </w:rPr>
      </w:pPr>
      <w:r>
        <w:rPr>
          <w:rFonts w:ascii="Times New Roman" w:cs="Times New Roman" w:eastAsia="Times New Roman" w:hAnsi="Times New Roman"/>
          <w:sz w:val="19"/>
          <w:szCs w:val="19"/>
          <w:color w:val="auto"/>
        </w:rPr>
        <w:t>securities issued or distributed with respect thereto are subject to all of the terms and conditions of the Notice, the Plan, this Agreement, the Trust Agreement and any other documents ancillary hereto or thereto, and (c) agrees to accept as binding, conclusive and final all decisions and</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interpretations of the Board or the Committee upon any questions arising under the Notice, the Plan or this Agreement (whether before or after the issuance of Shares pursuant to the Options)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While certain terms and conditions are included in this Agreement, such terms and conditions</w:t>
      </w:r>
    </w:p>
    <w:p>
      <w:pPr>
        <w:spacing w:after="0" w:line="219" w:lineRule="auto"/>
        <w:rPr>
          <w:sz w:val="20"/>
          <w:szCs w:val="20"/>
          <w:color w:val="auto"/>
        </w:rPr>
      </w:pPr>
      <w:r>
        <w:rPr>
          <w:rFonts w:ascii="Times New Roman" w:cs="Times New Roman" w:eastAsia="Times New Roman" w:hAnsi="Times New Roman"/>
          <w:sz w:val="19"/>
          <w:szCs w:val="19"/>
          <w:color w:val="auto"/>
        </w:rPr>
        <w:t>shall not in any way derogate from the applicability of all other terms and conditions set forth in the Plan. The Grantee acknowledges that the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terms and conditions of the Plan may be amended from time to time as set forth therein, and therefore, any reference to the Plan shall be deemed to refer to the Plan as amended from time to time, including any amendments adopted after the date of grant. Unless otherwise stated, in the</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event of any inconsistency or contradiction between any of the terms of this Agreement and the provisions of the Plan, the terms and provisions of this Agreement shall prevail.</w:t>
      </w:r>
    </w:p>
    <w:p>
      <w:pPr>
        <w:spacing w:after="0" w:line="36" w:lineRule="exact"/>
        <w:rPr>
          <w:sz w:val="20"/>
          <w:szCs w:val="20"/>
          <w:color w:val="auto"/>
        </w:rPr>
      </w:pPr>
    </w:p>
    <w:p>
      <w:pPr>
        <w:jc w:val="both"/>
        <w:ind w:right="620" w:firstLine="6"/>
        <w:spacing w:after="0" w:line="227" w:lineRule="auto"/>
        <w:tabs>
          <w:tab w:leader="none" w:pos="445"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Disposition of Options</w:t>
      </w:r>
      <w:r>
        <w:rPr>
          <w:rFonts w:ascii="Times New Roman" w:cs="Times New Roman" w:eastAsia="Times New Roman" w:hAnsi="Times New Roman"/>
          <w:sz w:val="19"/>
          <w:szCs w:val="19"/>
          <w:color w:val="auto"/>
        </w:rPr>
        <w:t>. The Options shall not be sold, pledged or otherwise transferred (whether by operation of law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including, without limitation, transfers pursuant to any decree of divorce, dissolution or separate maintenance, any property settlement, any separation agreement or any other agreement with a spouse), and shall not be subject to sale under execution, attachment, levy or similar process (each of the foregoing, a “</w:t>
      </w:r>
      <w:r>
        <w:rPr>
          <w:rFonts w:ascii="Times New Roman" w:cs="Times New Roman" w:eastAsia="Times New Roman" w:hAnsi="Times New Roman"/>
          <w:sz w:val="19"/>
          <w:szCs w:val="19"/>
          <w:b w:val="1"/>
          <w:bCs w:val="1"/>
          <w:color w:val="auto"/>
        </w:rPr>
        <w:t>Transfer</w:t>
      </w:r>
      <w:r>
        <w:rPr>
          <w:rFonts w:ascii="Times New Roman" w:cs="Times New Roman" w:eastAsia="Times New Roman" w:hAnsi="Times New Roman"/>
          <w:sz w:val="19"/>
          <w:szCs w:val="19"/>
          <w:color w:val="auto"/>
        </w:rPr>
        <w:t>”) other than by will or by the laws of descent and distribution unless otherwise determined by the Committee or under the Plan.</w:t>
      </w:r>
    </w:p>
    <w:p>
      <w:pPr>
        <w:spacing w:after="0" w:line="52" w:lineRule="exact"/>
        <w:rPr>
          <w:rFonts w:ascii="Times New Roman" w:cs="Times New Roman" w:eastAsia="Times New Roman" w:hAnsi="Times New Roman"/>
          <w:sz w:val="19"/>
          <w:szCs w:val="19"/>
          <w:color w:val="auto"/>
        </w:rPr>
      </w:pPr>
    </w:p>
    <w:p>
      <w:pPr>
        <w:ind w:left="340" w:hanging="334"/>
        <w:spacing w:after="0"/>
        <w:tabs>
          <w:tab w:leader="none" w:pos="34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Issuance and Disposition of Shares</w:t>
      </w:r>
      <w:r>
        <w:rPr>
          <w:rFonts w:ascii="Times New Roman" w:cs="Times New Roman" w:eastAsia="Times New Roman" w:hAnsi="Times New Roman"/>
          <w:sz w:val="19"/>
          <w:szCs w:val="19"/>
          <w:color w:val="auto"/>
        </w:rPr>
        <w:t>.</w:t>
      </w:r>
    </w:p>
    <w:p>
      <w:pPr>
        <w:spacing w:after="0" w:line="77" w:lineRule="exact"/>
        <w:rPr>
          <w:sz w:val="20"/>
          <w:szCs w:val="20"/>
          <w:color w:val="auto"/>
        </w:rPr>
      </w:pPr>
    </w:p>
    <w:p>
      <w:pPr>
        <w:ind w:right="1380" w:firstLine="625"/>
        <w:spacing w:after="0" w:line="230"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Legal Compliance</w:t>
      </w:r>
      <w:r>
        <w:rPr>
          <w:rFonts w:ascii="Times New Roman" w:cs="Times New Roman" w:eastAsia="Times New Roman" w:hAnsi="Times New Roman"/>
          <w:sz w:val="19"/>
          <w:szCs w:val="19"/>
          <w:color w:val="auto"/>
        </w:rPr>
        <w:t>. The Company shall have no obligations to issue Shares pursuant to the exercise or settlement of Options and Options may not be exercised or settled (even if vested), if the issuance of Shares upon exercise or</w:t>
      </w:r>
    </w:p>
    <w:p>
      <w:pPr>
        <w:ind w:right="1380"/>
        <w:spacing w:after="0" w:line="210" w:lineRule="auto"/>
        <w:rPr>
          <w:sz w:val="20"/>
          <w:szCs w:val="20"/>
          <w:color w:val="auto"/>
        </w:rPr>
      </w:pPr>
      <w:r>
        <w:rPr>
          <w:rFonts w:ascii="Times New Roman" w:cs="Times New Roman" w:eastAsia="Times New Roman" w:hAnsi="Times New Roman"/>
          <w:sz w:val="19"/>
          <w:szCs w:val="19"/>
          <w:color w:val="auto"/>
        </w:rPr>
        <w:t>settlement would constitute a violation of any Applicable Laws as determined by the Company, including, applicable federal, state or foreign securities laws or other law or regulations or the requirements of any stock exchange or market system upon</w:t>
      </w:r>
    </w:p>
    <w:p>
      <w:pPr>
        <w:spacing w:after="0" w:line="219" w:lineRule="auto"/>
        <w:rPr>
          <w:sz w:val="20"/>
          <w:szCs w:val="20"/>
          <w:color w:val="auto"/>
        </w:rPr>
      </w:pPr>
      <w:r>
        <w:rPr>
          <w:rFonts w:ascii="Times New Roman" w:cs="Times New Roman" w:eastAsia="Times New Roman" w:hAnsi="Times New Roman"/>
          <w:sz w:val="19"/>
          <w:szCs w:val="19"/>
          <w:color w:val="auto"/>
        </w:rPr>
        <w:t>which the Shares may then be listed. THE GRANTEE IS CAUTIONED THAT THE OPTIONS MAY NOT BE EXERCISED</w:t>
      </w:r>
    </w:p>
    <w:p>
      <w:pPr>
        <w:spacing w:after="0" w:line="1" w:lineRule="exact"/>
        <w:rPr>
          <w:sz w:val="20"/>
          <w:szCs w:val="20"/>
          <w:color w:val="auto"/>
        </w:rPr>
      </w:pPr>
    </w:p>
    <w:p>
      <w:pPr>
        <w:ind w:right="1380"/>
        <w:spacing w:after="0" w:line="210" w:lineRule="auto"/>
        <w:rPr>
          <w:sz w:val="20"/>
          <w:szCs w:val="20"/>
          <w:color w:val="auto"/>
        </w:rPr>
      </w:pPr>
      <w:r>
        <w:rPr>
          <w:rFonts w:ascii="Times New Roman" w:cs="Times New Roman" w:eastAsia="Times New Roman" w:hAnsi="Times New Roman"/>
          <w:sz w:val="19"/>
          <w:szCs w:val="19"/>
          <w:color w:val="auto"/>
        </w:rPr>
        <w:t>UNLESS THE FOREGOING CONDITIONS AND THOSE SET FORTH IN THE PLAN ARE SATISFIED. ACCORDINGLY, THE OPTIONEE MAY NOT BE ABLE TO EXERCISE THE OPTIONS WHEN DESIRED EVEN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THOUGH THE OPTION IS VESTED.</w:t>
      </w:r>
    </w:p>
    <w:p>
      <w:pPr>
        <w:spacing w:after="0" w:line="64" w:lineRule="exact"/>
        <w:rPr>
          <w:sz w:val="20"/>
          <w:szCs w:val="20"/>
          <w:color w:val="auto"/>
        </w:rPr>
      </w:pPr>
    </w:p>
    <w:p>
      <w:pPr>
        <w:ind w:right="1380" w:firstLine="625"/>
        <w:spacing w:after="0" w:line="222"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Provisions Governing Shares</w:t>
      </w:r>
      <w:r>
        <w:rPr>
          <w:rFonts w:ascii="Times New Roman" w:cs="Times New Roman" w:eastAsia="Times New Roman" w:hAnsi="Times New Roman"/>
          <w:sz w:val="19"/>
          <w:szCs w:val="19"/>
          <w:color w:val="auto"/>
        </w:rPr>
        <w:t>. Shares issued upon exercise of Options shall be subject to the restrictions referred to in Section 16 of the Plan (Conditions upon Issuance of Shares; Governing Provisions) and in this Agreement, the Charter</w:t>
      </w:r>
    </w:p>
    <w:p>
      <w:pPr>
        <w:spacing w:after="0" w:line="219" w:lineRule="auto"/>
        <w:rPr>
          <w:sz w:val="20"/>
          <w:szCs w:val="20"/>
          <w:color w:val="auto"/>
        </w:rPr>
      </w:pPr>
      <w:r>
        <w:rPr>
          <w:rFonts w:ascii="Times New Roman" w:cs="Times New Roman" w:eastAsia="Times New Roman" w:hAnsi="Times New Roman"/>
          <w:sz w:val="19"/>
          <w:szCs w:val="19"/>
          <w:color w:val="auto"/>
        </w:rPr>
        <w:t>Documents, any limitation, restriction or obligation included in any stockholders agreement applicable to all or substantially</w:t>
      </w:r>
    </w:p>
    <w:p>
      <w:pPr>
        <w:spacing w:after="0" w:line="1" w:lineRule="exact"/>
        <w:rPr>
          <w:sz w:val="20"/>
          <w:szCs w:val="20"/>
          <w:color w:val="auto"/>
        </w:rPr>
      </w:pPr>
    </w:p>
    <w:p>
      <w:pPr>
        <w:ind w:right="1380"/>
        <w:spacing w:after="0" w:line="210" w:lineRule="auto"/>
        <w:rPr>
          <w:sz w:val="20"/>
          <w:szCs w:val="20"/>
          <w:color w:val="auto"/>
        </w:rPr>
      </w:pPr>
      <w:r>
        <w:rPr>
          <w:rFonts w:ascii="Times New Roman" w:cs="Times New Roman" w:eastAsia="Times New Roman" w:hAnsi="Times New Roman"/>
          <w:sz w:val="19"/>
          <w:szCs w:val="19"/>
          <w:color w:val="auto"/>
        </w:rPr>
        <w:t>all of the holders of Shares (regardless of whether or not the Grantee is a formal party to such stockholders agreement), any other governing documents of the Company, and all policies, manuals and internal regulations adopted by the Company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 to time, in each case,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- 3 -</w:t>
      </w:r>
    </w:p>
    <w:p>
      <w:pPr>
        <w:sectPr>
          <w:pgSz w:w="11900" w:h="16838" w:orient="portrait"/>
          <w:cols w:equalWidth="0" w:num="1">
            <w:col w:w="11240"/>
          </w:cols>
          <w:pgMar w:left="320" w:top="1057"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9"/>
          <w:szCs w:val="19"/>
          <w:color w:val="auto"/>
        </w:rPr>
        <w:t>amended from time to time, including, without limitation, any provisions included therein concerning restrictions or</w:t>
      </w:r>
    </w:p>
    <w:p>
      <w:pPr>
        <w:spacing w:after="0" w:line="2"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limitations on disposition of Shares (such as, but not limited to, right of first refusal and lock-up/market stand-off) or grant of any rights with respect thereto, forced sale and bring along provisions, any provisions concerning a restrictions on the use of</w:t>
      </w:r>
    </w:p>
    <w:p>
      <w:pPr>
        <w:spacing w:after="0" w:line="219" w:lineRule="auto"/>
        <w:rPr>
          <w:sz w:val="20"/>
          <w:szCs w:val="20"/>
          <w:color w:val="auto"/>
        </w:rPr>
      </w:pPr>
      <w:r>
        <w:rPr>
          <w:rFonts w:ascii="Times New Roman" w:cs="Times New Roman" w:eastAsia="Times New Roman" w:hAnsi="Times New Roman"/>
          <w:sz w:val="19"/>
          <w:szCs w:val="19"/>
          <w:color w:val="auto"/>
        </w:rPr>
        <w:t>inside information and other provisions deemed by the Company to be appropriate in order to ensure compliance with</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Applicable Laws and with the requirements of any transaction entered into or proposed to be entered into by the Company. By exercising an Option the Grantee is deemed to have undertaken to comply with all the foregoing provisions. The Grantee shall</w:t>
      </w:r>
    </w:p>
    <w:p>
      <w:pPr>
        <w:spacing w:after="0" w:line="219" w:lineRule="auto"/>
        <w:rPr>
          <w:sz w:val="20"/>
          <w:szCs w:val="20"/>
          <w:color w:val="auto"/>
        </w:rPr>
      </w:pPr>
      <w:r>
        <w:rPr>
          <w:rFonts w:ascii="Times New Roman" w:cs="Times New Roman" w:eastAsia="Times New Roman" w:hAnsi="Times New Roman"/>
          <w:sz w:val="19"/>
          <w:szCs w:val="19"/>
          <w:color w:val="auto"/>
        </w:rPr>
        <w:t>execute (and authorizes any person designated by the Company to so execute, as well as (if applicable) the Trustee holding</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any Shears for the Grantee’s behalf) such separate agreement(s) as may be requested by the Company relating to matters set forth in or otherwise for the purpose of implementing this Section 2.2. The execution of such separate agreement(s) may be a</w:t>
      </w:r>
    </w:p>
    <w:p>
      <w:pPr>
        <w:spacing w:after="0" w:line="219" w:lineRule="auto"/>
        <w:rPr>
          <w:sz w:val="20"/>
          <w:szCs w:val="20"/>
          <w:color w:val="auto"/>
        </w:rPr>
      </w:pPr>
      <w:r>
        <w:rPr>
          <w:rFonts w:ascii="Times New Roman" w:cs="Times New Roman" w:eastAsia="Times New Roman" w:hAnsi="Times New Roman"/>
          <w:sz w:val="19"/>
          <w:szCs w:val="19"/>
          <w:color w:val="auto"/>
        </w:rPr>
        <w:t>condition by the Company to the exercise of any Award and the Company (and, if applicable, the Trustee) may exercise its</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authorization above and sign such agreement on behalf of the Grantee or subject the Grantee to the provisions of such agreements. Without limitation of the foregoing, the proxy pursuant to this Agreement includes an authorization of the 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such proxy to sign, by and on behalf of any Grantee, such documents and agreements.</w:t>
      </w:r>
    </w:p>
    <w:p>
      <w:pPr>
        <w:spacing w:after="0" w:line="64" w:lineRule="exact"/>
        <w:rPr>
          <w:sz w:val="20"/>
          <w:szCs w:val="20"/>
          <w:color w:val="auto"/>
        </w:rPr>
      </w:pPr>
    </w:p>
    <w:p>
      <w:pPr>
        <w:ind w:right="279" w:firstLine="625"/>
        <w:spacing w:after="0" w:line="222" w:lineRule="auto"/>
        <w:rPr>
          <w:sz w:val="20"/>
          <w:szCs w:val="20"/>
          <w:color w:val="auto"/>
        </w:rPr>
      </w:pPr>
      <w:r>
        <w:rPr>
          <w:rFonts w:ascii="Times New Roman" w:cs="Times New Roman" w:eastAsia="Times New Roman" w:hAnsi="Times New Roman"/>
          <w:sz w:val="19"/>
          <w:szCs w:val="19"/>
          <w:color w:val="auto"/>
        </w:rPr>
        <w:t xml:space="preserve">2.3. </w:t>
      </w:r>
      <w:r>
        <w:rPr>
          <w:rFonts w:ascii="Times New Roman" w:cs="Times New Roman" w:eastAsia="Times New Roman" w:hAnsi="Times New Roman"/>
          <w:sz w:val="19"/>
          <w:szCs w:val="19"/>
          <w:u w:val="single" w:color="auto"/>
          <w:color w:val="auto"/>
        </w:rPr>
        <w:t>Forced Sale</w:t>
      </w:r>
      <w:r>
        <w:rPr>
          <w:rFonts w:ascii="Times New Roman" w:cs="Times New Roman" w:eastAsia="Times New Roman" w:hAnsi="Times New Roman"/>
          <w:sz w:val="19"/>
          <w:szCs w:val="19"/>
          <w:color w:val="auto"/>
        </w:rPr>
        <w:t>. In the event that the Board approves a Merger/Sale effected by way of a forced or compulsory sale (whether pursuant to the Charter Documents or pursuant to any Stockholder Agreement), then, without derogating from such</w:t>
      </w:r>
    </w:p>
    <w:p>
      <w:pPr>
        <w:spacing w:after="0" w:line="219" w:lineRule="auto"/>
        <w:rPr>
          <w:sz w:val="20"/>
          <w:szCs w:val="20"/>
          <w:color w:val="auto"/>
        </w:rPr>
      </w:pPr>
      <w:r>
        <w:rPr>
          <w:rFonts w:ascii="Times New Roman" w:cs="Times New Roman" w:eastAsia="Times New Roman" w:hAnsi="Times New Roman"/>
          <w:sz w:val="19"/>
          <w:szCs w:val="19"/>
          <w:color w:val="auto"/>
        </w:rPr>
        <w:t>provisions and in addition thereto, the Grantee agrees to the offer to effect the Merger/Sale on the terms approved by the Board</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(and that the Shares held by or for the benefit of the Grantee shall be included in the share capital of the Company approving the terms of such Merger/Sale for the purpose of satisfying the required majority), and to sell all of the Shares held by or for</w:t>
      </w:r>
    </w:p>
    <w:p>
      <w:pPr>
        <w:spacing w:after="0" w:line="1" w:lineRule="exact"/>
        <w:rPr>
          <w:sz w:val="20"/>
          <w:szCs w:val="20"/>
          <w:color w:val="auto"/>
        </w:rPr>
      </w:pPr>
    </w:p>
    <w:p>
      <w:pPr>
        <w:jc w:val="both"/>
        <w:ind w:right="279"/>
        <w:spacing w:after="0" w:line="210" w:lineRule="auto"/>
        <w:rPr>
          <w:sz w:val="20"/>
          <w:szCs w:val="20"/>
          <w:color w:val="auto"/>
        </w:rPr>
      </w:pPr>
      <w:r>
        <w:rPr>
          <w:rFonts w:ascii="Times New Roman" w:cs="Times New Roman" w:eastAsia="Times New Roman" w:hAnsi="Times New Roman"/>
          <w:sz w:val="19"/>
          <w:szCs w:val="19"/>
          <w:color w:val="auto"/>
        </w:rPr>
        <w:t>the benefit of the Grantee on the terms and conditions applying to the holders of Shares, in accordance with the instructions then issued by the Board, whose determination shall be final. The Grantee agrees not to contest, bring any claims or demands,</w:t>
      </w:r>
    </w:p>
    <w:p>
      <w:pPr>
        <w:spacing w:after="0" w:line="219" w:lineRule="auto"/>
        <w:rPr>
          <w:sz w:val="20"/>
          <w:szCs w:val="20"/>
          <w:color w:val="auto"/>
        </w:rPr>
      </w:pPr>
      <w:r>
        <w:rPr>
          <w:rFonts w:ascii="Times New Roman" w:cs="Times New Roman" w:eastAsia="Times New Roman" w:hAnsi="Times New Roman"/>
          <w:sz w:val="19"/>
          <w:szCs w:val="19"/>
          <w:color w:val="auto"/>
        </w:rPr>
        <w:t>or exercise any appraisal rights related to any of the foregoing. The Grantee shall execute (and authorizes any person</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designated by the Company to so execute, as well as (if applicable) the Trustee holding any Shears for the Grantee’s behalf) such documents and agreements, as may be requested by the Company relating to matters set forth in or otherwise for the</w:t>
      </w:r>
    </w:p>
    <w:p>
      <w:pPr>
        <w:spacing w:after="0" w:line="219" w:lineRule="auto"/>
        <w:rPr>
          <w:sz w:val="20"/>
          <w:szCs w:val="20"/>
          <w:color w:val="auto"/>
        </w:rPr>
      </w:pPr>
      <w:r>
        <w:rPr>
          <w:rFonts w:ascii="Times New Roman" w:cs="Times New Roman" w:eastAsia="Times New Roman" w:hAnsi="Times New Roman"/>
          <w:sz w:val="19"/>
          <w:szCs w:val="19"/>
          <w:color w:val="auto"/>
        </w:rPr>
        <w:t>purpose of implementing this Section 2.3 The execution of such separate agreement(s) may be a condition by the Company to</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the exercise of any Award and the Company (and, if applicable, the Trustee) may exercise its authorization above and sign such agreement on behalf of the Grantee or subject the Grantee to the provisions of such agreements. Without limitation of the</w:t>
      </w:r>
    </w:p>
    <w:p>
      <w:pPr>
        <w:spacing w:after="0" w:line="219" w:lineRule="auto"/>
        <w:rPr>
          <w:sz w:val="20"/>
          <w:szCs w:val="20"/>
          <w:color w:val="auto"/>
        </w:rPr>
      </w:pPr>
      <w:r>
        <w:rPr>
          <w:rFonts w:ascii="Times New Roman" w:cs="Times New Roman" w:eastAsia="Times New Roman" w:hAnsi="Times New Roman"/>
          <w:sz w:val="19"/>
          <w:szCs w:val="19"/>
          <w:color w:val="auto"/>
        </w:rPr>
        <w:t>foregoing, the proxy pursuant to this Agreement includes an authorization of the holder of such proxy to sign, by and on</w:t>
      </w:r>
    </w:p>
    <w:p>
      <w:pPr>
        <w:spacing w:after="0" w:line="1" w:lineRule="exact"/>
        <w:rPr>
          <w:sz w:val="20"/>
          <w:szCs w:val="20"/>
          <w:color w:val="auto"/>
        </w:rPr>
      </w:pPr>
    </w:p>
    <w:p>
      <w:pPr>
        <w:ind w:right="279"/>
        <w:spacing w:after="0" w:line="228" w:lineRule="auto"/>
        <w:rPr>
          <w:sz w:val="20"/>
          <w:szCs w:val="20"/>
          <w:color w:val="auto"/>
        </w:rPr>
      </w:pPr>
      <w:r>
        <w:rPr>
          <w:rFonts w:ascii="Times New Roman" w:cs="Times New Roman" w:eastAsia="Times New Roman" w:hAnsi="Times New Roman"/>
          <w:sz w:val="19"/>
          <w:szCs w:val="19"/>
          <w:color w:val="auto"/>
        </w:rPr>
        <w:t>behalf of any Grantee, such documents and agreements as are required to affect the sale of Shares and otherwise in connection with such Merger/Sale and waivers of any contest, claims, demands or any appraisal rights.</w:t>
      </w:r>
    </w:p>
    <w:p>
      <w:pPr>
        <w:spacing w:after="0" w:line="53"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As a material precondition to the Company’s grant of Options and issuance of any Shares under the</w:t>
      </w:r>
    </w:p>
    <w:p>
      <w:pPr>
        <w:spacing w:after="0" w:line="2"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Plan, the Grantee hereby irrevocably waives any right of first refusal, pre-emptive, co-sale, participation rights or other similar rights with respect to any prior or future Transfer of any shares of stock in the Company by other stockholders or the issuance</w:t>
      </w:r>
    </w:p>
    <w:p>
      <w:pPr>
        <w:spacing w:after="0" w:line="219" w:lineRule="auto"/>
        <w:rPr>
          <w:sz w:val="20"/>
          <w:szCs w:val="20"/>
          <w:color w:val="auto"/>
        </w:rPr>
      </w:pPr>
      <w:r>
        <w:rPr>
          <w:rFonts w:ascii="Times New Roman" w:cs="Times New Roman" w:eastAsia="Times New Roman" w:hAnsi="Times New Roman"/>
          <w:sz w:val="19"/>
          <w:szCs w:val="19"/>
          <w:color w:val="auto"/>
        </w:rPr>
        <w:t>of securities by the Company, if such right was so provided in any agreement between the Company and any of its</w:t>
      </w:r>
    </w:p>
    <w:p>
      <w:pPr>
        <w:spacing w:after="0" w:line="1" w:lineRule="exact"/>
        <w:rPr>
          <w:sz w:val="20"/>
          <w:szCs w:val="20"/>
          <w:color w:val="auto"/>
        </w:rPr>
      </w:pPr>
    </w:p>
    <w:p>
      <w:pPr>
        <w:ind w:right="279"/>
        <w:spacing w:after="0" w:line="228" w:lineRule="auto"/>
        <w:rPr>
          <w:sz w:val="20"/>
          <w:szCs w:val="20"/>
          <w:color w:val="auto"/>
        </w:rPr>
      </w:pPr>
      <w:r>
        <w:rPr>
          <w:rFonts w:ascii="Times New Roman" w:cs="Times New Roman" w:eastAsia="Times New Roman" w:hAnsi="Times New Roman"/>
          <w:sz w:val="19"/>
          <w:szCs w:val="19"/>
          <w:color w:val="auto"/>
        </w:rPr>
        <w:t>stockholders, in the Certificate of Incorporation, Bylaws or in any other governing document of the Company. The Grantee acknowledges and agrees that the Company and its stockholders are entitled to rely on this irrevocable waiver.</w:t>
      </w:r>
    </w:p>
    <w:p>
      <w:pPr>
        <w:spacing w:after="0" w:line="5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19"/>
          <w:szCs w:val="19"/>
          <w:color w:val="auto"/>
        </w:rPr>
        <w:t>2.5.</w:t>
      </w:r>
      <w:r>
        <w:rPr>
          <w:sz w:val="20"/>
          <w:szCs w:val="20"/>
          <w:color w:val="auto"/>
        </w:rPr>
        <w:tab/>
      </w:r>
      <w:r>
        <w:rPr>
          <w:rFonts w:ascii="Times New Roman" w:cs="Times New Roman" w:eastAsia="Times New Roman" w:hAnsi="Times New Roman"/>
          <w:sz w:val="19"/>
          <w:szCs w:val="19"/>
          <w:u w:val="single" w:color="auto"/>
          <w:color w:val="auto"/>
        </w:rPr>
        <w:t>Additional or Substituted Securities</w:t>
      </w:r>
      <w:r>
        <w:rPr>
          <w:rFonts w:ascii="Times New Roman" w:cs="Times New Roman" w:eastAsia="Times New Roman" w:hAnsi="Times New Roman"/>
          <w:sz w:val="19"/>
          <w:szCs w:val="19"/>
          <w:color w:val="auto"/>
        </w:rPr>
        <w:t>. In the event that in connection with the declaration of a stock dividend</w:t>
      </w:r>
    </w:p>
    <w:p>
      <w:pPr>
        <w:spacing w:after="0" w:line="2"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(bonus shares), a stock split, a reverse stock split, a reorganization (which may include a combination or exchange of shares), a consolidation, a spin-off or other corporate divestiture or division, a recapitalization, a reclassification or other similar</w:t>
      </w:r>
    </w:p>
    <w:p>
      <w:pPr>
        <w:spacing w:after="0" w:line="219" w:lineRule="auto"/>
        <w:rPr>
          <w:sz w:val="20"/>
          <w:szCs w:val="20"/>
          <w:color w:val="auto"/>
        </w:rPr>
      </w:pPr>
      <w:r>
        <w:rPr>
          <w:rFonts w:ascii="Times New Roman" w:cs="Times New Roman" w:eastAsia="Times New Roman" w:hAnsi="Times New Roman"/>
          <w:sz w:val="19"/>
          <w:szCs w:val="19"/>
          <w:color w:val="auto"/>
        </w:rPr>
        <w:t>occurrence affecting the Company’s outstanding securities without receipt of consideration (or in consideration for the par</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value, if the shares bear par value), any new, substituted or additional securities or other property (other than cash dividend) are distributed by reason of such occurrence with respect to any Shares which are subject to this Section 2, or into which such</w:t>
      </w:r>
    </w:p>
    <w:p>
      <w:pPr>
        <w:spacing w:after="0" w:line="219" w:lineRule="auto"/>
        <w:rPr>
          <w:sz w:val="20"/>
          <w:szCs w:val="20"/>
          <w:color w:val="auto"/>
        </w:rPr>
      </w:pPr>
      <w:r>
        <w:rPr>
          <w:rFonts w:ascii="Times New Roman" w:cs="Times New Roman" w:eastAsia="Times New Roman" w:hAnsi="Times New Roman"/>
          <w:sz w:val="19"/>
          <w:szCs w:val="19"/>
          <w:color w:val="auto"/>
        </w:rPr>
        <w:t>Shares thereby become convertible, then such substituted or additional securities or other property (if distributed) shall</w:t>
      </w:r>
    </w:p>
    <w:p>
      <w:pPr>
        <w:spacing w:after="0" w:line="1" w:lineRule="exact"/>
        <w:rPr>
          <w:sz w:val="20"/>
          <w:szCs w:val="20"/>
          <w:color w:val="auto"/>
        </w:rPr>
      </w:pPr>
    </w:p>
    <w:p>
      <w:pPr>
        <w:ind w:right="279"/>
        <w:spacing w:after="0" w:line="228" w:lineRule="auto"/>
        <w:rPr>
          <w:sz w:val="20"/>
          <w:szCs w:val="20"/>
          <w:color w:val="auto"/>
        </w:rPr>
      </w:pPr>
      <w:r>
        <w:rPr>
          <w:rFonts w:ascii="Times New Roman" w:cs="Times New Roman" w:eastAsia="Times New Roman" w:hAnsi="Times New Roman"/>
          <w:sz w:val="19"/>
          <w:szCs w:val="19"/>
          <w:color w:val="auto"/>
        </w:rPr>
        <w:t>immediately be subject to this Section 2. Any adjustments to reflect the distribution of such securities or other property shall be conclusively determined by the Company. The terms and conditions contained herein and in the Plan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- 4 -</w:t>
      </w:r>
    </w:p>
    <w:p>
      <w:pPr>
        <w:sectPr>
          <w:pgSz w:w="11900" w:h="16838" w:orient="portrait"/>
          <w:cols w:equalWidth="0" w:num="1">
            <w:col w:w="10139"/>
          </w:cols>
          <w:pgMar w:left="320" w:top="1162" w:right="1440" w:bottom="1440" w:gutter="0" w:footer="0" w:header="0"/>
        </w:sectPr>
      </w:pPr>
    </w:p>
    <w:bookmarkStart w:id="198" w:name="page199"/>
    <w:bookmarkEnd w:id="198"/>
    <w:p>
      <w:pPr>
        <w:jc w:val="both"/>
        <w:ind w:right="279"/>
        <w:spacing w:after="0" w:line="255" w:lineRule="auto"/>
        <w:rPr>
          <w:sz w:val="20"/>
          <w:szCs w:val="20"/>
          <w:color w:val="auto"/>
        </w:rPr>
      </w:pPr>
      <w:r>
        <w:rPr>
          <w:rFonts w:ascii="Times New Roman" w:cs="Times New Roman" w:eastAsia="Times New Roman" w:hAnsi="Times New Roman"/>
          <w:sz w:val="19"/>
          <w:szCs w:val="19"/>
          <w:color w:val="auto"/>
        </w:rPr>
        <w:t>the Option and/or the Shares shall apply to any new, substituted or additional securities or other property resulting from the above adjustments.</w:t>
      </w:r>
    </w:p>
    <w:p>
      <w:pPr>
        <w:spacing w:after="0" w:line="25" w:lineRule="exact"/>
        <w:rPr>
          <w:sz w:val="20"/>
          <w:szCs w:val="20"/>
          <w:color w:val="auto"/>
        </w:rPr>
      </w:pPr>
    </w:p>
    <w:p>
      <w:pPr>
        <w:jc w:val="both"/>
        <w:ind w:right="279" w:firstLine="625"/>
        <w:spacing w:after="0" w:line="237" w:lineRule="auto"/>
        <w:rPr>
          <w:sz w:val="20"/>
          <w:szCs w:val="20"/>
          <w:color w:val="auto"/>
        </w:rPr>
      </w:pPr>
      <w:r>
        <w:rPr>
          <w:rFonts w:ascii="Times New Roman" w:cs="Times New Roman" w:eastAsia="Times New Roman" w:hAnsi="Times New Roman"/>
          <w:sz w:val="19"/>
          <w:szCs w:val="19"/>
          <w:color w:val="auto"/>
        </w:rPr>
        <w:t xml:space="preserve">2.6. </w:t>
      </w:r>
      <w:r>
        <w:rPr>
          <w:rFonts w:ascii="Times New Roman" w:cs="Times New Roman" w:eastAsia="Times New Roman" w:hAnsi="Times New Roman"/>
          <w:sz w:val="19"/>
          <w:szCs w:val="19"/>
          <w:u w:val="single" w:color="auto"/>
          <w:color w:val="auto"/>
        </w:rPr>
        <w:t>Market Stand-Off</w:t>
      </w:r>
      <w:r>
        <w:rPr>
          <w:rFonts w:ascii="Times New Roman" w:cs="Times New Roman" w:eastAsia="Times New Roman" w:hAnsi="Times New Roman"/>
          <w:sz w:val="19"/>
          <w:szCs w:val="19"/>
          <w:color w:val="auto"/>
        </w:rPr>
        <w:t xml:space="preserve">. As a material precondition to the grant of Options and the issuance of any Shares in accordance with the Plan, and without limitation of Section 17 of the Plan, the Grantee hereby executes a market stand-off undertaking in the form attached hereto as </w:t>
      </w:r>
      <w:r>
        <w:rPr>
          <w:rFonts w:ascii="Times New Roman" w:cs="Times New Roman" w:eastAsia="Times New Roman" w:hAnsi="Times New Roman"/>
          <w:sz w:val="19"/>
          <w:szCs w:val="19"/>
          <w:b w:val="1"/>
          <w:bCs w:val="1"/>
          <w:u w:val="single" w:color="auto"/>
          <w:color w:val="auto"/>
        </w:rPr>
        <w:t>Exhibit B</w:t>
      </w:r>
      <w:r>
        <w:rPr>
          <w:rFonts w:ascii="Times New Roman" w:cs="Times New Roman" w:eastAsia="Times New Roman" w:hAnsi="Times New Roman"/>
          <w:sz w:val="19"/>
          <w:szCs w:val="19"/>
          <w:color w:val="auto"/>
        </w:rPr>
        <w:t>.</w:t>
      </w:r>
    </w:p>
    <w:p>
      <w:pPr>
        <w:spacing w:after="0" w:line="41" w:lineRule="exact"/>
        <w:rPr>
          <w:sz w:val="20"/>
          <w:szCs w:val="20"/>
          <w:color w:val="auto"/>
        </w:rPr>
      </w:pPr>
    </w:p>
    <w:p>
      <w:pPr>
        <w:jc w:val="both"/>
        <w:ind w:right="279" w:firstLine="625"/>
        <w:spacing w:after="0" w:line="230" w:lineRule="auto"/>
        <w:rPr>
          <w:sz w:val="20"/>
          <w:szCs w:val="20"/>
          <w:color w:val="auto"/>
        </w:rPr>
      </w:pPr>
      <w:r>
        <w:rPr>
          <w:rFonts w:ascii="Times New Roman" w:cs="Times New Roman" w:eastAsia="Times New Roman" w:hAnsi="Times New Roman"/>
          <w:sz w:val="19"/>
          <w:szCs w:val="19"/>
          <w:color w:val="auto"/>
        </w:rPr>
        <w:t xml:space="preserve">2.7. </w:t>
      </w:r>
      <w:r>
        <w:rPr>
          <w:rFonts w:ascii="Times New Roman" w:cs="Times New Roman" w:eastAsia="Times New Roman" w:hAnsi="Times New Roman"/>
          <w:sz w:val="19"/>
          <w:szCs w:val="19"/>
          <w:u w:val="single" w:color="auto"/>
          <w:color w:val="auto"/>
        </w:rPr>
        <w:t>Data Privacy; Data Transfer</w:t>
      </w:r>
      <w:r>
        <w:rPr>
          <w:rFonts w:ascii="Times New Roman" w:cs="Times New Roman" w:eastAsia="Times New Roman" w:hAnsi="Times New Roman"/>
          <w:sz w:val="19"/>
          <w:szCs w:val="19"/>
          <w:color w:val="auto"/>
        </w:rPr>
        <w:t>. Information related to the Grantee and Award(s) hereunder, as shall be received from Grantee or others, and/or held by, the Company or its Affiliates from time to time, and which information may include</w:t>
      </w:r>
    </w:p>
    <w:p>
      <w:pPr>
        <w:jc w:val="both"/>
        <w:ind w:right="279"/>
        <w:spacing w:after="0" w:line="210" w:lineRule="auto"/>
        <w:rPr>
          <w:sz w:val="20"/>
          <w:szCs w:val="20"/>
          <w:color w:val="auto"/>
        </w:rPr>
      </w:pPr>
      <w:r>
        <w:rPr>
          <w:rFonts w:ascii="Times New Roman" w:cs="Times New Roman" w:eastAsia="Times New Roman" w:hAnsi="Times New Roman"/>
          <w:sz w:val="19"/>
          <w:szCs w:val="19"/>
          <w:color w:val="auto"/>
        </w:rPr>
        <w:t>sensitive and personal information related to the Grantee (“</w:t>
      </w:r>
      <w:r>
        <w:rPr>
          <w:rFonts w:ascii="Times New Roman" w:cs="Times New Roman" w:eastAsia="Times New Roman" w:hAnsi="Times New Roman"/>
          <w:sz w:val="19"/>
          <w:szCs w:val="19"/>
          <w:b w:val="1"/>
          <w:bCs w:val="1"/>
          <w:color w:val="auto"/>
        </w:rPr>
        <w:t>Information</w:t>
      </w:r>
      <w:r>
        <w:rPr>
          <w:rFonts w:ascii="Times New Roman" w:cs="Times New Roman" w:eastAsia="Times New Roman" w:hAnsi="Times New Roman"/>
          <w:sz w:val="19"/>
          <w:szCs w:val="19"/>
          <w:color w:val="auto"/>
        </w:rPr>
        <w:t>”), will be used by the Company or its Affiliates (or third parties appointed by any of them, including the Trustee) to comply with any applicable legal requirement, or for</w:t>
      </w:r>
    </w:p>
    <w:p>
      <w:pPr>
        <w:spacing w:after="0" w:line="219" w:lineRule="auto"/>
        <w:rPr>
          <w:sz w:val="20"/>
          <w:szCs w:val="20"/>
          <w:color w:val="auto"/>
        </w:rPr>
      </w:pPr>
      <w:r>
        <w:rPr>
          <w:rFonts w:ascii="Times New Roman" w:cs="Times New Roman" w:eastAsia="Times New Roman" w:hAnsi="Times New Roman"/>
          <w:sz w:val="19"/>
          <w:szCs w:val="19"/>
          <w:color w:val="auto"/>
        </w:rPr>
        <w:t>administration of the Plan as they deems necessary or advisable, or for the respective business purposes of the Company or its</w:t>
      </w:r>
    </w:p>
    <w:p>
      <w:pPr>
        <w:spacing w:after="0" w:line="1" w:lineRule="exact"/>
        <w:rPr>
          <w:sz w:val="20"/>
          <w:szCs w:val="20"/>
          <w:color w:val="auto"/>
        </w:rPr>
      </w:pPr>
    </w:p>
    <w:p>
      <w:pPr>
        <w:jc w:val="both"/>
        <w:ind w:right="279"/>
        <w:spacing w:after="0" w:line="210" w:lineRule="auto"/>
        <w:rPr>
          <w:sz w:val="20"/>
          <w:szCs w:val="20"/>
          <w:color w:val="auto"/>
        </w:rPr>
      </w:pPr>
      <w:r>
        <w:rPr>
          <w:rFonts w:ascii="Times New Roman" w:cs="Times New Roman" w:eastAsia="Times New Roman" w:hAnsi="Times New Roman"/>
          <w:sz w:val="19"/>
          <w:szCs w:val="19"/>
          <w:color w:val="auto"/>
        </w:rPr>
        <w:t>Affiliates (including in connection with transactions related to any of them). The Company and its Affiliates shall be entitled to transfer the Information among the Company or its Affiliates and to third parties for the purposes set forth above, which</w:t>
      </w:r>
    </w:p>
    <w:p>
      <w:pPr>
        <w:spacing w:after="0" w:line="219" w:lineRule="auto"/>
        <w:rPr>
          <w:sz w:val="20"/>
          <w:szCs w:val="20"/>
          <w:color w:val="auto"/>
        </w:rPr>
      </w:pPr>
      <w:r>
        <w:rPr>
          <w:rFonts w:ascii="Times New Roman" w:cs="Times New Roman" w:eastAsia="Times New Roman" w:hAnsi="Times New Roman"/>
          <w:sz w:val="19"/>
          <w:szCs w:val="19"/>
          <w:color w:val="auto"/>
        </w:rPr>
        <w:t>may include persons located abroad (including, any person administering the Plan or providing services in respect of the Plan</w:t>
      </w:r>
    </w:p>
    <w:p>
      <w:pPr>
        <w:spacing w:after="0" w:line="1" w:lineRule="exact"/>
        <w:rPr>
          <w:sz w:val="20"/>
          <w:szCs w:val="20"/>
          <w:color w:val="auto"/>
        </w:rPr>
      </w:pPr>
    </w:p>
    <w:p>
      <w:pPr>
        <w:jc w:val="both"/>
        <w:ind w:right="279"/>
        <w:spacing w:after="0" w:line="210" w:lineRule="auto"/>
        <w:rPr>
          <w:sz w:val="20"/>
          <w:szCs w:val="20"/>
          <w:color w:val="auto"/>
        </w:rPr>
      </w:pPr>
      <w:r>
        <w:rPr>
          <w:rFonts w:ascii="Times New Roman" w:cs="Times New Roman" w:eastAsia="Times New Roman" w:hAnsi="Times New Roman"/>
          <w:sz w:val="19"/>
          <w:szCs w:val="19"/>
          <w:color w:val="auto"/>
        </w:rPr>
        <w:t>or in order to comply with legal requirements, or the Trustee, their respective officers, directors, employees and representatives, and the respective successors and assigns of any of the foregoing), and any person so receiving Information</w:t>
      </w:r>
    </w:p>
    <w:p>
      <w:pPr>
        <w:spacing w:after="0" w:line="219" w:lineRule="auto"/>
        <w:rPr>
          <w:sz w:val="20"/>
          <w:szCs w:val="20"/>
          <w:color w:val="auto"/>
        </w:rPr>
      </w:pPr>
      <w:r>
        <w:rPr>
          <w:rFonts w:ascii="Times New Roman" w:cs="Times New Roman" w:eastAsia="Times New Roman" w:hAnsi="Times New Roman"/>
          <w:sz w:val="19"/>
          <w:szCs w:val="19"/>
          <w:color w:val="auto"/>
        </w:rPr>
        <w:t>shall be entitled to transfer it for the purposes set forth above. The Company shall use commercially reasonable efforts to</w:t>
      </w:r>
    </w:p>
    <w:p>
      <w:pPr>
        <w:spacing w:after="0" w:line="1" w:lineRule="exact"/>
        <w:rPr>
          <w:sz w:val="20"/>
          <w:szCs w:val="20"/>
          <w:color w:val="auto"/>
        </w:rPr>
      </w:pPr>
    </w:p>
    <w:p>
      <w:pPr>
        <w:jc w:val="both"/>
        <w:ind w:right="279"/>
        <w:spacing w:after="0" w:line="210" w:lineRule="auto"/>
        <w:rPr>
          <w:sz w:val="20"/>
          <w:szCs w:val="20"/>
          <w:color w:val="auto"/>
        </w:rPr>
      </w:pPr>
      <w:r>
        <w:rPr>
          <w:rFonts w:ascii="Times New Roman" w:cs="Times New Roman" w:eastAsia="Times New Roman" w:hAnsi="Times New Roman"/>
          <w:sz w:val="19"/>
          <w:szCs w:val="19"/>
          <w:color w:val="auto"/>
        </w:rPr>
        <w:t>ensure that the transfer of such Information shall be limited to the reasonable and necessary scope. By receiving an Award hereunder, Grantee acknowledges and agrees that the Information is provided at Grantee’s free will and that Grantee hereby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consents to the storage and transfer of the Information as set forth above.</w:t>
      </w:r>
    </w:p>
    <w:p>
      <w:pPr>
        <w:spacing w:after="0" w:line="47" w:lineRule="exact"/>
        <w:rPr>
          <w:sz w:val="20"/>
          <w:szCs w:val="20"/>
          <w:color w:val="auto"/>
        </w:rPr>
      </w:pPr>
    </w:p>
    <w:p>
      <w:pPr>
        <w:ind w:left="340" w:hanging="334"/>
        <w:spacing w:after="0"/>
        <w:tabs>
          <w:tab w:leader="none" w:pos="34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Exercise Procedures</w:t>
      </w:r>
      <w:r>
        <w:rPr>
          <w:rFonts w:ascii="Times New Roman" w:cs="Times New Roman" w:eastAsia="Times New Roman" w:hAnsi="Times New Roman"/>
          <w:sz w:val="19"/>
          <w:szCs w:val="19"/>
          <w:color w:val="auto"/>
        </w:rPr>
        <w:t>.</w:t>
      </w:r>
    </w:p>
    <w:p>
      <w:pPr>
        <w:spacing w:after="0" w:line="90"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9"/>
          <w:szCs w:val="19"/>
          <w:color w:val="auto"/>
        </w:rPr>
        <w:t>The Grantee may exercise Options that have become exercisable by giving a signed written notice to the</w:t>
      </w:r>
    </w:p>
    <w:p>
      <w:pPr>
        <w:spacing w:after="0" w:line="2"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Company, delivered in person or by mail (or such other methods of delivery prescribed by the Company) to the Chief Financial Officer of the Company or to such other person as determined by the Committee, or in any other manner as the</w:t>
      </w:r>
    </w:p>
    <w:p>
      <w:pPr>
        <w:spacing w:after="0" w:line="219" w:lineRule="auto"/>
        <w:rPr>
          <w:sz w:val="20"/>
          <w:szCs w:val="20"/>
          <w:color w:val="auto"/>
        </w:rPr>
      </w:pPr>
      <w:r>
        <w:rPr>
          <w:rFonts w:ascii="Times New Roman" w:cs="Times New Roman" w:eastAsia="Times New Roman" w:hAnsi="Times New Roman"/>
          <w:sz w:val="19"/>
          <w:szCs w:val="19"/>
          <w:color w:val="auto"/>
        </w:rPr>
        <w:t>Committee shall prescribe from time to time. The exercise notice shall be in a form prescribed by the Company from time to</w:t>
      </w:r>
    </w:p>
    <w:p>
      <w:pPr>
        <w:spacing w:after="0" w:line="1" w:lineRule="exact"/>
        <w:rPr>
          <w:sz w:val="20"/>
          <w:szCs w:val="20"/>
          <w:color w:val="auto"/>
        </w:rPr>
      </w:pPr>
    </w:p>
    <w:p>
      <w:pPr>
        <w:jc w:val="both"/>
        <w:ind w:right="279"/>
        <w:spacing w:after="0" w:line="210" w:lineRule="auto"/>
        <w:rPr>
          <w:sz w:val="20"/>
          <w:szCs w:val="20"/>
          <w:color w:val="auto"/>
        </w:rPr>
      </w:pPr>
      <w:r>
        <w:rPr>
          <w:rFonts w:ascii="Times New Roman" w:cs="Times New Roman" w:eastAsia="Times New Roman" w:hAnsi="Times New Roman"/>
          <w:sz w:val="19"/>
          <w:szCs w:val="19"/>
          <w:color w:val="auto"/>
        </w:rPr>
        <w:t>time. The Grantee shall specify in the notice the election to exercise Options, the number of Shares for which it is being exercised (which may be equal to or lower than the aggregate number of Shares that have become exercisable at such time,</w:t>
      </w:r>
    </w:p>
    <w:p>
      <w:pPr>
        <w:spacing w:after="0" w:line="219" w:lineRule="auto"/>
        <w:rPr>
          <w:sz w:val="20"/>
          <w:szCs w:val="20"/>
          <w:color w:val="auto"/>
        </w:rPr>
      </w:pPr>
      <w:r>
        <w:rPr>
          <w:rFonts w:ascii="Times New Roman" w:cs="Times New Roman" w:eastAsia="Times New Roman" w:hAnsi="Times New Roman"/>
          <w:sz w:val="19"/>
          <w:szCs w:val="19"/>
          <w:color w:val="auto"/>
        </w:rPr>
        <w:t>subject to the last sentence of this Section), accompanied by payment of the aggregate Exercise Price for such Shares in the</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manner permitted by the Plan. In the event that Options are being exercised by the representative of the Grantee, if permitted under the Plan, the notice shall be accompanied by proof (satisfactory to the Company) of the representative’s right to exercise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Options.</w:t>
      </w:r>
    </w:p>
    <w:p>
      <w:pPr>
        <w:spacing w:after="0" w:line="64" w:lineRule="exact"/>
        <w:rPr>
          <w:sz w:val="20"/>
          <w:szCs w:val="20"/>
          <w:color w:val="auto"/>
        </w:rPr>
      </w:pPr>
    </w:p>
    <w:p>
      <w:pPr>
        <w:jc w:val="both"/>
        <w:ind w:right="279" w:firstLine="625"/>
        <w:spacing w:after="0" w:line="222" w:lineRule="auto"/>
        <w:rPr>
          <w:sz w:val="20"/>
          <w:szCs w:val="20"/>
          <w:color w:val="auto"/>
        </w:rPr>
      </w:pPr>
      <w:r>
        <w:rPr>
          <w:rFonts w:ascii="Times New Roman" w:cs="Times New Roman" w:eastAsia="Times New Roman" w:hAnsi="Times New Roman"/>
          <w:sz w:val="19"/>
          <w:szCs w:val="19"/>
          <w:color w:val="auto"/>
        </w:rPr>
        <w:t>3.2. After receiving a proper and duly executed notice of exercise in the form prescribed by the Company, the Company shall cause to be issued a certificate or certificates for the Shares as to which the Options have been exercised,</w:t>
      </w:r>
    </w:p>
    <w:p>
      <w:pPr>
        <w:spacing w:after="0" w:line="219" w:lineRule="auto"/>
        <w:rPr>
          <w:sz w:val="20"/>
          <w:szCs w:val="20"/>
          <w:color w:val="auto"/>
        </w:rPr>
      </w:pPr>
      <w:r>
        <w:rPr>
          <w:rFonts w:ascii="Times New Roman" w:cs="Times New Roman" w:eastAsia="Times New Roman" w:hAnsi="Times New Roman"/>
          <w:sz w:val="19"/>
          <w:szCs w:val="19"/>
          <w:color w:val="auto"/>
        </w:rPr>
        <w:t>registered in the name of the person exercising such Options, except that in case of Options designated as 102 Trustee Awards,</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the Shares shall be issued to and in the name of the Trustee for the benefit of the Grantee. The issuance shall be subject to the payment of any and all applicable taxes and compulsory payments by the Grantee. Subject to Section 19 of the Plan, the</w:t>
      </w:r>
    </w:p>
    <w:p>
      <w:pPr>
        <w:spacing w:after="0" w:line="219" w:lineRule="auto"/>
        <w:rPr>
          <w:sz w:val="20"/>
          <w:szCs w:val="20"/>
          <w:color w:val="auto"/>
        </w:rPr>
      </w:pPr>
      <w:r>
        <w:rPr>
          <w:rFonts w:ascii="Times New Roman" w:cs="Times New Roman" w:eastAsia="Times New Roman" w:hAnsi="Times New Roman"/>
          <w:sz w:val="19"/>
          <w:szCs w:val="19"/>
          <w:color w:val="auto"/>
        </w:rPr>
        <w:t>Grantee shall have no rights as a stockholder with respect to any Shares subject to Options until the Grantee shall have duly</w:t>
      </w:r>
    </w:p>
    <w:p>
      <w:pPr>
        <w:spacing w:after="0" w:line="1" w:lineRule="exact"/>
        <w:rPr>
          <w:sz w:val="20"/>
          <w:szCs w:val="20"/>
          <w:color w:val="auto"/>
        </w:rPr>
      </w:pPr>
    </w:p>
    <w:p>
      <w:pPr>
        <w:ind w:right="279"/>
        <w:spacing w:after="0" w:line="228" w:lineRule="auto"/>
        <w:rPr>
          <w:sz w:val="20"/>
          <w:szCs w:val="20"/>
          <w:color w:val="auto"/>
        </w:rPr>
      </w:pPr>
      <w:r>
        <w:rPr>
          <w:rFonts w:ascii="Times New Roman" w:cs="Times New Roman" w:eastAsia="Times New Roman" w:hAnsi="Times New Roman"/>
          <w:sz w:val="19"/>
          <w:szCs w:val="19"/>
          <w:color w:val="auto"/>
        </w:rPr>
        <w:t>exercised the Options, paid the full Exercise Price therefor, if required, paid all applicable taxes and compulsory payments therefor and becomes the record holder of the subject Shares.</w:t>
      </w:r>
    </w:p>
    <w:p>
      <w:pPr>
        <w:spacing w:after="0" w:line="53"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9"/>
          <w:szCs w:val="19"/>
          <w:color w:val="auto"/>
        </w:rPr>
        <w:t>3.3.</w:t>
        <w:tab/>
        <w:t>Without derogating from the provision of the Plan, in the event that the Company or, with respect to 102 Trustee</w:t>
      </w:r>
    </w:p>
    <w:p>
      <w:pPr>
        <w:spacing w:after="0" w:line="2"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Awards, the Trustee, determines that it is required to withhold any tax as a result of the exercise of Options, the Grantee, as a condition to the exercise of Options, shall make arrangements satisfactory to the Company and the Trustee, if applicable, to</w:t>
      </w:r>
    </w:p>
    <w:p>
      <w:pPr>
        <w:spacing w:after="0" w:line="219" w:lineRule="auto"/>
        <w:rPr>
          <w:sz w:val="20"/>
          <w:szCs w:val="20"/>
          <w:color w:val="auto"/>
        </w:rPr>
      </w:pPr>
      <w:r>
        <w:rPr>
          <w:rFonts w:ascii="Times New Roman" w:cs="Times New Roman" w:eastAsia="Times New Roman" w:hAnsi="Times New Roman"/>
          <w:sz w:val="19"/>
          <w:szCs w:val="19"/>
          <w:color w:val="auto"/>
        </w:rPr>
        <w:t>enable it to satisfy all withholding requirements. The Grantee shall also make arrangements satisfactory to the Company and</w:t>
      </w:r>
    </w:p>
    <w:p>
      <w:pPr>
        <w:spacing w:after="0" w:line="1"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the Trustee, if applicable, to enable it to satisfy any withholding requirements that may arise in connection with the vesting or disposition of Shares acquired pursuant to the grant of an Option under the Plan. Furthermore, the Grantee shall indemnify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and the Trustee, if applicable, and hold them harmless against and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- 5 -</w:t>
      </w:r>
    </w:p>
    <w:p>
      <w:pPr>
        <w:sectPr>
          <w:pgSz w:w="11900" w:h="16838" w:orient="portrait"/>
          <w:cols w:equalWidth="0" w:num="1">
            <w:col w:w="10139"/>
          </w:cols>
          <w:pgMar w:left="320" w:top="1162"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9"/>
          <w:szCs w:val="19"/>
          <w:color w:val="auto"/>
        </w:rPr>
        <w:t>and all liability for any such tax or interest or penalty thereon, including without limitation, liabilities relating to withholding.</w:t>
      </w:r>
    </w:p>
    <w:p>
      <w:pPr>
        <w:spacing w:after="0" w:line="82" w:lineRule="exact"/>
        <w:rPr>
          <w:sz w:val="20"/>
          <w:szCs w:val="20"/>
          <w:color w:val="auto"/>
        </w:rPr>
      </w:pPr>
    </w:p>
    <w:p>
      <w:pPr>
        <w:ind w:right="20" w:firstLine="6"/>
        <w:spacing w:after="0" w:line="245" w:lineRule="auto"/>
        <w:tabs>
          <w:tab w:leader="none" w:pos="353"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Payment of Exercise Price</w:t>
      </w:r>
      <w:r>
        <w:rPr>
          <w:rFonts w:ascii="Times New Roman" w:cs="Times New Roman" w:eastAsia="Times New Roman" w:hAnsi="Times New Roman"/>
          <w:sz w:val="19"/>
          <w:szCs w:val="19"/>
          <w:color w:val="auto"/>
        </w:rPr>
        <w:t>. The Exercise Price shall be paid in cash or in such other manner as determined in accordance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w:t>
      </w:r>
    </w:p>
    <w:p>
      <w:pPr>
        <w:spacing w:after="0" w:line="43" w:lineRule="exact"/>
        <w:rPr>
          <w:rFonts w:ascii="Times New Roman" w:cs="Times New Roman" w:eastAsia="Times New Roman" w:hAnsi="Times New Roman"/>
          <w:sz w:val="19"/>
          <w:szCs w:val="19"/>
          <w:color w:val="auto"/>
        </w:rPr>
      </w:pPr>
    </w:p>
    <w:p>
      <w:pPr>
        <w:jc w:val="both"/>
        <w:ind w:firstLine="6"/>
        <w:spacing w:after="0" w:line="227" w:lineRule="auto"/>
        <w:tabs>
          <w:tab w:leader="none" w:pos="379"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Irrevocable Proxy</w:t>
      </w:r>
      <w:r>
        <w:rPr>
          <w:rFonts w:ascii="Times New Roman" w:cs="Times New Roman" w:eastAsia="Times New Roman" w:hAnsi="Times New Roman"/>
          <w:sz w:val="19"/>
          <w:szCs w:val="19"/>
          <w:color w:val="auto"/>
        </w:rPr>
        <w:t>. As a material precondition to the Company’s grant of Options and issuance of Shares in accordance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Plan, the Grantee hereby executes an irrevocable proxy in the form attached hereto as </w:t>
      </w:r>
      <w:r>
        <w:rPr>
          <w:rFonts w:ascii="Times New Roman" w:cs="Times New Roman" w:eastAsia="Times New Roman" w:hAnsi="Times New Roman"/>
          <w:sz w:val="19"/>
          <w:szCs w:val="19"/>
          <w:b w:val="1"/>
          <w:bCs w:val="1"/>
          <w:u w:val="single" w:color="auto"/>
          <w:color w:val="auto"/>
        </w:rPr>
        <w:t>Exhibit C</w:t>
      </w:r>
      <w:r>
        <w:rPr>
          <w:rFonts w:ascii="Times New Roman" w:cs="Times New Roman" w:eastAsia="Times New Roman" w:hAnsi="Times New Roman"/>
          <w:sz w:val="19"/>
          <w:szCs w:val="19"/>
          <w:color w:val="auto"/>
        </w:rPr>
        <w:t xml:space="preserve"> (and, if applicable, instructs the Trustee to sign such proxy, as requested by the Company), to the Company which shall designate such person or persons (with a right of substitution) from time to time as determined by the Committee (and in the absence of such determination, the CEO or Chairman of the Board, ex officio). The provisions of this Section shall apply to the Grantee and to any purchaser, assignee or transferee of any Shares.</w:t>
      </w:r>
    </w:p>
    <w:p>
      <w:pPr>
        <w:spacing w:after="0" w:line="38" w:lineRule="exact"/>
        <w:rPr>
          <w:rFonts w:ascii="Times New Roman" w:cs="Times New Roman" w:eastAsia="Times New Roman" w:hAnsi="Times New Roman"/>
          <w:sz w:val="19"/>
          <w:szCs w:val="19"/>
          <w:color w:val="auto"/>
        </w:rPr>
      </w:pPr>
    </w:p>
    <w:p>
      <w:pPr>
        <w:ind w:firstLine="6"/>
        <w:spacing w:after="0" w:line="260" w:lineRule="auto"/>
        <w:tabs>
          <w:tab w:leader="none" w:pos="472"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Repurchase Right</w:t>
      </w:r>
      <w:r>
        <w:rPr>
          <w:rFonts w:ascii="Times New Roman" w:cs="Times New Roman" w:eastAsia="Times New Roman" w:hAnsi="Times New Roman"/>
          <w:sz w:val="19"/>
          <w:szCs w:val="19"/>
          <w:color w:val="auto"/>
        </w:rPr>
        <w:t>. Grantee agrees that all Shares issued pursuant to the exercise of the Options shall be subject to certain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repurchase rights in favor of the Company or its assigns as provided in the Plan.</w:t>
      </w:r>
    </w:p>
    <w:p>
      <w:pPr>
        <w:spacing w:after="0" w:line="29" w:lineRule="exact"/>
        <w:rPr>
          <w:rFonts w:ascii="Times New Roman" w:cs="Times New Roman" w:eastAsia="Times New Roman" w:hAnsi="Times New Roman"/>
          <w:sz w:val="19"/>
          <w:szCs w:val="19"/>
          <w:color w:val="auto"/>
        </w:rPr>
      </w:pPr>
    </w:p>
    <w:p>
      <w:pPr>
        <w:jc w:val="both"/>
        <w:ind w:firstLine="6"/>
        <w:spacing w:after="0" w:line="223" w:lineRule="auto"/>
        <w:tabs>
          <w:tab w:leader="none" w:pos="459"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Legend</w:t>
      </w:r>
      <w:r>
        <w:rPr>
          <w:rFonts w:ascii="Times New Roman" w:cs="Times New Roman" w:eastAsia="Times New Roman" w:hAnsi="Times New Roman"/>
          <w:sz w:val="19"/>
          <w:szCs w:val="19"/>
          <w:color w:val="auto"/>
        </w:rPr>
        <w:t>. The Company may at any time place legends referencing the restriction imposed on the Shares (including,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limitation, right of first refusal and right of repurchase) and any applicable federal, state or foreign securities law restrictions on all certificates representing Shares subject to the provisions of this Agreement. The Grantee shall, at the request of the Company, promptly present to the Company any and all certificates representing Shares acquired pursuant to Options in the possession of the Grantee in order to carry out the provisions of this Section. Unless otherwise specified by the Company, legends placed on such certificates may include, but shall not be limited to, the following:</w:t>
      </w:r>
    </w:p>
    <w:p>
      <w:pPr>
        <w:spacing w:after="0" w:line="57" w:lineRule="exact"/>
        <w:rPr>
          <w:sz w:val="20"/>
          <w:szCs w:val="20"/>
          <w:color w:val="auto"/>
        </w:rPr>
      </w:pPr>
    </w:p>
    <w:p>
      <w:pPr>
        <w:ind w:right="760" w:firstLine="625"/>
        <w:spacing w:after="0" w:line="222" w:lineRule="auto"/>
        <w:rPr>
          <w:sz w:val="20"/>
          <w:szCs w:val="20"/>
          <w:color w:val="auto"/>
        </w:rPr>
      </w:pPr>
      <w:r>
        <w:rPr>
          <w:rFonts w:ascii="Times New Roman" w:cs="Times New Roman" w:eastAsia="Times New Roman" w:hAnsi="Times New Roman"/>
          <w:sz w:val="19"/>
          <w:szCs w:val="19"/>
          <w:color w:val="auto"/>
        </w:rPr>
        <w:t>7.1. THE SECURITIES EVIDENCED BY THIS CERTIFICATE HAVE NOT BEEN REGISTERED UNDER THE SECURITIES ACT OF 1933, AS AMENDED (THE “SECURITIES ACT”) OR SUCH APPLICABLE LAWS OF OTHER</w:t>
      </w:r>
    </w:p>
    <w:p>
      <w:pPr>
        <w:spacing w:after="0" w:line="2" w:lineRule="exact"/>
        <w:rPr>
          <w:sz w:val="20"/>
          <w:szCs w:val="20"/>
          <w:color w:val="auto"/>
        </w:rPr>
      </w:pPr>
    </w:p>
    <w:p>
      <w:pPr>
        <w:ind w:right="760"/>
        <w:spacing w:after="0" w:line="210" w:lineRule="auto"/>
        <w:rPr>
          <w:sz w:val="20"/>
          <w:szCs w:val="20"/>
          <w:color w:val="auto"/>
        </w:rPr>
      </w:pPr>
      <w:r>
        <w:rPr>
          <w:rFonts w:ascii="Times New Roman" w:cs="Times New Roman" w:eastAsia="Times New Roman" w:hAnsi="Times New Roman"/>
          <w:sz w:val="19"/>
          <w:szCs w:val="19"/>
          <w:color w:val="auto"/>
        </w:rPr>
        <w:t>JURISDICTIONS, OR QUALIFIED UNDER ANY SECURITIES LAW OR ANY OTHER JURISDICTION, AND, SUBJECT TO THEIR TERMS, MAY NOT BE OFFERED, SOLD, TRANSFERRED, ASSIGNED, PLEDGED OR</w:t>
      </w:r>
    </w:p>
    <w:p>
      <w:pPr>
        <w:spacing w:after="0" w:line="219" w:lineRule="auto"/>
        <w:rPr>
          <w:sz w:val="20"/>
          <w:szCs w:val="20"/>
          <w:color w:val="auto"/>
        </w:rPr>
      </w:pPr>
      <w:r>
        <w:rPr>
          <w:rFonts w:ascii="Times New Roman" w:cs="Times New Roman" w:eastAsia="Times New Roman" w:hAnsi="Times New Roman"/>
          <w:sz w:val="19"/>
          <w:szCs w:val="19"/>
          <w:color w:val="auto"/>
        </w:rPr>
        <w:t>HYPOTHECATED UNLESS THERE IS AN EFFECTIVE REGISTRATION STATEMENT UNDER THE SECURITIES</w:t>
      </w:r>
    </w:p>
    <w:p>
      <w:pPr>
        <w:spacing w:after="0" w:line="1" w:lineRule="exact"/>
        <w:rPr>
          <w:sz w:val="20"/>
          <w:szCs w:val="20"/>
          <w:color w:val="auto"/>
        </w:rPr>
      </w:pPr>
    </w:p>
    <w:p>
      <w:pPr>
        <w:ind w:right="760"/>
        <w:spacing w:after="0" w:line="210" w:lineRule="auto"/>
        <w:rPr>
          <w:sz w:val="20"/>
          <w:szCs w:val="20"/>
          <w:color w:val="auto"/>
        </w:rPr>
      </w:pPr>
      <w:r>
        <w:rPr>
          <w:rFonts w:ascii="Times New Roman" w:cs="Times New Roman" w:eastAsia="Times New Roman" w:hAnsi="Times New Roman"/>
          <w:sz w:val="19"/>
          <w:szCs w:val="19"/>
          <w:color w:val="auto"/>
        </w:rPr>
        <w:t>ACT OR SUCH APPLICABLE LAWS OF OTHER JURISDICTIONS COVERING SUCH SECURITIES, OR THE COMPANY RECEIVES AN OPINION OF COUNSEL, SATISFACTORY TO THE COMPANY, STATING THAT SUCH</w:t>
      </w:r>
    </w:p>
    <w:p>
      <w:pPr>
        <w:spacing w:after="0" w:line="219" w:lineRule="auto"/>
        <w:tabs>
          <w:tab w:leader="none" w:pos="1140" w:val="left"/>
          <w:tab w:leader="none" w:pos="1820" w:val="left"/>
          <w:tab w:leader="none" w:pos="3000" w:val="left"/>
          <w:tab w:leader="none" w:pos="4440" w:val="left"/>
          <w:tab w:leader="none" w:pos="5320" w:val="left"/>
          <w:tab w:leader="none" w:pos="5740" w:val="left"/>
          <w:tab w:leader="none" w:pos="7520" w:val="left"/>
          <w:tab w:leader="none" w:pos="7840" w:val="left"/>
          <w:tab w:leader="none" w:pos="8760" w:val="left"/>
          <w:tab w:leader="none" w:pos="9460" w:val="left"/>
        </w:tabs>
        <w:rPr>
          <w:sz w:val="20"/>
          <w:szCs w:val="20"/>
          <w:color w:val="auto"/>
        </w:rPr>
      </w:pPr>
      <w:r>
        <w:rPr>
          <w:rFonts w:ascii="Times New Roman" w:cs="Times New Roman" w:eastAsia="Times New Roman" w:hAnsi="Times New Roman"/>
          <w:sz w:val="19"/>
          <w:szCs w:val="19"/>
          <w:color w:val="auto"/>
        </w:rPr>
        <w:t>OFFERING,</w:t>
        <w:tab/>
        <w:t>SALE,</w:t>
        <w:tab/>
        <w:t>TRANSFER,</w:t>
        <w:tab/>
        <w:t>ASSIGNMENT,</w:t>
        <w:tab/>
        <w:t>PLEDGE</w:t>
        <w:tab/>
        <w:t>OR</w:t>
        <w:tab/>
        <w:t>HYPOTHECATION</w:t>
        <w:tab/>
        <w:t>IS</w:t>
        <w:tab/>
        <w:t>EXEMPT</w:t>
        <w:tab/>
        <w:t>FROM</w:t>
        <w:tab/>
        <w:t>THE</w:t>
      </w:r>
    </w:p>
    <w:p>
      <w:pPr>
        <w:spacing w:after="0" w:line="1" w:lineRule="exact"/>
        <w:rPr>
          <w:sz w:val="20"/>
          <w:szCs w:val="20"/>
          <w:color w:val="auto"/>
        </w:rPr>
      </w:pPr>
    </w:p>
    <w:p>
      <w:pPr>
        <w:ind w:right="760"/>
        <w:spacing w:after="0" w:line="228" w:lineRule="auto"/>
        <w:rPr>
          <w:sz w:val="20"/>
          <w:szCs w:val="20"/>
          <w:color w:val="auto"/>
        </w:rPr>
      </w:pPr>
      <w:r>
        <w:rPr>
          <w:rFonts w:ascii="Times New Roman" w:cs="Times New Roman" w:eastAsia="Times New Roman" w:hAnsi="Times New Roman"/>
          <w:sz w:val="19"/>
          <w:szCs w:val="19"/>
          <w:color w:val="auto"/>
        </w:rPr>
        <w:t>REGISTRATION OR PROSPECTUS DELIVERY REQUIREMENTS OF THE SECURITIES ACT OR THE QUALIFICATION REQUIREMENTS UNDER APPLICABLE LAW.</w:t>
      </w:r>
    </w:p>
    <w:p>
      <w:pPr>
        <w:spacing w:after="0" w:line="53"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9"/>
          <w:szCs w:val="19"/>
          <w:color w:val="auto"/>
        </w:rPr>
        <w:t>THE SHARES REPRESENTED BY THIS CERTIFICATE ARE SUBJECT TO THE COMPANY'S</w:t>
      </w:r>
    </w:p>
    <w:p>
      <w:pPr>
        <w:spacing w:after="0" w:line="2" w:lineRule="exact"/>
        <w:rPr>
          <w:sz w:val="20"/>
          <w:szCs w:val="20"/>
          <w:color w:val="auto"/>
        </w:rPr>
      </w:pPr>
    </w:p>
    <w:p>
      <w:pPr>
        <w:ind w:right="760"/>
        <w:spacing w:after="0" w:line="210" w:lineRule="auto"/>
        <w:rPr>
          <w:sz w:val="20"/>
          <w:szCs w:val="20"/>
          <w:color w:val="auto"/>
        </w:rPr>
      </w:pPr>
      <w:r>
        <w:rPr>
          <w:rFonts w:ascii="Times New Roman" w:cs="Times New Roman" w:eastAsia="Times New Roman" w:hAnsi="Times New Roman"/>
          <w:sz w:val="19"/>
          <w:szCs w:val="19"/>
          <w:color w:val="auto"/>
        </w:rPr>
        <w:t>CERTIFICATE OF INCORPORATION, THE COMPANY'S BYLAWS, THE COMPANY’S STOCK INCENTIVE PLAN AND THE OPTION AGREEMENT WITH THE COMPANY, EACH AS AMENDED FROM TIME TO TIME, A COPY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WHICH IS ON FILE AT THE PRINCIPAL OFFICE OF THIS COMPANY.</w:t>
      </w:r>
    </w:p>
    <w:p>
      <w:pPr>
        <w:spacing w:after="0" w:line="60" w:lineRule="exact"/>
        <w:rPr>
          <w:sz w:val="20"/>
          <w:szCs w:val="20"/>
          <w:color w:val="auto"/>
        </w:rPr>
      </w:pPr>
    </w:p>
    <w:p>
      <w:pPr>
        <w:ind w:firstLine="6"/>
        <w:spacing w:after="0" w:line="245" w:lineRule="auto"/>
        <w:tabs>
          <w:tab w:leader="none" w:pos="339"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 and Expiration</w:t>
      </w:r>
      <w:r>
        <w:rPr>
          <w:rFonts w:ascii="Times New Roman" w:cs="Times New Roman" w:eastAsia="Times New Roman" w:hAnsi="Times New Roman"/>
          <w:sz w:val="19"/>
          <w:szCs w:val="19"/>
          <w:color w:val="auto"/>
        </w:rPr>
        <w:t>. The Options shall expire in accordance with the Plan, including in case the Grantee’s employment or service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terminates for any reason.</w:t>
      </w:r>
    </w:p>
    <w:p>
      <w:pPr>
        <w:spacing w:after="0" w:line="43" w:lineRule="exact"/>
        <w:rPr>
          <w:rFonts w:ascii="Times New Roman" w:cs="Times New Roman" w:eastAsia="Times New Roman" w:hAnsi="Times New Roman"/>
          <w:sz w:val="19"/>
          <w:szCs w:val="19"/>
          <w:color w:val="auto"/>
        </w:rPr>
      </w:pPr>
    </w:p>
    <w:p>
      <w:pPr>
        <w:ind w:left="340" w:hanging="334"/>
        <w:spacing w:after="0"/>
        <w:tabs>
          <w:tab w:leader="none" w:pos="34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Matters and Consultation</w:t>
      </w:r>
      <w:r>
        <w:rPr>
          <w:rFonts w:ascii="Times New Roman" w:cs="Times New Roman" w:eastAsia="Times New Roman" w:hAnsi="Times New Roman"/>
          <w:sz w:val="19"/>
          <w:szCs w:val="19"/>
          <w:color w:val="auto"/>
        </w:rPr>
        <w:t>.</w:t>
      </w:r>
    </w:p>
    <w:p>
      <w:pPr>
        <w:spacing w:after="0" w:line="90" w:lineRule="exact"/>
        <w:rPr>
          <w:sz w:val="20"/>
          <w:szCs w:val="20"/>
          <w:color w:val="auto"/>
        </w:rPr>
      </w:pPr>
    </w:p>
    <w:p>
      <w:pPr>
        <w:ind w:right="760" w:firstLine="625"/>
        <w:spacing w:after="0" w:line="222" w:lineRule="auto"/>
        <w:rPr>
          <w:sz w:val="20"/>
          <w:szCs w:val="20"/>
          <w:color w:val="auto"/>
        </w:rPr>
      </w:pPr>
      <w:r>
        <w:rPr>
          <w:rFonts w:ascii="Times New Roman" w:cs="Times New Roman" w:eastAsia="Times New Roman" w:hAnsi="Times New Roman"/>
          <w:sz w:val="19"/>
          <w:szCs w:val="19"/>
          <w:color w:val="auto"/>
        </w:rPr>
        <w:t>9.1. THE GRANTEE IS ADVISED TO CONSULT WITH A TAX ADVISOR WITH RESPECT TO THE TAX CONSEQUENCES OF RECEIVING OR EXERCISING OPTIONS HEREUNDER. THE COMPANY DOES NOT ASSUME</w:t>
      </w:r>
    </w:p>
    <w:p>
      <w:pPr>
        <w:spacing w:after="0" w:line="219" w:lineRule="auto"/>
        <w:rPr>
          <w:sz w:val="20"/>
          <w:szCs w:val="20"/>
          <w:color w:val="auto"/>
        </w:rPr>
      </w:pPr>
      <w:r>
        <w:rPr>
          <w:rFonts w:ascii="Times New Roman" w:cs="Times New Roman" w:eastAsia="Times New Roman" w:hAnsi="Times New Roman"/>
          <w:sz w:val="19"/>
          <w:szCs w:val="19"/>
          <w:color w:val="auto"/>
        </w:rPr>
        <w:t>ANY RESPONSIBILITY TO ADVISE THE GRANTEE ON SUCH MATTERS, WHICH SHALL REMAIN SOLELY THE</w:t>
      </w:r>
    </w:p>
    <w:p>
      <w:pPr>
        <w:spacing w:after="0" w:line="1" w:lineRule="exact"/>
        <w:rPr>
          <w:sz w:val="20"/>
          <w:szCs w:val="20"/>
          <w:color w:val="auto"/>
        </w:rPr>
      </w:pPr>
    </w:p>
    <w:p>
      <w:pPr>
        <w:jc w:val="both"/>
        <w:ind w:right="760"/>
        <w:spacing w:after="0" w:line="210" w:lineRule="auto"/>
        <w:rPr>
          <w:sz w:val="20"/>
          <w:szCs w:val="20"/>
          <w:color w:val="auto"/>
        </w:rPr>
      </w:pPr>
      <w:r>
        <w:rPr>
          <w:rFonts w:ascii="Times New Roman" w:cs="Times New Roman" w:eastAsia="Times New Roman" w:hAnsi="Times New Roman"/>
          <w:sz w:val="19"/>
          <w:szCs w:val="19"/>
          <w:color w:val="auto"/>
        </w:rPr>
        <w:t>RESPONSIBILITY OF THE GRANTEE. Without derogating from Section 18 of the Plan, and notwithstanding anything to the contrary, including the indication under “Intended Type of Award” above, the Company shall be under no duty to ensure,</w:t>
      </w:r>
    </w:p>
    <w:p>
      <w:pPr>
        <w:spacing w:after="0" w:line="219" w:lineRule="auto"/>
        <w:rPr>
          <w:sz w:val="20"/>
          <w:szCs w:val="20"/>
          <w:color w:val="auto"/>
        </w:rPr>
      </w:pPr>
      <w:r>
        <w:rPr>
          <w:rFonts w:ascii="Times New Roman" w:cs="Times New Roman" w:eastAsia="Times New Roman" w:hAnsi="Times New Roman"/>
          <w:sz w:val="19"/>
          <w:szCs w:val="19"/>
          <w:color w:val="auto"/>
        </w:rPr>
        <w:t>and no representation or commitment is made, that the Options qualify or will qualify under any particular tax treatment (such</w:t>
      </w:r>
    </w:p>
    <w:p>
      <w:pPr>
        <w:spacing w:after="0" w:line="1" w:lineRule="exact"/>
        <w:rPr>
          <w:sz w:val="20"/>
          <w:szCs w:val="20"/>
          <w:color w:val="auto"/>
        </w:rPr>
      </w:pPr>
    </w:p>
    <w:p>
      <w:pPr>
        <w:ind w:right="760"/>
        <w:spacing w:after="0" w:line="210" w:lineRule="auto"/>
        <w:rPr>
          <w:sz w:val="20"/>
          <w:szCs w:val="20"/>
          <w:color w:val="auto"/>
        </w:rPr>
      </w:pPr>
      <w:r>
        <w:rPr>
          <w:rFonts w:ascii="Times New Roman" w:cs="Times New Roman" w:eastAsia="Times New Roman" w:hAnsi="Times New Roman"/>
          <w:sz w:val="19"/>
          <w:szCs w:val="19"/>
          <w:color w:val="auto"/>
        </w:rPr>
        <w:t>as Section 102, ISO or any other treatment), nor shall the Company be required to take any action for the qualification of any Option under such tax treatment. If the Options do not qualify under any particular tax treatment it could result in adverse tax</w:t>
      </w:r>
    </w:p>
    <w:p>
      <w:pPr>
        <w:spacing w:after="0" w:line="1" w:lineRule="exact"/>
        <w:rPr>
          <w:sz w:val="20"/>
          <w:szCs w:val="20"/>
          <w:color w:val="auto"/>
        </w:rPr>
      </w:pPr>
    </w:p>
    <w:p>
      <w:pPr>
        <w:ind w:right="760"/>
        <w:spacing w:after="0" w:line="235" w:lineRule="auto"/>
        <w:rPr>
          <w:sz w:val="20"/>
          <w:szCs w:val="20"/>
          <w:color w:val="auto"/>
        </w:rPr>
      </w:pPr>
      <w:r>
        <w:rPr>
          <w:rFonts w:ascii="Times New Roman" w:cs="Times New Roman" w:eastAsia="Times New Roman" w:hAnsi="Times New Roman"/>
          <w:sz w:val="19"/>
          <w:szCs w:val="19"/>
          <w:color w:val="auto"/>
        </w:rPr>
        <w:t>consequences to the Grantee. By signing below, Grantee agrees that the Company and its Affiliates and their respective employees, directors, officers and stockholders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- 6 -</w:t>
      </w:r>
    </w:p>
    <w:p>
      <w:pPr>
        <w:sectPr>
          <w:pgSz w:w="11900" w:h="16838" w:orient="portrait"/>
          <w:cols w:equalWidth="0" w:num="1">
            <w:col w:w="10620"/>
          </w:cols>
          <w:pgMar w:left="320" w:top="1162" w:right="9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9"/>
          <w:szCs w:val="19"/>
          <w:color w:val="auto"/>
        </w:rPr>
        <w:t>not be liable for any tax, penalty, interest or cost incurred by Grantee as a result of such determination, nor will any of them</w:t>
      </w:r>
    </w:p>
    <w:p>
      <w:pPr>
        <w:spacing w:after="0" w:line="2" w:lineRule="exact"/>
        <w:rPr>
          <w:sz w:val="20"/>
          <w:szCs w:val="20"/>
          <w:color w:val="auto"/>
        </w:rPr>
      </w:pPr>
    </w:p>
    <w:p>
      <w:pPr>
        <w:ind w:right="279"/>
        <w:spacing w:after="0" w:line="228" w:lineRule="auto"/>
        <w:rPr>
          <w:sz w:val="20"/>
          <w:szCs w:val="20"/>
          <w:color w:val="auto"/>
        </w:rPr>
      </w:pPr>
      <w:r>
        <w:rPr>
          <w:rFonts w:ascii="Times New Roman" w:cs="Times New Roman" w:eastAsia="Times New Roman" w:hAnsi="Times New Roman"/>
          <w:sz w:val="19"/>
          <w:szCs w:val="19"/>
          <w:color w:val="auto"/>
        </w:rPr>
        <w:t>have any liability of any kind or nature in the event that, for any reason whatsoever, an Option does not qualify for any particular tax treatment.</w:t>
      </w:r>
    </w:p>
    <w:p>
      <w:pPr>
        <w:spacing w:after="0" w:line="5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19"/>
          <w:szCs w:val="19"/>
          <w:color w:val="auto"/>
        </w:rPr>
        <w:t>9.2.</w:t>
        <w:tab/>
        <w:t>Without limitation of the foregoing, with respect to Incentive Stock Option and Nonqualified Stock Option,</w:t>
      </w:r>
    </w:p>
    <w:p>
      <w:pPr>
        <w:spacing w:after="0" w:line="2"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there is no guarantee that the Internal Revenue Service (“</w:t>
      </w:r>
      <w:r>
        <w:rPr>
          <w:rFonts w:ascii="Times New Roman" w:cs="Times New Roman" w:eastAsia="Times New Roman" w:hAnsi="Times New Roman"/>
          <w:sz w:val="19"/>
          <w:szCs w:val="19"/>
          <w:b w:val="1"/>
          <w:bCs w:val="1"/>
          <w:color w:val="auto"/>
        </w:rPr>
        <w:t>IRS</w:t>
      </w:r>
      <w:r>
        <w:rPr>
          <w:rFonts w:ascii="Times New Roman" w:cs="Times New Roman" w:eastAsia="Times New Roman" w:hAnsi="Times New Roman"/>
          <w:sz w:val="19"/>
          <w:szCs w:val="19"/>
          <w:color w:val="auto"/>
        </w:rPr>
        <w:t>”) will determine that the Exercise Price of these Options represent the fair market value thereof as of the Date of Grant in compliance with the requirements of Section 409A of the</w:t>
      </w:r>
    </w:p>
    <w:p>
      <w:pPr>
        <w:spacing w:after="0" w:line="1" w:lineRule="exact"/>
        <w:rPr>
          <w:sz w:val="20"/>
          <w:szCs w:val="20"/>
          <w:color w:val="auto"/>
        </w:rPr>
      </w:pPr>
    </w:p>
    <w:p>
      <w:pPr>
        <w:ind w:right="279"/>
        <w:spacing w:after="0" w:line="235" w:lineRule="auto"/>
        <w:rPr>
          <w:sz w:val="20"/>
          <w:szCs w:val="20"/>
          <w:color w:val="auto"/>
        </w:rPr>
      </w:pPr>
      <w:r>
        <w:rPr>
          <w:rFonts w:ascii="Times New Roman" w:cs="Times New Roman" w:eastAsia="Times New Roman" w:hAnsi="Times New Roman"/>
          <w:sz w:val="19"/>
          <w:szCs w:val="19"/>
          <w:color w:val="auto"/>
        </w:rPr>
        <w:t>Code. If the IRS determines that the Exercise Price is less than such fair market value it could result in adverse tax consequences to Grantee.</w:t>
      </w:r>
    </w:p>
    <w:p>
      <w:pPr>
        <w:spacing w:after="0" w:line="40" w:lineRule="exact"/>
        <w:rPr>
          <w:sz w:val="20"/>
          <w:szCs w:val="20"/>
          <w:color w:val="auto"/>
        </w:rPr>
      </w:pPr>
    </w:p>
    <w:p>
      <w:pPr>
        <w:ind w:right="279" w:firstLine="625"/>
        <w:spacing w:after="0" w:line="230" w:lineRule="auto"/>
        <w:rPr>
          <w:sz w:val="20"/>
          <w:szCs w:val="20"/>
          <w:color w:val="auto"/>
        </w:rPr>
      </w:pPr>
      <w:r>
        <w:rPr>
          <w:rFonts w:ascii="Times New Roman" w:cs="Times New Roman" w:eastAsia="Times New Roman" w:hAnsi="Times New Roman"/>
          <w:sz w:val="19"/>
          <w:szCs w:val="19"/>
          <w:color w:val="auto"/>
        </w:rPr>
        <w:t>9.3. In case of Incentive Stock Options, adjustments made pursuant to the Plan with respect to Incentive Stock Options could constitute a “modification” of such Incentive Stock Options (as that term is defined in Section 424(h) of the</w:t>
      </w:r>
    </w:p>
    <w:p>
      <w:pPr>
        <w:ind w:right="279"/>
        <w:spacing w:after="0" w:line="210" w:lineRule="auto"/>
        <w:rPr>
          <w:sz w:val="20"/>
          <w:szCs w:val="20"/>
          <w:color w:val="auto"/>
        </w:rPr>
      </w:pPr>
      <w:r>
        <w:rPr>
          <w:rFonts w:ascii="Times New Roman" w:cs="Times New Roman" w:eastAsia="Times New Roman" w:hAnsi="Times New Roman"/>
          <w:sz w:val="19"/>
          <w:szCs w:val="19"/>
          <w:color w:val="auto"/>
        </w:rPr>
        <w:t>Code) or could cause adverse tax consequences for the Grantee and the Grantee should consult with his or her tax advisor regarding the consequences of such “modification” on his or her income tax treatment with respect to the Incentive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Option.</w:t>
      </w:r>
    </w:p>
    <w:p>
      <w:pPr>
        <w:spacing w:after="0" w:line="60" w:lineRule="exact"/>
        <w:rPr>
          <w:sz w:val="20"/>
          <w:szCs w:val="20"/>
          <w:color w:val="auto"/>
        </w:rPr>
      </w:pPr>
    </w:p>
    <w:p>
      <w:pPr>
        <w:ind w:left="440" w:hanging="434"/>
        <w:spacing w:after="0"/>
        <w:tabs>
          <w:tab w:leader="none" w:pos="4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Section 102 Awards</w:t>
      </w:r>
      <w:r>
        <w:rPr>
          <w:rFonts w:ascii="Times New Roman" w:cs="Times New Roman" w:eastAsia="Times New Roman" w:hAnsi="Times New Roman"/>
          <w:sz w:val="19"/>
          <w:szCs w:val="19"/>
          <w:color w:val="auto"/>
        </w:rPr>
        <w:t>.</w:t>
      </w:r>
    </w:p>
    <w:p>
      <w:pPr>
        <w:spacing w:after="0" w:line="77" w:lineRule="exact"/>
        <w:rPr>
          <w:sz w:val="20"/>
          <w:szCs w:val="20"/>
          <w:color w:val="auto"/>
        </w:rPr>
      </w:pPr>
    </w:p>
    <w:p>
      <w:pPr>
        <w:ind w:right="279" w:firstLine="625"/>
        <w:spacing w:after="0" w:line="230" w:lineRule="auto"/>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19"/>
          <w:szCs w:val="19"/>
          <w:u w:val="single" w:color="auto"/>
          <w:color w:val="auto"/>
        </w:rPr>
        <w:t>Eligibility for Awards</w:t>
      </w:r>
      <w:r>
        <w:rPr>
          <w:rFonts w:ascii="Times New Roman" w:cs="Times New Roman" w:eastAsia="Times New Roman" w:hAnsi="Times New Roman"/>
          <w:sz w:val="19"/>
          <w:szCs w:val="19"/>
          <w:color w:val="auto"/>
        </w:rPr>
        <w:t>. Subject to Applicable Law, 102 Awards may only be granted to an "employee" within the meaning of Section 102(a) of the Ordinance (which as of the date hereof means (i) individuals employed by an Israeli</w:t>
      </w:r>
    </w:p>
    <w:p>
      <w:pPr>
        <w:ind w:right="279"/>
        <w:spacing w:after="0" w:line="210" w:lineRule="auto"/>
        <w:rPr>
          <w:sz w:val="20"/>
          <w:szCs w:val="20"/>
          <w:color w:val="auto"/>
        </w:rPr>
      </w:pPr>
      <w:r>
        <w:rPr>
          <w:rFonts w:ascii="Times New Roman" w:cs="Times New Roman" w:eastAsia="Times New Roman" w:hAnsi="Times New Roman"/>
          <w:sz w:val="19"/>
          <w:szCs w:val="19"/>
          <w:color w:val="auto"/>
        </w:rPr>
        <w:t>company being the Company's Affiliates, and (ii) individuals who are serving and are engaged personally (and not through an entity) as “office holders” by such an Israeli company), but may not be granted to a Controlling Stockholder (“</w:t>
      </w:r>
      <w:r>
        <w:rPr>
          <w:rFonts w:ascii="Times New Roman" w:cs="Times New Roman" w:eastAsia="Times New Roman" w:hAnsi="Times New Roman"/>
          <w:sz w:val="19"/>
          <w:szCs w:val="19"/>
          <w:b w:val="1"/>
          <w:bCs w:val="1"/>
          <w:color w:val="auto"/>
        </w:rPr>
        <w:t>Eligible 102</w:t>
      </w:r>
    </w:p>
    <w:p>
      <w:pPr>
        <w:spacing w:after="0" w:line="1" w:lineRule="exact"/>
        <w:rPr>
          <w:sz w:val="20"/>
          <w:szCs w:val="20"/>
          <w:color w:val="auto"/>
        </w:rPr>
      </w:pPr>
    </w:p>
    <w:p>
      <w:pPr>
        <w:ind w:right="279"/>
        <w:spacing w:after="0" w:line="228" w:lineRule="auto"/>
        <w:rPr>
          <w:sz w:val="20"/>
          <w:szCs w:val="20"/>
          <w:color w:val="auto"/>
        </w:rPr>
      </w:pPr>
      <w:r>
        <w:rPr>
          <w:rFonts w:ascii="Times New Roman" w:cs="Times New Roman" w:eastAsia="Times New Roman" w:hAnsi="Times New Roman"/>
          <w:sz w:val="19"/>
          <w:szCs w:val="19"/>
          <w:b w:val="1"/>
          <w:bCs w:val="1"/>
          <w:color w:val="auto"/>
        </w:rPr>
        <w:t>Grantees</w:t>
      </w:r>
      <w:r>
        <w:rPr>
          <w:rFonts w:ascii="Times New Roman" w:cs="Times New Roman" w:eastAsia="Times New Roman" w:hAnsi="Times New Roman"/>
          <w:sz w:val="19"/>
          <w:szCs w:val="19"/>
          <w:color w:val="auto"/>
        </w:rPr>
        <w:t>”). Eligible 102 Grantees may receive only 102 Awards, which may either be granted to a Trustee or granted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102 of the Ordinance without a Trustee.</w:t>
      </w:r>
    </w:p>
    <w:p>
      <w:pPr>
        <w:spacing w:after="0" w:line="53"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19"/>
          <w:szCs w:val="19"/>
          <w:color w:val="auto"/>
        </w:rPr>
        <w:t>10.2.</w:t>
      </w:r>
      <w:r>
        <w:rPr>
          <w:sz w:val="20"/>
          <w:szCs w:val="20"/>
          <w:color w:val="auto"/>
        </w:rPr>
        <w:tab/>
      </w:r>
      <w:r>
        <w:rPr>
          <w:rFonts w:ascii="Times New Roman" w:cs="Times New Roman" w:eastAsia="Times New Roman" w:hAnsi="Times New Roman"/>
          <w:sz w:val="19"/>
          <w:szCs w:val="19"/>
          <w:u w:val="single" w:color="auto"/>
          <w:color w:val="auto"/>
        </w:rPr>
        <w:t>102 Award Grant Date.</w:t>
      </w:r>
    </w:p>
    <w:p>
      <w:pPr>
        <w:spacing w:after="0" w:line="86" w:lineRule="exact"/>
        <w:rPr>
          <w:sz w:val="20"/>
          <w:szCs w:val="20"/>
          <w:color w:val="auto"/>
        </w:rPr>
      </w:pPr>
    </w:p>
    <w:p>
      <w:pPr>
        <w:ind w:right="1159" w:firstLine="1271"/>
        <w:spacing w:after="0" w:line="222" w:lineRule="auto"/>
        <w:rPr>
          <w:sz w:val="20"/>
          <w:szCs w:val="20"/>
          <w:color w:val="auto"/>
        </w:rPr>
      </w:pPr>
      <w:r>
        <w:rPr>
          <w:rFonts w:ascii="Times New Roman" w:cs="Times New Roman" w:eastAsia="Times New Roman" w:hAnsi="Times New Roman"/>
          <w:sz w:val="19"/>
          <w:szCs w:val="19"/>
          <w:color w:val="auto"/>
        </w:rPr>
        <w:t>10.2.1. Each 102 Award will be deemed granted on the date determined by the Committee, subject to Section 10.2.2, provided that (i) the Grantee has signed all documents required by the Company or</w:t>
      </w:r>
    </w:p>
    <w:p>
      <w:pPr>
        <w:spacing w:after="0" w:line="219" w:lineRule="auto"/>
        <w:rPr>
          <w:sz w:val="20"/>
          <w:szCs w:val="20"/>
          <w:color w:val="auto"/>
        </w:rPr>
      </w:pPr>
      <w:r>
        <w:rPr>
          <w:rFonts w:ascii="Times New Roman" w:cs="Times New Roman" w:eastAsia="Times New Roman" w:hAnsi="Times New Roman"/>
          <w:sz w:val="19"/>
          <w:szCs w:val="19"/>
          <w:color w:val="auto"/>
        </w:rPr>
        <w:t>pursuant to Applicable Law, and (ii) with respect to 102 Trustee Awards, the Company has provided all applicable</w:t>
      </w:r>
    </w:p>
    <w:p>
      <w:pPr>
        <w:spacing w:after="0" w:line="1" w:lineRule="exact"/>
        <w:rPr>
          <w:sz w:val="20"/>
          <w:szCs w:val="20"/>
          <w:color w:val="auto"/>
        </w:rPr>
      </w:pPr>
    </w:p>
    <w:p>
      <w:pPr>
        <w:ind w:right="1159"/>
        <w:spacing w:after="0" w:line="210" w:lineRule="auto"/>
        <w:rPr>
          <w:sz w:val="20"/>
          <w:szCs w:val="20"/>
          <w:color w:val="auto"/>
        </w:rPr>
      </w:pPr>
      <w:r>
        <w:rPr>
          <w:rFonts w:ascii="Times New Roman" w:cs="Times New Roman" w:eastAsia="Times New Roman" w:hAnsi="Times New Roman"/>
          <w:sz w:val="19"/>
          <w:szCs w:val="19"/>
          <w:color w:val="auto"/>
        </w:rPr>
        <w:t>documents to the Trustee in accordance with the guidelines published by the ITA, and if this Agreement is not signed and delivered by the Grantee within 90 days from the date determined by the Committee (subject to Section</w:t>
      </w:r>
    </w:p>
    <w:p>
      <w:pPr>
        <w:spacing w:after="0" w:line="219" w:lineRule="auto"/>
        <w:rPr>
          <w:sz w:val="20"/>
          <w:szCs w:val="20"/>
          <w:color w:val="auto"/>
        </w:rPr>
      </w:pPr>
      <w:r>
        <w:rPr>
          <w:rFonts w:ascii="Times New Roman" w:cs="Times New Roman" w:eastAsia="Times New Roman" w:hAnsi="Times New Roman"/>
          <w:sz w:val="19"/>
          <w:szCs w:val="19"/>
          <w:color w:val="auto"/>
        </w:rPr>
        <w:t>10.2.2), then such 102 Trustee Award shall be deemed granted on such later date as this Agreement is signed and</w:t>
      </w:r>
    </w:p>
    <w:p>
      <w:pPr>
        <w:spacing w:after="0" w:line="1" w:lineRule="exact"/>
        <w:rPr>
          <w:sz w:val="20"/>
          <w:szCs w:val="20"/>
          <w:color w:val="auto"/>
        </w:rPr>
      </w:pPr>
    </w:p>
    <w:p>
      <w:pPr>
        <w:ind w:right="1159"/>
        <w:spacing w:after="0" w:line="210" w:lineRule="auto"/>
        <w:rPr>
          <w:sz w:val="20"/>
          <w:szCs w:val="20"/>
          <w:color w:val="auto"/>
        </w:rPr>
      </w:pPr>
      <w:r>
        <w:rPr>
          <w:rFonts w:ascii="Times New Roman" w:cs="Times New Roman" w:eastAsia="Times New Roman" w:hAnsi="Times New Roman"/>
          <w:sz w:val="19"/>
          <w:szCs w:val="19"/>
          <w:color w:val="auto"/>
        </w:rPr>
        <w:t>delivered and on which the Company has provided all applicable documents to the Trustee in accordance with the guidelines published by the ITA. In the case of any contradiction, this provision and the date of grant determined</w:t>
      </w:r>
    </w:p>
    <w:p>
      <w:pPr>
        <w:spacing w:after="0" w:line="1" w:lineRule="exact"/>
        <w:rPr>
          <w:sz w:val="20"/>
          <w:szCs w:val="20"/>
          <w:color w:val="auto"/>
        </w:rPr>
      </w:pPr>
    </w:p>
    <w:p>
      <w:pPr>
        <w:ind w:right="1159"/>
        <w:spacing w:after="0" w:line="235" w:lineRule="auto"/>
        <w:rPr>
          <w:sz w:val="20"/>
          <w:szCs w:val="20"/>
          <w:color w:val="auto"/>
        </w:rPr>
      </w:pPr>
      <w:r>
        <w:rPr>
          <w:rFonts w:ascii="Times New Roman" w:cs="Times New Roman" w:eastAsia="Times New Roman" w:hAnsi="Times New Roman"/>
          <w:sz w:val="19"/>
          <w:szCs w:val="19"/>
          <w:color w:val="auto"/>
        </w:rPr>
        <w:t>pursuant hereto shall supersede and be deemed to amend any date of grant indicated in the Notice of Option Grant or in any corporate resolution or any agreement.</w:t>
      </w:r>
    </w:p>
    <w:p>
      <w:pPr>
        <w:spacing w:after="0" w:line="27" w:lineRule="exact"/>
        <w:rPr>
          <w:sz w:val="20"/>
          <w:szCs w:val="20"/>
          <w:color w:val="auto"/>
        </w:rPr>
      </w:pPr>
    </w:p>
    <w:p>
      <w:pPr>
        <w:ind w:right="1159" w:firstLine="1271"/>
        <w:spacing w:after="0" w:line="222" w:lineRule="auto"/>
        <w:rPr>
          <w:sz w:val="20"/>
          <w:szCs w:val="20"/>
          <w:color w:val="auto"/>
        </w:rPr>
      </w:pPr>
      <w:r>
        <w:rPr>
          <w:rFonts w:ascii="Times New Roman" w:cs="Times New Roman" w:eastAsia="Times New Roman" w:hAnsi="Times New Roman"/>
          <w:sz w:val="19"/>
          <w:szCs w:val="19"/>
          <w:color w:val="auto"/>
        </w:rPr>
        <w:t>10.2.2. Unless otherwise permitted by the Ordinance, any grants of 102 Trustee Awards that are made on or after the date of the adoption of this Plan or an amendment to this Plan, as the case may be, that may</w:t>
      </w:r>
    </w:p>
    <w:p>
      <w:pPr>
        <w:spacing w:after="0" w:line="219" w:lineRule="auto"/>
        <w:rPr>
          <w:sz w:val="20"/>
          <w:szCs w:val="20"/>
          <w:color w:val="auto"/>
        </w:rPr>
      </w:pPr>
      <w:r>
        <w:rPr>
          <w:rFonts w:ascii="Times New Roman" w:cs="Times New Roman" w:eastAsia="Times New Roman" w:hAnsi="Times New Roman"/>
          <w:sz w:val="19"/>
          <w:szCs w:val="19"/>
          <w:color w:val="auto"/>
        </w:rPr>
        <w:t>become effective only at the expiration of thirty (30) days after the filing of this Plan or any amendment thereof (as</w:t>
      </w:r>
    </w:p>
    <w:p>
      <w:pPr>
        <w:spacing w:after="0" w:line="204" w:lineRule="auto"/>
        <w:rPr>
          <w:sz w:val="20"/>
          <w:szCs w:val="20"/>
          <w:color w:val="auto"/>
        </w:rPr>
      </w:pPr>
      <w:r>
        <w:rPr>
          <w:rFonts w:ascii="Times New Roman" w:cs="Times New Roman" w:eastAsia="Times New Roman" w:hAnsi="Times New Roman"/>
          <w:sz w:val="19"/>
          <w:szCs w:val="19"/>
          <w:color w:val="auto"/>
        </w:rPr>
        <w:t>the case may be) with the ITA in accordance with the Ordinance shall be conditional upon the expiration of such</w:t>
      </w:r>
    </w:p>
    <w:p>
      <w:pPr>
        <w:ind w:right="1159"/>
        <w:spacing w:after="0" w:line="218" w:lineRule="auto"/>
        <w:rPr>
          <w:sz w:val="20"/>
          <w:szCs w:val="20"/>
          <w:color w:val="auto"/>
        </w:rPr>
      </w:pPr>
      <w:r>
        <w:rPr>
          <w:rFonts w:ascii="Times New Roman" w:cs="Times New Roman" w:eastAsia="Times New Roman" w:hAnsi="Times New Roman"/>
          <w:sz w:val="19"/>
          <w:szCs w:val="19"/>
          <w:color w:val="auto"/>
        </w:rPr>
        <w:t>30-day period, such condition shall be read and is incorporated by reference into any corporate resolutions approving such grants and into this Agreement and any agreement evidencing such grants (whether or not</w:t>
      </w:r>
    </w:p>
    <w:p>
      <w:pPr>
        <w:ind w:right="1139"/>
        <w:spacing w:after="0" w:line="210" w:lineRule="auto"/>
        <w:rPr>
          <w:sz w:val="20"/>
          <w:szCs w:val="20"/>
          <w:color w:val="auto"/>
        </w:rPr>
      </w:pPr>
      <w:r>
        <w:rPr>
          <w:rFonts w:ascii="Times New Roman" w:cs="Times New Roman" w:eastAsia="Times New Roman" w:hAnsi="Times New Roman"/>
          <w:sz w:val="19"/>
          <w:szCs w:val="19"/>
          <w:color w:val="auto"/>
        </w:rPr>
        <w:t>explicitly referring to such condition), and the date of grant shall be at the expiration of such 30-day period, whether or not the date of grant indicated therein corresponds with this Section 10.2. In the case of any</w:t>
      </w:r>
    </w:p>
    <w:p>
      <w:pPr>
        <w:spacing w:after="0" w:line="1" w:lineRule="exact"/>
        <w:rPr>
          <w:sz w:val="20"/>
          <w:szCs w:val="20"/>
          <w:color w:val="auto"/>
        </w:rPr>
      </w:pPr>
    </w:p>
    <w:p>
      <w:pPr>
        <w:ind w:right="1159"/>
        <w:spacing w:after="0" w:line="235" w:lineRule="auto"/>
        <w:rPr>
          <w:sz w:val="20"/>
          <w:szCs w:val="20"/>
          <w:color w:val="auto"/>
        </w:rPr>
      </w:pPr>
      <w:r>
        <w:rPr>
          <w:rFonts w:ascii="Times New Roman" w:cs="Times New Roman" w:eastAsia="Times New Roman" w:hAnsi="Times New Roman"/>
          <w:sz w:val="19"/>
          <w:szCs w:val="19"/>
          <w:color w:val="auto"/>
        </w:rPr>
        <w:t>contradiction, this provision and the date of grant determined pursuant hereto shall supersede and be deemed to amend any date of grant indicated in the Notice of Option Grant or in any corporate resolution or any agreement.</w:t>
      </w:r>
    </w:p>
    <w:p>
      <w:pPr>
        <w:spacing w:after="0" w:line="4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9"/>
          <w:szCs w:val="19"/>
          <w:color w:val="auto"/>
        </w:rPr>
        <w:t>10.3.</w:t>
        <w:tab/>
        <w:t>To the extent and with respect to 102 Trustee Awards, the Grantee acknowledges, undertakes and confirms</w:t>
      </w:r>
    </w:p>
    <w:p>
      <w:pPr>
        <w:spacing w:after="0" w:line="220" w:lineRule="auto"/>
        <w:rPr>
          <w:sz w:val="20"/>
          <w:szCs w:val="20"/>
          <w:color w:val="auto"/>
        </w:rPr>
      </w:pPr>
      <w:r>
        <w:rPr>
          <w:rFonts w:ascii="Times New Roman" w:cs="Times New Roman" w:eastAsia="Times New Roman" w:hAnsi="Times New Roman"/>
          <w:sz w:val="19"/>
          <w:szCs w:val="19"/>
          <w:color w:val="auto"/>
        </w:rPr>
        <w:t>that: (i) the Grantee fully understands that Section 102 Ordinance and the rules and regulations enacted thereunder apply to the</w:t>
      </w:r>
    </w:p>
    <w:p>
      <w:pPr>
        <w:ind w:right="279"/>
        <w:spacing w:after="0" w:line="228" w:lineRule="auto"/>
        <w:rPr>
          <w:sz w:val="20"/>
          <w:szCs w:val="20"/>
          <w:color w:val="auto"/>
        </w:rPr>
      </w:pPr>
      <w:r>
        <w:rPr>
          <w:rFonts w:ascii="Times New Roman" w:cs="Times New Roman" w:eastAsia="Times New Roman" w:hAnsi="Times New Roman"/>
          <w:sz w:val="19"/>
          <w:szCs w:val="19"/>
          <w:color w:val="auto"/>
        </w:rPr>
        <w:t>Options, and (ii) the Grantee understands the provisions of Section 102 of the Ordinance, the tax track chosen thereunder and the implications thereof.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- 7 -</w:t>
      </w:r>
    </w:p>
    <w:p>
      <w:pPr>
        <w:sectPr>
          <w:pgSz w:w="11900" w:h="16838" w:orient="portrait"/>
          <w:cols w:equalWidth="0" w:num="1">
            <w:col w:w="10139"/>
          </w:cols>
          <w:pgMar w:left="320" w:top="1162"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9"/>
          <w:szCs w:val="19"/>
          <w:color w:val="auto"/>
        </w:rPr>
        <w:t>the terms of such Options shall also be subject to the terms of the Trust Agreement made between the Company and the</w:t>
      </w:r>
    </w:p>
    <w:p>
      <w:pPr>
        <w:spacing w:after="0" w:line="2" w:lineRule="exact"/>
        <w:rPr>
          <w:sz w:val="20"/>
          <w:szCs w:val="20"/>
          <w:color w:val="auto"/>
        </w:rPr>
      </w:pPr>
    </w:p>
    <w:p>
      <w:pPr>
        <w:ind w:right="760"/>
        <w:spacing w:after="0" w:line="210" w:lineRule="auto"/>
        <w:rPr>
          <w:sz w:val="20"/>
          <w:szCs w:val="20"/>
          <w:color w:val="auto"/>
        </w:rPr>
      </w:pPr>
      <w:r>
        <w:rPr>
          <w:rFonts w:ascii="Times New Roman" w:cs="Times New Roman" w:eastAsia="Times New Roman" w:hAnsi="Times New Roman"/>
          <w:sz w:val="19"/>
          <w:szCs w:val="19"/>
          <w:color w:val="auto"/>
        </w:rPr>
        <w:t xml:space="preserve">Trustee for the benefit of the Grantee, and the Grantee shall sign all documents requested by the Company or the Trustee, in accordance with and under the trust agreement. </w:t>
      </w:r>
      <w:r>
        <w:rPr>
          <w:rFonts w:ascii="Times New Roman" w:cs="Times New Roman" w:eastAsia="Times New Roman" w:hAnsi="Times New Roman"/>
          <w:sz w:val="19"/>
          <w:szCs w:val="19"/>
          <w:b w:val="1"/>
          <w:bCs w:val="1"/>
          <w:i w:val="1"/>
          <w:iCs w:val="1"/>
          <w:color w:val="auto"/>
        </w:rPr>
        <w:t>A copy of the trust agreement is available for the Grantee’s review, during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normal working hours, at the Company’s offices</w:t>
      </w:r>
      <w:r>
        <w:rPr>
          <w:rFonts w:ascii="Times New Roman" w:cs="Times New Roman" w:eastAsia="Times New Roman" w:hAnsi="Times New Roman"/>
          <w:sz w:val="19"/>
          <w:szCs w:val="19"/>
          <w:color w:val="auto"/>
        </w:rPr>
        <w:t>.</w:t>
      </w:r>
    </w:p>
    <w:p>
      <w:pPr>
        <w:spacing w:after="0" w:line="64" w:lineRule="exact"/>
        <w:rPr>
          <w:sz w:val="20"/>
          <w:szCs w:val="20"/>
          <w:color w:val="auto"/>
        </w:rPr>
      </w:pPr>
    </w:p>
    <w:p>
      <w:pPr>
        <w:ind w:right="760" w:firstLine="625"/>
        <w:spacing w:after="0" w:line="222"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Grantee Undertaking</w:t>
      </w:r>
      <w:r>
        <w:rPr>
          <w:rFonts w:ascii="Times New Roman" w:cs="Times New Roman" w:eastAsia="Times New Roman" w:hAnsi="Times New Roman"/>
          <w:sz w:val="19"/>
          <w:szCs w:val="19"/>
          <w:color w:val="auto"/>
        </w:rPr>
        <w:t>. Without derogating from the generality of the foregoing, to the extent and with respect to any Options that are 102 Capital Gain Track Awards, and as required by Section 102 of the Ordinance and the Rules, the</w:t>
      </w:r>
    </w:p>
    <w:p>
      <w:pPr>
        <w:spacing w:after="0" w:line="219" w:lineRule="auto"/>
        <w:rPr>
          <w:sz w:val="20"/>
          <w:szCs w:val="20"/>
          <w:color w:val="auto"/>
        </w:rPr>
      </w:pPr>
      <w:r>
        <w:rPr>
          <w:rFonts w:ascii="Times New Roman" w:cs="Times New Roman" w:eastAsia="Times New Roman" w:hAnsi="Times New Roman"/>
          <w:sz w:val="19"/>
          <w:szCs w:val="19"/>
          <w:color w:val="auto"/>
        </w:rPr>
        <w:t>Grantee acknowledges, undertakes and confirms in writing the following (which shall be apply and relate to all Awards</w:t>
      </w:r>
    </w:p>
    <w:p>
      <w:pPr>
        <w:spacing w:after="0" w:line="1" w:lineRule="exact"/>
        <w:rPr>
          <w:sz w:val="20"/>
          <w:szCs w:val="20"/>
          <w:color w:val="auto"/>
        </w:rPr>
      </w:pPr>
    </w:p>
    <w:p>
      <w:pPr>
        <w:ind w:right="760"/>
        <w:spacing w:after="0" w:line="228" w:lineRule="auto"/>
        <w:rPr>
          <w:sz w:val="20"/>
          <w:szCs w:val="20"/>
          <w:color w:val="auto"/>
        </w:rPr>
      </w:pPr>
      <w:r>
        <w:rPr>
          <w:rFonts w:ascii="Times New Roman" w:cs="Times New Roman" w:eastAsia="Times New Roman" w:hAnsi="Times New Roman"/>
          <w:sz w:val="19"/>
          <w:szCs w:val="19"/>
          <w:color w:val="auto"/>
        </w:rPr>
        <w:t>granted to the Grantee, whether under this Plan or other plans maintained by the Company, and whether prior to or after the date hereof, if any):</w:t>
      </w:r>
    </w:p>
    <w:p>
      <w:pPr>
        <w:spacing w:after="0" w:line="53" w:lineRule="exact"/>
        <w:rPr>
          <w:sz w:val="20"/>
          <w:szCs w:val="20"/>
          <w:color w:val="auto"/>
        </w:rPr>
      </w:pPr>
    </w:p>
    <w:p>
      <w:pPr>
        <w:ind w:left="1280"/>
        <w:spacing w:after="0"/>
        <w:tabs>
          <w:tab w:leader="none" w:pos="2040" w:val="left"/>
        </w:tabs>
        <w:rPr>
          <w:sz w:val="20"/>
          <w:szCs w:val="20"/>
          <w:color w:val="auto"/>
        </w:rPr>
      </w:pPr>
      <w:r>
        <w:rPr>
          <w:rFonts w:ascii="Times New Roman" w:cs="Times New Roman" w:eastAsia="Times New Roman" w:hAnsi="Times New Roman"/>
          <w:sz w:val="19"/>
          <w:szCs w:val="19"/>
          <w:color w:val="auto"/>
        </w:rPr>
        <w:t>10.4.1.</w:t>
        <w:tab/>
        <w:t>The Grantee shall comply with all terms and conditions set forth in Section 102 of the</w:t>
      </w:r>
    </w:p>
    <w:p>
      <w:pPr>
        <w:spacing w:after="0" w:line="2" w:lineRule="exact"/>
        <w:rPr>
          <w:sz w:val="20"/>
          <w:szCs w:val="20"/>
          <w:color w:val="auto"/>
        </w:rPr>
      </w:pPr>
    </w:p>
    <w:p>
      <w:pPr>
        <w:ind w:right="1640"/>
        <w:spacing w:after="0" w:line="228" w:lineRule="auto"/>
        <w:rPr>
          <w:sz w:val="20"/>
          <w:szCs w:val="20"/>
          <w:color w:val="auto"/>
        </w:rPr>
      </w:pPr>
      <w:r>
        <w:rPr>
          <w:rFonts w:ascii="Times New Roman" w:cs="Times New Roman" w:eastAsia="Times New Roman" w:hAnsi="Times New Roman"/>
          <w:sz w:val="19"/>
          <w:szCs w:val="19"/>
          <w:color w:val="auto"/>
        </w:rPr>
        <w:t>Ordinance with regard to the “Capital Gain Track” and the applicable rules and regulations promulgated thereunder, as amended from time to time;</w:t>
      </w:r>
    </w:p>
    <w:p>
      <w:pPr>
        <w:spacing w:after="0" w:line="26" w:lineRule="exact"/>
        <w:rPr>
          <w:sz w:val="20"/>
          <w:szCs w:val="20"/>
          <w:color w:val="auto"/>
        </w:rPr>
      </w:pPr>
    </w:p>
    <w:p>
      <w:pPr>
        <w:ind w:right="1640" w:firstLine="1271"/>
        <w:spacing w:after="0" w:line="230" w:lineRule="auto"/>
        <w:rPr>
          <w:sz w:val="20"/>
          <w:szCs w:val="20"/>
          <w:color w:val="auto"/>
        </w:rPr>
      </w:pPr>
      <w:r>
        <w:rPr>
          <w:rFonts w:ascii="Times New Roman" w:cs="Times New Roman" w:eastAsia="Times New Roman" w:hAnsi="Times New Roman"/>
          <w:sz w:val="19"/>
          <w:szCs w:val="19"/>
          <w:color w:val="auto"/>
        </w:rPr>
        <w:t>10.4.2. The Grantee is familiar with, and understands the provisions of, Section 102 of the Ordinance in general, and the tax arrangement under the “Capital Gain Track” in particular, and its tax</w:t>
      </w:r>
    </w:p>
    <w:p>
      <w:pPr>
        <w:ind w:right="1620"/>
        <w:spacing w:after="0" w:line="210" w:lineRule="auto"/>
        <w:rPr>
          <w:sz w:val="20"/>
          <w:szCs w:val="20"/>
          <w:color w:val="auto"/>
        </w:rPr>
      </w:pPr>
      <w:r>
        <w:rPr>
          <w:rFonts w:ascii="Times New Roman" w:cs="Times New Roman" w:eastAsia="Times New Roman" w:hAnsi="Times New Roman"/>
          <w:sz w:val="19"/>
          <w:szCs w:val="19"/>
          <w:color w:val="auto"/>
        </w:rPr>
        <w:t>consequences; the Grantee agrees that the Options and Shares that may be issued upon exercise of the Options (or otherwise in relation to the Options), will be held by a trustee appointed pursuant to Section 102 of the Ordinance</w:t>
      </w:r>
    </w:p>
    <w:p>
      <w:pPr>
        <w:spacing w:after="0" w:line="219" w:lineRule="auto"/>
        <w:rPr>
          <w:sz w:val="20"/>
          <w:szCs w:val="20"/>
          <w:color w:val="auto"/>
        </w:rPr>
      </w:pPr>
      <w:r>
        <w:rPr>
          <w:rFonts w:ascii="Times New Roman" w:cs="Times New Roman" w:eastAsia="Times New Roman" w:hAnsi="Times New Roman"/>
          <w:sz w:val="19"/>
          <w:szCs w:val="19"/>
          <w:color w:val="auto"/>
        </w:rPr>
        <w:t>for at least the duration of the Holding Period, as defined in Section 102 under the "Capital Gain Track". The</w:t>
      </w:r>
    </w:p>
    <w:p>
      <w:pPr>
        <w:spacing w:after="0" w:line="1" w:lineRule="exact"/>
        <w:rPr>
          <w:sz w:val="20"/>
          <w:szCs w:val="20"/>
          <w:color w:val="auto"/>
        </w:rPr>
      </w:pPr>
    </w:p>
    <w:p>
      <w:pPr>
        <w:ind w:right="1640"/>
        <w:spacing w:after="0" w:line="210" w:lineRule="auto"/>
        <w:rPr>
          <w:sz w:val="20"/>
          <w:szCs w:val="20"/>
          <w:color w:val="auto"/>
        </w:rPr>
      </w:pPr>
      <w:r>
        <w:rPr>
          <w:rFonts w:ascii="Times New Roman" w:cs="Times New Roman" w:eastAsia="Times New Roman" w:hAnsi="Times New Roman"/>
          <w:sz w:val="19"/>
          <w:szCs w:val="19"/>
          <w:color w:val="auto"/>
        </w:rPr>
        <w:t>Grantee understands that any release of such Options or Shares from trust, or any sale of the Shares prior to the termination of the Holding Period, will result in taxation at marginal tax rates, in addition to deductions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appropriate social security, health tax contributions or other compulsory payments; and</w:t>
      </w:r>
    </w:p>
    <w:p>
      <w:pPr>
        <w:spacing w:after="0" w:line="37" w:lineRule="exact"/>
        <w:rPr>
          <w:sz w:val="20"/>
          <w:szCs w:val="20"/>
          <w:color w:val="auto"/>
        </w:rPr>
      </w:pPr>
    </w:p>
    <w:p>
      <w:pPr>
        <w:ind w:left="1280"/>
        <w:spacing w:after="0"/>
        <w:tabs>
          <w:tab w:leader="none" w:pos="2040" w:val="left"/>
        </w:tabs>
        <w:rPr>
          <w:sz w:val="20"/>
          <w:szCs w:val="20"/>
          <w:color w:val="auto"/>
        </w:rPr>
      </w:pPr>
      <w:r>
        <w:rPr>
          <w:rFonts w:ascii="Times New Roman" w:cs="Times New Roman" w:eastAsia="Times New Roman" w:hAnsi="Times New Roman"/>
          <w:sz w:val="19"/>
          <w:szCs w:val="19"/>
          <w:color w:val="auto"/>
        </w:rPr>
        <w:t>10.4.3.</w:t>
        <w:tab/>
        <w:t>The Grantee agrees to the trust agreement signed between the Company, his employing</w:t>
      </w:r>
    </w:p>
    <w:p>
      <w:pPr>
        <w:spacing w:after="0" w:line="2" w:lineRule="exact"/>
        <w:rPr>
          <w:sz w:val="20"/>
          <w:szCs w:val="20"/>
          <w:color w:val="auto"/>
        </w:rPr>
      </w:pPr>
    </w:p>
    <w:p>
      <w:pPr>
        <w:ind w:right="1640"/>
        <w:spacing w:after="0" w:line="228" w:lineRule="auto"/>
        <w:rPr>
          <w:sz w:val="20"/>
          <w:szCs w:val="20"/>
          <w:color w:val="auto"/>
        </w:rPr>
      </w:pPr>
      <w:r>
        <w:rPr>
          <w:rFonts w:ascii="Times New Roman" w:cs="Times New Roman" w:eastAsia="Times New Roman" w:hAnsi="Times New Roman"/>
          <w:sz w:val="19"/>
          <w:szCs w:val="19"/>
          <w:color w:val="auto"/>
        </w:rPr>
        <w:t>company and the trustee appointed pursuant to Section 102 of the Ordinance and shall sign all documents requested by the Company or the Trustee, in accordance with and under the trust agreement.</w:t>
      </w:r>
    </w:p>
    <w:p>
      <w:pPr>
        <w:spacing w:after="0" w:line="49" w:lineRule="exact"/>
        <w:rPr>
          <w:sz w:val="20"/>
          <w:szCs w:val="20"/>
          <w:color w:val="auto"/>
        </w:rPr>
      </w:pPr>
    </w:p>
    <w:p>
      <w:pPr>
        <w:jc w:val="both"/>
        <w:ind w:firstLine="16"/>
        <w:spacing w:after="0" w:line="230" w:lineRule="auto"/>
        <w:tabs>
          <w:tab w:leader="none" w:pos="479"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Plan Termination or Amendment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Board may terminate or amend the Plan or the Options at any time, subject to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any such amendment shall apply on the Grantee and this Option Agreement (including the Options and Shares issuable or issued pursuant thereto), without any required consent of the Grantee. Except as set forth above, this Agreement shall not be amended without the consent of the parties hereto.</w:t>
      </w:r>
    </w:p>
    <w:p>
      <w:pPr>
        <w:spacing w:after="0" w:line="49" w:lineRule="exact"/>
        <w:rPr>
          <w:rFonts w:ascii="Times New Roman" w:cs="Times New Roman" w:eastAsia="Times New Roman" w:hAnsi="Times New Roman"/>
          <w:sz w:val="19"/>
          <w:szCs w:val="19"/>
          <w:color w:val="auto"/>
        </w:rPr>
      </w:pPr>
    </w:p>
    <w:p>
      <w:pPr>
        <w:ind w:left="440" w:hanging="434"/>
        <w:spacing w:after="0"/>
        <w:tabs>
          <w:tab w:leader="none" w:pos="44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color w:val="auto"/>
        </w:rPr>
        <w:t>.</w:t>
      </w:r>
    </w:p>
    <w:p>
      <w:pPr>
        <w:spacing w:after="0" w:line="77" w:lineRule="exact"/>
        <w:rPr>
          <w:sz w:val="20"/>
          <w:szCs w:val="20"/>
          <w:color w:val="auto"/>
        </w:rPr>
      </w:pPr>
    </w:p>
    <w:p>
      <w:pPr>
        <w:jc w:val="both"/>
        <w:ind w:right="760" w:firstLine="625"/>
        <w:spacing w:after="0" w:line="255" w:lineRule="auto"/>
        <w:rPr>
          <w:sz w:val="20"/>
          <w:szCs w:val="20"/>
          <w:color w:val="auto"/>
        </w:rPr>
      </w:pPr>
      <w:r>
        <w:rPr>
          <w:rFonts w:ascii="Times New Roman" w:cs="Times New Roman" w:eastAsia="Times New Roman" w:hAnsi="Times New Roman"/>
          <w:sz w:val="19"/>
          <w:szCs w:val="19"/>
          <w:color w:val="auto"/>
        </w:rPr>
        <w:t xml:space="preserve">12.1.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The Grantee shall perform such further acts and execute such further documents as may reasonably be necessary by the Company to carry out and give full effect to the provisions of this Agreement and the Plan.</w:t>
      </w:r>
    </w:p>
    <w:p>
      <w:pPr>
        <w:spacing w:after="0" w:line="25" w:lineRule="exact"/>
        <w:rPr>
          <w:sz w:val="20"/>
          <w:szCs w:val="20"/>
          <w:color w:val="auto"/>
        </w:rPr>
      </w:pPr>
    </w:p>
    <w:p>
      <w:pPr>
        <w:jc w:val="both"/>
        <w:ind w:right="760" w:firstLine="625"/>
        <w:spacing w:after="0" w:line="237" w:lineRule="auto"/>
        <w:rPr>
          <w:sz w:val="20"/>
          <w:szCs w:val="20"/>
          <w:color w:val="auto"/>
        </w:rPr>
      </w:pPr>
      <w:r>
        <w:rPr>
          <w:rFonts w:ascii="Times New Roman" w:cs="Times New Roman" w:eastAsia="Times New Roman" w:hAnsi="Times New Roman"/>
          <w:sz w:val="19"/>
          <w:szCs w:val="19"/>
          <w:color w:val="auto"/>
        </w:rPr>
        <w:t xml:space="preserve">12.2. </w:t>
      </w:r>
      <w:r>
        <w:rPr>
          <w:rFonts w:ascii="Times New Roman" w:cs="Times New Roman" w:eastAsia="Times New Roman" w:hAnsi="Times New Roman"/>
          <w:sz w:val="19"/>
          <w:szCs w:val="19"/>
          <w:u w:val="single" w:color="auto"/>
          <w:color w:val="auto"/>
        </w:rPr>
        <w:t>Fractional Shares</w:t>
      </w:r>
      <w:r>
        <w:rPr>
          <w:rFonts w:ascii="Times New Roman" w:cs="Times New Roman" w:eastAsia="Times New Roman" w:hAnsi="Times New Roman"/>
          <w:sz w:val="19"/>
          <w:szCs w:val="19"/>
          <w:color w:val="auto"/>
        </w:rPr>
        <w:t>. No fractional Share shall be issuable upon exercise or vesting of any Options and the number of Shares to be issued shall be rounded down to the nearest whole Share, with any Share remaining at the last vesting date due to such rounding to be issued upon exercise at such last vesting date.</w:t>
      </w:r>
    </w:p>
    <w:p>
      <w:pPr>
        <w:spacing w:after="0" w:line="28" w:lineRule="exact"/>
        <w:rPr>
          <w:sz w:val="20"/>
          <w:szCs w:val="20"/>
          <w:color w:val="auto"/>
        </w:rPr>
      </w:pPr>
    </w:p>
    <w:p>
      <w:pPr>
        <w:jc w:val="both"/>
        <w:ind w:right="760" w:firstLine="625"/>
        <w:spacing w:after="0" w:line="222" w:lineRule="auto"/>
        <w:rPr>
          <w:sz w:val="20"/>
          <w:szCs w:val="20"/>
          <w:color w:val="auto"/>
        </w:rPr>
      </w:pPr>
      <w:r>
        <w:rPr>
          <w:rFonts w:ascii="Times New Roman" w:cs="Times New Roman" w:eastAsia="Times New Roman" w:hAnsi="Times New Roman"/>
          <w:sz w:val="19"/>
          <w:szCs w:val="19"/>
          <w:color w:val="auto"/>
        </w:rPr>
        <w:t xml:space="preserve">12.3.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(together with the Notice and all Exhibits) and the Plan constitutes the full and entire understanding and agreement between the parties with regard to the subject matters hereof and thereof, and</w:t>
      </w:r>
    </w:p>
    <w:p>
      <w:pPr>
        <w:spacing w:after="0" w:line="2" w:lineRule="exact"/>
        <w:rPr>
          <w:sz w:val="20"/>
          <w:szCs w:val="20"/>
          <w:color w:val="auto"/>
        </w:rPr>
      </w:pPr>
    </w:p>
    <w:p>
      <w:pPr>
        <w:jc w:val="both"/>
        <w:ind w:right="760"/>
        <w:spacing w:after="0" w:line="235" w:lineRule="auto"/>
        <w:rPr>
          <w:sz w:val="20"/>
          <w:szCs w:val="20"/>
          <w:color w:val="auto"/>
        </w:rPr>
      </w:pPr>
      <w:r>
        <w:rPr>
          <w:rFonts w:ascii="Times New Roman" w:cs="Times New Roman" w:eastAsia="Times New Roman" w:hAnsi="Times New Roman"/>
          <w:sz w:val="19"/>
          <w:szCs w:val="19"/>
          <w:color w:val="auto"/>
        </w:rPr>
        <w:t>supersede all prior agreements and understandings, both written and oral (with no concession being made as to the existence of any such agreements and understandings).</w:t>
      </w:r>
    </w:p>
    <w:p>
      <w:pPr>
        <w:spacing w:after="0" w:line="40" w:lineRule="exact"/>
        <w:rPr>
          <w:sz w:val="20"/>
          <w:szCs w:val="20"/>
          <w:color w:val="auto"/>
        </w:rPr>
      </w:pPr>
    </w:p>
    <w:p>
      <w:pPr>
        <w:jc w:val="both"/>
        <w:ind w:right="760" w:firstLine="625"/>
        <w:spacing w:after="0" w:line="230" w:lineRule="auto"/>
        <w:rPr>
          <w:sz w:val="20"/>
          <w:szCs w:val="20"/>
          <w:color w:val="auto"/>
        </w:rPr>
      </w:pPr>
      <w:r>
        <w:rPr>
          <w:rFonts w:ascii="Times New Roman" w:cs="Times New Roman" w:eastAsia="Times New Roman" w:hAnsi="Times New Roman"/>
          <w:sz w:val="19"/>
          <w:szCs w:val="19"/>
          <w:color w:val="auto"/>
        </w:rPr>
        <w:t xml:space="preserve">12.4. </w:t>
      </w:r>
      <w:r>
        <w:rPr>
          <w:rFonts w:ascii="Times New Roman" w:cs="Times New Roman" w:eastAsia="Times New Roman" w:hAnsi="Times New Roman"/>
          <w:sz w:val="19"/>
          <w:szCs w:val="19"/>
          <w:u w:val="single" w:color="auto"/>
          <w:color w:val="auto"/>
        </w:rPr>
        <w:t>Governing Law; Jurisdiction</w:t>
      </w:r>
      <w:r>
        <w:rPr>
          <w:rFonts w:ascii="Times New Roman" w:cs="Times New Roman" w:eastAsia="Times New Roman" w:hAnsi="Times New Roman"/>
          <w:sz w:val="19"/>
          <w:szCs w:val="19"/>
          <w:color w:val="auto"/>
        </w:rPr>
        <w:t>. This Agreement shall be governed by and construed according to the laws of Delaware, without regard to the conflict of law provisions thereof except with respect to matters that are subject to tax laws,</w:t>
      </w:r>
    </w:p>
    <w:p>
      <w:pPr>
        <w:jc w:val="both"/>
        <w:ind w:right="760"/>
        <w:spacing w:after="0" w:line="210" w:lineRule="auto"/>
        <w:rPr>
          <w:sz w:val="20"/>
          <w:szCs w:val="20"/>
          <w:color w:val="auto"/>
        </w:rPr>
      </w:pPr>
      <w:r>
        <w:rPr>
          <w:rFonts w:ascii="Times New Roman" w:cs="Times New Roman" w:eastAsia="Times New Roman" w:hAnsi="Times New Roman"/>
          <w:sz w:val="19"/>
          <w:szCs w:val="19"/>
          <w:color w:val="auto"/>
        </w:rPr>
        <w:t>regulations and rules of any specific jurisdiction, which shall be governed by the respective laws, regulations and rules of such jurisdiction. Certain definitions, which refer to laws other than the laws of such jurisdiction, shall be construed in accordance</w:t>
      </w:r>
    </w:p>
    <w:p>
      <w:pPr>
        <w:spacing w:after="0" w:line="1" w:lineRule="exact"/>
        <w:rPr>
          <w:sz w:val="20"/>
          <w:szCs w:val="20"/>
          <w:color w:val="auto"/>
        </w:rPr>
      </w:pPr>
    </w:p>
    <w:p>
      <w:pPr>
        <w:jc w:val="both"/>
        <w:ind w:right="760"/>
        <w:spacing w:after="0" w:line="235" w:lineRule="auto"/>
        <w:rPr>
          <w:sz w:val="20"/>
          <w:szCs w:val="20"/>
          <w:color w:val="auto"/>
        </w:rPr>
      </w:pPr>
      <w:r>
        <w:rPr>
          <w:rFonts w:ascii="Times New Roman" w:cs="Times New Roman" w:eastAsia="Times New Roman" w:hAnsi="Times New Roman"/>
          <w:sz w:val="19"/>
          <w:szCs w:val="19"/>
          <w:color w:val="auto"/>
        </w:rPr>
        <w:t>with such other laws. By signing this Agreement each Grantee hereby irrevocably submits to the exclusive jurisdiction of such court.</w:t>
      </w:r>
    </w:p>
    <w:p>
      <w:pPr>
        <w:spacing w:after="0" w:line="40" w:lineRule="exact"/>
        <w:rPr>
          <w:sz w:val="20"/>
          <w:szCs w:val="20"/>
          <w:color w:val="auto"/>
        </w:rPr>
      </w:pPr>
    </w:p>
    <w:p>
      <w:pPr>
        <w:jc w:val="both"/>
        <w:ind w:right="760" w:firstLine="625"/>
        <w:spacing w:after="0" w:line="255" w:lineRule="auto"/>
        <w:rPr>
          <w:sz w:val="20"/>
          <w:szCs w:val="20"/>
          <w:color w:val="auto"/>
        </w:rPr>
      </w:pPr>
      <w:r>
        <w:rPr>
          <w:rFonts w:ascii="Times New Roman" w:cs="Times New Roman" w:eastAsia="Times New Roman" w:hAnsi="Times New Roman"/>
          <w:sz w:val="19"/>
          <w:szCs w:val="19"/>
          <w:color w:val="auto"/>
        </w:rPr>
        <w:t xml:space="preserve">12.5.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one or more counterparts, each of which shall be deemed an original and enforceable against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- 8 -</w:t>
      </w:r>
    </w:p>
    <w:p>
      <w:pPr>
        <w:sectPr>
          <w:pgSz w:w="11900" w:h="16838" w:orient="portrait"/>
          <w:cols w:equalWidth="0" w:num="1">
            <w:col w:w="10620"/>
          </w:cols>
          <w:pgMar w:left="320" w:top="1162" w:right="9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9"/>
          <w:szCs w:val="19"/>
          <w:color w:val="auto"/>
        </w:rPr>
        <w:t>parties, and all of which together shall be considered one and the same agreement, it being understood that all parties need not</w:t>
      </w:r>
    </w:p>
    <w:p>
      <w:pPr>
        <w:spacing w:after="0" w:line="2" w:lineRule="exact"/>
        <w:rPr>
          <w:sz w:val="20"/>
          <w:szCs w:val="20"/>
          <w:color w:val="auto"/>
        </w:rPr>
      </w:pPr>
    </w:p>
    <w:p>
      <w:pPr>
        <w:ind w:right="279"/>
        <w:spacing w:after="0" w:line="210" w:lineRule="auto"/>
        <w:rPr>
          <w:sz w:val="20"/>
          <w:szCs w:val="20"/>
          <w:color w:val="auto"/>
        </w:rPr>
      </w:pPr>
      <w:r>
        <w:rPr>
          <w:rFonts w:ascii="Times New Roman" w:cs="Times New Roman" w:eastAsia="Times New Roman" w:hAnsi="Times New Roman"/>
          <w:sz w:val="19"/>
          <w:szCs w:val="19"/>
          <w:color w:val="auto"/>
        </w:rPr>
        <w:t>sign the same counterpart. The exchange of an executed Agreement (in counterparts or otherwise) by facsimile transmission, electronic transmission or electronic signature shall be sufficient to bind the parties to the terms and conditions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as an original.</w:t>
      </w:r>
    </w:p>
    <w:p>
      <w:pPr>
        <w:spacing w:after="0" w:line="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9"/>
          <w:szCs w:val="19"/>
          <w:color w:val="auto"/>
        </w:rPr>
        <w:t>- 9 -</w:t>
      </w:r>
    </w:p>
    <w:p>
      <w:pPr>
        <w:sectPr>
          <w:pgSz w:w="11900" w:h="16838" w:orient="portrait"/>
          <w:cols w:equalWidth="0" w:num="1">
            <w:col w:w="10139"/>
          </w:cols>
          <w:pgMar w:left="320" w:top="1162" w:right="1440" w:bottom="1440" w:gutter="0" w:footer="0" w:header="0"/>
        </w:sectPr>
      </w:pPr>
    </w:p>
    <w:bookmarkStart w:id="203" w:name="page204"/>
    <w:bookmarkEnd w:id="203"/>
    <w:p>
      <w:pPr>
        <w:ind w:left="640"/>
        <w:spacing w:after="0"/>
        <w:rPr>
          <w:sz w:val="20"/>
          <w:szCs w:val="20"/>
          <w:color w:val="auto"/>
        </w:rPr>
      </w:pPr>
      <w:r>
        <w:rPr>
          <w:rFonts w:ascii="Times New Roman" w:cs="Times New Roman" w:eastAsia="Times New Roman" w:hAnsi="Times New Roman"/>
          <w:sz w:val="19"/>
          <w:szCs w:val="19"/>
          <w:color w:val="auto"/>
        </w:rPr>
        <w:t xml:space="preserve">IN WITNESS WHEREOF, the parties have duly executed and delivered this </w:t>
      </w:r>
      <w:r>
        <w:rPr>
          <w:rFonts w:ascii="Times New Roman" w:cs="Times New Roman" w:eastAsia="Times New Roman" w:hAnsi="Times New Roman"/>
          <w:sz w:val="19"/>
          <w:szCs w:val="19"/>
          <w:b w:val="1"/>
          <w:bCs w:val="1"/>
          <w:color w:val="auto"/>
        </w:rPr>
        <w:t>OPTION AGREEMENT</w:t>
      </w:r>
      <w:r>
        <w:rPr>
          <w:rFonts w:ascii="Times New Roman" w:cs="Times New Roman" w:eastAsia="Times New Roman" w:hAnsi="Times New Roman"/>
          <w:sz w:val="19"/>
          <w:szCs w:val="19"/>
          <w:color w:val="auto"/>
        </w:rPr>
        <w:t xml:space="preserve"> as of the date last written</w:t>
      </w:r>
    </w:p>
    <w:p>
      <w:pPr>
        <w:spacing w:after="0"/>
        <w:rPr>
          <w:sz w:val="20"/>
          <w:szCs w:val="20"/>
          <w:color w:val="auto"/>
        </w:rPr>
      </w:pPr>
      <w:r>
        <w:rPr>
          <w:rFonts w:ascii="Times New Roman" w:cs="Times New Roman" w:eastAsia="Times New Roman" w:hAnsi="Times New Roman"/>
          <w:sz w:val="19"/>
          <w:szCs w:val="19"/>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GRANTEE:</w:t>
            </w:r>
          </w:p>
        </w:tc>
        <w:tc>
          <w:tcPr>
            <w:tcW w:w="35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C2I GENOMICS, INC.</w:t>
            </w:r>
          </w:p>
        </w:tc>
      </w:tr>
      <w:tr>
        <w:trPr>
          <w:trHeight w:val="458"/>
        </w:trPr>
        <w:tc>
          <w:tcPr>
            <w:tcW w:w="10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r>
      <w:tr>
        <w:trPr>
          <w:trHeight w:val="450"/>
        </w:trPr>
        <w:tc>
          <w:tcPr>
            <w:tcW w:w="1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3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Name:</w:t>
            </w:r>
          </w:p>
        </w:tc>
      </w:tr>
      <w:tr>
        <w:trPr>
          <w:trHeight w:val="231"/>
        </w:trPr>
        <w:tc>
          <w:tcPr>
            <w:tcW w:w="1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ID no.:</w:t>
            </w:r>
          </w:p>
        </w:tc>
        <w:tc>
          <w:tcPr>
            <w:tcW w:w="3540" w:type="dxa"/>
            <w:vAlign w:val="bottom"/>
            <w:tcBorders>
              <w:top w:val="single" w:sz="8" w:color="auto"/>
              <w:bottom w:val="single" w:sz="8" w:color="auto"/>
            </w:tcBorders>
          </w:tcPr>
          <w:p>
            <w:pPr>
              <w:spacing w:after="0"/>
              <w:rPr>
                <w:sz w:val="20"/>
                <w:szCs w:val="20"/>
                <w:color w:val="auto"/>
              </w:rPr>
            </w:pPr>
          </w:p>
        </w:tc>
        <w:tc>
          <w:tcPr>
            <w:tcW w:w="188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3600" w:type="dxa"/>
            <w:vAlign w:val="bottom"/>
            <w:tcBorders>
              <w:top w:val="single" w:sz="8" w:color="auto"/>
              <w:bottom w:val="single" w:sz="8" w:color="auto"/>
            </w:tcBorders>
          </w:tcPr>
          <w:p>
            <w:pPr>
              <w:spacing w:after="0"/>
              <w:rPr>
                <w:sz w:val="20"/>
                <w:szCs w:val="20"/>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3540" w:type="dxa"/>
            <w:vAlign w:val="bottom"/>
            <w:tcBorders>
              <w:bottom w:val="single" w:sz="8" w:color="auto"/>
            </w:tcBorders>
          </w:tcPr>
          <w:p>
            <w:pPr>
              <w:spacing w:after="0"/>
              <w:rPr>
                <w:sz w:val="20"/>
                <w:szCs w:val="20"/>
                <w:color w:val="auto"/>
              </w:rPr>
            </w:pPr>
          </w:p>
        </w:tc>
        <w:tc>
          <w:tcPr>
            <w:tcW w:w="188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360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Plan, as of the date hereof, subject to further amendments.</w:t>
      </w:r>
    </w:p>
    <w:p>
      <w:pPr>
        <w:sectPr>
          <w:pgSz w:w="11900" w:h="16838" w:orient="portrait"/>
          <w:cols w:equalWidth="0" w:num="1">
            <w:col w:w="11240"/>
          </w:cols>
          <w:pgMar w:left="320" w:top="1337"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Market Stand-Off Undertaking</w:t>
      </w:r>
    </w:p>
    <w:p>
      <w:pPr>
        <w:spacing w:after="0" w:line="224" w:lineRule="auto"/>
        <w:rPr>
          <w:sz w:val="20"/>
          <w:szCs w:val="20"/>
          <w:color w:val="auto"/>
        </w:rPr>
      </w:pPr>
      <w:r>
        <w:rPr>
          <w:rFonts w:ascii="Times New Roman" w:cs="Times New Roman" w:eastAsia="Times New Roman" w:hAnsi="Times New Roman"/>
          <w:sz w:val="19"/>
          <w:szCs w:val="19"/>
          <w:color w:val="auto"/>
        </w:rPr>
        <w:t>To:</w:t>
      </w:r>
    </w:p>
    <w:p>
      <w:pPr>
        <w:spacing w:after="0" w:line="204" w:lineRule="auto"/>
        <w:rPr>
          <w:sz w:val="20"/>
          <w:szCs w:val="20"/>
          <w:color w:val="auto"/>
        </w:rPr>
      </w:pPr>
      <w:r>
        <w:rPr>
          <w:rFonts w:ascii="Times New Roman" w:cs="Times New Roman" w:eastAsia="Times New Roman" w:hAnsi="Times New Roman"/>
          <w:sz w:val="19"/>
          <w:szCs w:val="19"/>
          <w:color w:val="auto"/>
        </w:rPr>
        <w:t>C2I Genomics,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w:t>
      </w:r>
    </w:p>
    <w:p>
      <w:pPr>
        <w:spacing w:after="0" w:line="218" w:lineRule="auto"/>
        <w:rPr>
          <w:sz w:val="20"/>
          <w:szCs w:val="20"/>
          <w:color w:val="auto"/>
        </w:rPr>
      </w:pPr>
      <w:r>
        <w:rPr>
          <w:rFonts w:ascii="Times New Roman" w:cs="Times New Roman" w:eastAsia="Times New Roman" w:hAnsi="Times New Roman"/>
          <w:sz w:val="19"/>
          <w:szCs w:val="19"/>
          <w:color w:val="auto"/>
        </w:rPr>
        <w:t>The underwriters</w:t>
      </w:r>
    </w:p>
    <w:p>
      <w:pPr>
        <w:spacing w:after="0" w:line="218" w:lineRule="auto"/>
        <w:rPr>
          <w:sz w:val="20"/>
          <w:szCs w:val="20"/>
          <w:color w:val="auto"/>
        </w:rPr>
      </w:pPr>
      <w:r>
        <w:rPr>
          <w:rFonts w:ascii="Times New Roman" w:cs="Times New Roman" w:eastAsia="Times New Roman" w:hAnsi="Times New Roman"/>
          <w:sz w:val="19"/>
          <w:szCs w:val="19"/>
          <w:color w:val="auto"/>
        </w:rPr>
        <w:t>Dear Sirs:</w:t>
      </w:r>
    </w:p>
    <w:p>
      <w:pPr>
        <w:jc w:val="both"/>
        <w:ind w:right="20" w:firstLine="635"/>
        <w:spacing w:after="0" w:line="210" w:lineRule="auto"/>
        <w:rPr>
          <w:sz w:val="20"/>
          <w:szCs w:val="20"/>
          <w:color w:val="auto"/>
        </w:rPr>
      </w:pPr>
      <w:r>
        <w:rPr>
          <w:rFonts w:ascii="Times New Roman" w:cs="Times New Roman" w:eastAsia="Times New Roman" w:hAnsi="Times New Roman"/>
          <w:sz w:val="19"/>
          <w:szCs w:val="19"/>
          <w:color w:val="auto"/>
        </w:rPr>
        <w:t>In connection with any underwritten public offering of equity securities of the Company pursuant to an effective registration statement filed under the U.S. Securities Act of 1933, as amended, or equivalent law in another jurisdiction, and in recognition of the benefit that such an</w:t>
      </w:r>
    </w:p>
    <w:p>
      <w:pPr>
        <w:spacing w:after="0" w:line="219" w:lineRule="auto"/>
        <w:rPr>
          <w:sz w:val="20"/>
          <w:szCs w:val="20"/>
          <w:color w:val="auto"/>
        </w:rPr>
      </w:pPr>
      <w:r>
        <w:rPr>
          <w:rFonts w:ascii="Times New Roman" w:cs="Times New Roman" w:eastAsia="Times New Roman" w:hAnsi="Times New Roman"/>
          <w:sz w:val="19"/>
          <w:szCs w:val="19"/>
          <w:color w:val="auto"/>
        </w:rPr>
        <w:t>offering will confer upon the undersigned as a stockholder of the Company, and for other good and valuable consideration, the receipt and</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sufficiency of which are hereby acknowledged, the undersigned agrees with the Company and each underwriter, during the Lock Up Period (as defined below), that the undersigned will not, without the prior written consent of the Company or the underwriters (or the lead underwriter, as</w:t>
      </w:r>
    </w:p>
    <w:p>
      <w:pPr>
        <w:spacing w:after="0" w:line="219" w:lineRule="auto"/>
        <w:rPr>
          <w:sz w:val="20"/>
          <w:szCs w:val="20"/>
          <w:color w:val="auto"/>
        </w:rPr>
      </w:pPr>
      <w:r>
        <w:rPr>
          <w:rFonts w:ascii="Times New Roman" w:cs="Times New Roman" w:eastAsia="Times New Roman" w:hAnsi="Times New Roman"/>
          <w:sz w:val="19"/>
          <w:szCs w:val="19"/>
          <w:color w:val="auto"/>
        </w:rPr>
        <w:t>the underwriters shall agree among themselves), directly or indirectly, (i) lend, offer, pledge, sell, contract to sell, sell any option or contract to</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purchase, purchase any option or contract to sell, grant any option, right or warrant for the sale of, or otherwise dispose of or transfer any shares of the Company or any securities convertible into or exchangeable or exercisable for shares or securities of the Company, whether now owned</w:t>
      </w:r>
    </w:p>
    <w:p>
      <w:pPr>
        <w:spacing w:after="0" w:line="219" w:lineRule="auto"/>
        <w:rPr>
          <w:sz w:val="20"/>
          <w:szCs w:val="20"/>
          <w:color w:val="auto"/>
        </w:rPr>
      </w:pPr>
      <w:r>
        <w:rPr>
          <w:rFonts w:ascii="Times New Roman" w:cs="Times New Roman" w:eastAsia="Times New Roman" w:hAnsi="Times New Roman"/>
          <w:sz w:val="19"/>
          <w:szCs w:val="19"/>
          <w:color w:val="auto"/>
        </w:rPr>
        <w:t>or hereafter acquired by the undersigned or with respect to which the undersigned has or hereafter acquires the power of disposition (including,</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without limitation, awards under any Company stock or equity plan) and any shares or other securities issued or distributed with respect to or in substitution of any of the foregoing (collectively, the “</w:t>
      </w:r>
      <w:r>
        <w:rPr>
          <w:rFonts w:ascii="Times New Roman" w:cs="Times New Roman" w:eastAsia="Times New Roman" w:hAnsi="Times New Roman"/>
          <w:sz w:val="19"/>
          <w:szCs w:val="19"/>
          <w:b w:val="1"/>
          <w:bCs w:val="1"/>
          <w:u w:val="single" w:color="auto"/>
          <w:color w:val="auto"/>
        </w:rPr>
        <w:t>Lock Up Securities</w:t>
      </w:r>
      <w:r>
        <w:rPr>
          <w:rFonts w:ascii="Times New Roman" w:cs="Times New Roman" w:eastAsia="Times New Roman" w:hAnsi="Times New Roman"/>
          <w:sz w:val="19"/>
          <w:szCs w:val="19"/>
          <w:color w:val="auto"/>
        </w:rPr>
        <w:t>”), (ii) exercise any right with respect to the registration of any of the</w:t>
      </w:r>
    </w:p>
    <w:p>
      <w:pPr>
        <w:spacing w:after="0" w:line="219" w:lineRule="auto"/>
        <w:rPr>
          <w:sz w:val="20"/>
          <w:szCs w:val="20"/>
          <w:color w:val="auto"/>
        </w:rPr>
      </w:pPr>
      <w:r>
        <w:rPr>
          <w:rFonts w:ascii="Times New Roman" w:cs="Times New Roman" w:eastAsia="Times New Roman" w:hAnsi="Times New Roman"/>
          <w:sz w:val="19"/>
          <w:szCs w:val="19"/>
          <w:color w:val="auto"/>
        </w:rPr>
        <w:t>Lock Up Securities, or file or cause to be filed any registration statement in connection therewith, under the U.S. Securities Act of 1933, as</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amended, or equivalent law in another jurisdiction, or (iii) enter into any swap or any other agreement or any transaction that transfers, in whole or in part, directly or indirectly, the economic consequence of ownership of the Lock Up Securities, whether any such swap or transaction in this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clause (iii) or (i) above is to be settled by delivery of shares or other securities of the Company, in cash or otherwise. The foregoing provisions shall not apply to the sale of any shares to an underwriter pursuant to an underwriting agreement.</w:t>
      </w:r>
    </w:p>
    <w:p>
      <w:pPr>
        <w:spacing w:after="0" w:line="142" w:lineRule="exact"/>
        <w:rPr>
          <w:sz w:val="20"/>
          <w:szCs w:val="20"/>
          <w:color w:val="auto"/>
        </w:rPr>
      </w:pPr>
    </w:p>
    <w:p>
      <w:pPr>
        <w:jc w:val="both"/>
        <w:ind w:firstLine="206"/>
        <w:spacing w:after="0" w:line="232" w:lineRule="auto"/>
        <w:rPr>
          <w:sz w:val="20"/>
          <w:szCs w:val="20"/>
          <w:color w:val="auto"/>
        </w:rPr>
      </w:pPr>
      <w:r>
        <w:rPr>
          <w:rFonts w:ascii="Times New Roman" w:cs="Times New Roman" w:eastAsia="Times New Roman" w:hAnsi="Times New Roman"/>
          <w:sz w:val="19"/>
          <w:szCs w:val="19"/>
          <w:color w:val="auto"/>
        </w:rPr>
        <w:t>The restrictions contained in this letter shall be in effect for such period of time (the “</w:t>
      </w:r>
      <w:r>
        <w:rPr>
          <w:rFonts w:ascii="Times New Roman" w:cs="Times New Roman" w:eastAsia="Times New Roman" w:hAnsi="Times New Roman"/>
          <w:sz w:val="19"/>
          <w:szCs w:val="19"/>
          <w:b w:val="1"/>
          <w:bCs w:val="1"/>
          <w:u w:val="single" w:color="auto"/>
          <w:color w:val="auto"/>
        </w:rPr>
        <w:t>Lock Up Period</w:t>
      </w:r>
      <w:r>
        <w:rPr>
          <w:rFonts w:ascii="Times New Roman" w:cs="Times New Roman" w:eastAsia="Times New Roman" w:hAnsi="Times New Roman"/>
          <w:sz w:val="19"/>
          <w:szCs w:val="19"/>
          <w:color w:val="auto"/>
        </w:rPr>
        <w:t>”): (A) following the first public filing of the registration statement relating to the underwritten public offering until the expiration of 180 days following the effective date of such</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registration statement relating to the Company’s initial public offering or 90 days following the effective date of such registration statement relating to any other public offering; in each case, provided, however, that if (1) during the last 17 days of the initial Lock Up Period, the</w:t>
      </w:r>
    </w:p>
    <w:p>
      <w:pPr>
        <w:spacing w:after="0" w:line="219" w:lineRule="auto"/>
        <w:rPr>
          <w:sz w:val="20"/>
          <w:szCs w:val="20"/>
          <w:color w:val="auto"/>
        </w:rPr>
      </w:pPr>
      <w:r>
        <w:rPr>
          <w:rFonts w:ascii="Times New Roman" w:cs="Times New Roman" w:eastAsia="Times New Roman" w:hAnsi="Times New Roman"/>
          <w:sz w:val="19"/>
          <w:szCs w:val="19"/>
          <w:color w:val="auto"/>
        </w:rPr>
        <w:t>Company releases earnings results or announces material news or a material event or (2) prior to the expiration of the initial Lock Up Period, the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Company announces that it will release earnings results during the 15-day period following the last day of the initial Lock Up Period, then in each case the Lock Up Period will be automatically extended until the expiration of the 18-day period beginning on the date of release of the</w:t>
      </w:r>
    </w:p>
    <w:p>
      <w:pPr>
        <w:spacing w:after="0" w:line="219" w:lineRule="auto"/>
        <w:rPr>
          <w:sz w:val="20"/>
          <w:szCs w:val="20"/>
          <w:color w:val="auto"/>
        </w:rPr>
      </w:pPr>
      <w:r>
        <w:rPr>
          <w:rFonts w:ascii="Times New Roman" w:cs="Times New Roman" w:eastAsia="Times New Roman" w:hAnsi="Times New Roman"/>
          <w:sz w:val="19"/>
          <w:szCs w:val="19"/>
          <w:color w:val="auto"/>
        </w:rPr>
        <w:t>earnings results or the announcement of the material news or material event; or (B) as shall be requested by the Company or the underwriter(s).</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Notwithstanding anything herein to the contrary, if the underwriter(s) and the Company agreed on a termination date of the Lock Up Period in the event of failure to consummation a certain public offering, then such termination shall apply also to the Lock Up Period hereunder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respect to that particular public offering.</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 the event of a subdivision of the outstanding share capital of the Company, the distribution of any securities (whether or not of the</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Company), whether as bonus shares or otherwise, and whether as dividend or otherwise, a recapitalization, a reorganization (which may include a combination or exchange of shares or a similar transaction affecting the Company’s outstanding securities without receipt of consideration), a</w:t>
      </w:r>
    </w:p>
    <w:p>
      <w:pPr>
        <w:spacing w:after="0" w:line="219" w:lineRule="auto"/>
        <w:rPr>
          <w:sz w:val="20"/>
          <w:szCs w:val="20"/>
          <w:color w:val="auto"/>
        </w:rPr>
      </w:pPr>
      <w:r>
        <w:rPr>
          <w:rFonts w:ascii="Times New Roman" w:cs="Times New Roman" w:eastAsia="Times New Roman" w:hAnsi="Times New Roman"/>
          <w:sz w:val="19"/>
          <w:szCs w:val="19"/>
          <w:color w:val="auto"/>
        </w:rPr>
        <w:t>consolidation, a spin-off or other corporate divestiture or division, a reclassification or other similar occurrence, any new, substituted 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additional securities which are by reason of such transaction distributed with respect to any Lock Up Securities, or into which such Lock Up Securities thereby become convertible, shall immediately be subject to the provisions and restrictions contained herein.</w:t>
      </w:r>
    </w:p>
    <w:p>
      <w:pPr>
        <w:spacing w:after="0" w:line="26" w:lineRule="exact"/>
        <w:rPr>
          <w:sz w:val="20"/>
          <w:szCs w:val="20"/>
          <w:color w:val="auto"/>
        </w:rPr>
      </w:pPr>
    </w:p>
    <w:p>
      <w:pPr>
        <w:jc w:val="both"/>
        <w:ind w:firstLine="635"/>
        <w:spacing w:after="0" w:line="237" w:lineRule="auto"/>
        <w:rPr>
          <w:sz w:val="20"/>
          <w:szCs w:val="20"/>
          <w:color w:val="auto"/>
        </w:rPr>
      </w:pPr>
      <w:r>
        <w:rPr>
          <w:rFonts w:ascii="Times New Roman" w:cs="Times New Roman" w:eastAsia="Times New Roman" w:hAnsi="Times New Roman"/>
          <w:sz w:val="19"/>
          <w:szCs w:val="19"/>
          <w:color w:val="auto"/>
        </w:rPr>
        <w:t>The undersigned agrees that, prior to engaging in any transaction or taking any other action that is subject to the terms of this letter during the Lock Up Period, it will give notice thereof to the Company and will not consummate such transaction or take any such action unless it has received written confirmation from the Company that the Lock Up Period has expired.</w:t>
      </w:r>
    </w:p>
    <w:p>
      <w:pPr>
        <w:spacing w:after="0" w:line="147" w:lineRule="exact"/>
        <w:rPr>
          <w:sz w:val="20"/>
          <w:szCs w:val="20"/>
          <w:color w:val="auto"/>
        </w:rPr>
      </w:pPr>
    </w:p>
    <w:p>
      <w:pPr>
        <w:jc w:val="both"/>
        <w:ind w:firstLine="635"/>
        <w:spacing w:after="0" w:line="255" w:lineRule="auto"/>
        <w:rPr>
          <w:sz w:val="20"/>
          <w:szCs w:val="20"/>
          <w:color w:val="auto"/>
        </w:rPr>
      </w:pPr>
      <w:r>
        <w:rPr>
          <w:rFonts w:ascii="Times New Roman" w:cs="Times New Roman" w:eastAsia="Times New Roman" w:hAnsi="Times New Roman"/>
          <w:sz w:val="19"/>
          <w:szCs w:val="19"/>
          <w:color w:val="auto"/>
        </w:rPr>
        <w:t>The Company may impose and the undersigned agrees and consents to the entry of stop transfer instructions with the Company’s transfer agent and registrar against the transfer of the Lock Up Securities except in compliance with the foregoing restrictions.</w:t>
      </w:r>
    </w:p>
    <w:p>
      <w:pPr>
        <w:sectPr>
          <w:pgSz w:w="11900" w:h="16838" w:orient="portrait"/>
          <w:cols w:equalWidth="0" w:num="1">
            <w:col w:w="11240"/>
          </w:cols>
          <w:pgMar w:left="320" w:top="100"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635"/>
        <w:spacing w:after="0" w:line="230" w:lineRule="auto"/>
        <w:rPr>
          <w:sz w:val="20"/>
          <w:szCs w:val="20"/>
          <w:color w:val="auto"/>
        </w:rPr>
      </w:pPr>
      <w:r>
        <w:rPr>
          <w:rFonts w:ascii="Times New Roman" w:cs="Times New Roman" w:eastAsia="Times New Roman" w:hAnsi="Times New Roman"/>
          <w:sz w:val="19"/>
          <w:szCs w:val="19"/>
          <w:color w:val="auto"/>
        </w:rPr>
        <w:t>The undersigned understands that the Company and the underwriters are relying upon this letter in proceeding toward consummation of the offering. The underwriters in connection with a registration statement so filed are intended third party beneficiaries of this letter and shall</w:t>
      </w:r>
    </w:p>
    <w:p>
      <w:pPr>
        <w:spacing w:after="0" w:line="210" w:lineRule="auto"/>
        <w:rPr>
          <w:sz w:val="20"/>
          <w:szCs w:val="20"/>
          <w:color w:val="auto"/>
        </w:rPr>
      </w:pPr>
      <w:r>
        <w:rPr>
          <w:rFonts w:ascii="Times New Roman" w:cs="Times New Roman" w:eastAsia="Times New Roman" w:hAnsi="Times New Roman"/>
          <w:sz w:val="19"/>
          <w:szCs w:val="19"/>
          <w:color w:val="auto"/>
        </w:rPr>
        <w:t>have the right, power and authority to enforce the provisions hereof as though they were a party hereto. The undersigned shall execute (and hereby empowers the Company as its proxy and attorney-in-fact to do so in his/her name) such separate agreement(s) as may be requested by</w:t>
      </w:r>
    </w:p>
    <w:p>
      <w:pPr>
        <w:spacing w:after="0" w:line="219" w:lineRule="auto"/>
        <w:rPr>
          <w:sz w:val="20"/>
          <w:szCs w:val="20"/>
          <w:color w:val="auto"/>
        </w:rPr>
      </w:pPr>
      <w:r>
        <w:rPr>
          <w:rFonts w:ascii="Times New Roman" w:cs="Times New Roman" w:eastAsia="Times New Roman" w:hAnsi="Times New Roman"/>
          <w:sz w:val="19"/>
          <w:szCs w:val="19"/>
          <w:color w:val="auto"/>
        </w:rPr>
        <w:t>the Company or the underwriters in connection with such registration statement and in the form required by them (which need not be identical</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to the provisions of this letter, and may include such additional provisions and restrictions as the underwriter(s) deem advisable) or that are necessary to give further effect thereto. The execution of such separate agreement(s) may be a condition by the Company to the exercise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award under the Company’s stock incentive plan(s).</w:t>
      </w:r>
    </w:p>
    <w:p>
      <w:pPr>
        <w:spacing w:after="0" w:line="170" w:lineRule="exact"/>
        <w:rPr>
          <w:sz w:val="20"/>
          <w:szCs w:val="20"/>
          <w:color w:val="auto"/>
        </w:rPr>
      </w:pPr>
    </w:p>
    <w:p>
      <w:pPr>
        <w:ind w:firstLine="248"/>
        <w:spacing w:after="0" w:line="222" w:lineRule="auto"/>
        <w:rPr>
          <w:sz w:val="20"/>
          <w:szCs w:val="20"/>
          <w:color w:val="auto"/>
        </w:rPr>
      </w:pPr>
      <w:r>
        <w:rPr>
          <w:rFonts w:ascii="Times New Roman" w:cs="Times New Roman" w:eastAsia="Times New Roman" w:hAnsi="Times New Roman"/>
          <w:sz w:val="19"/>
          <w:szCs w:val="19"/>
          <w:color w:val="auto"/>
        </w:rPr>
        <w:t>This letter is irrevocable and shall be binding upon the undersigned’s heirs, legal representatives, successors, assigns, and the purchaser or transferee of any Lock Up Securities. The Company, may, at its discretion, and without any further consent, release or remove some or all of the</w:t>
      </w:r>
    </w:p>
    <w:p>
      <w:pPr>
        <w:spacing w:after="0" w:line="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restrictions contained in this letter, or allow certain exceptions to such restrictions (whether in general or in any specific case, and such relief or exceptions need not be the same or identical among to all persons bound by them).</w:t>
      </w:r>
    </w:p>
    <w:p>
      <w:pPr>
        <w:spacing w:after="0" w:line="132" w:lineRule="exact"/>
        <w:rPr>
          <w:sz w:val="20"/>
          <w:szCs w:val="20"/>
          <w:color w:val="auto"/>
        </w:rPr>
      </w:pPr>
    </w:p>
    <w:p>
      <w:pPr>
        <w:ind w:firstLine="241"/>
        <w:spacing w:after="0" w:line="255" w:lineRule="auto"/>
        <w:rPr>
          <w:sz w:val="20"/>
          <w:szCs w:val="20"/>
          <w:color w:val="auto"/>
        </w:rPr>
      </w:pPr>
      <w:r>
        <w:rPr>
          <w:rFonts w:ascii="Times New Roman" w:cs="Times New Roman" w:eastAsia="Times New Roman" w:hAnsi="Times New Roman"/>
          <w:sz w:val="19"/>
          <w:szCs w:val="19"/>
          <w:color w:val="auto"/>
        </w:rPr>
        <w:t>This letter shall not derogate from any provision or restriction contained in any Company’s stock incentive plan(s), agreement between the undersigned the Company or the underwriters, or any restriction or limitation pursuant to applicable law.</w:t>
      </w:r>
    </w:p>
    <w:p>
      <w:pPr>
        <w:spacing w:after="0" w:line="200" w:lineRule="exact"/>
        <w:rPr>
          <w:sz w:val="20"/>
          <w:szCs w:val="20"/>
          <w:color w:val="auto"/>
        </w:rPr>
      </w:pPr>
    </w:p>
    <w:p>
      <w:pPr>
        <w:spacing w:after="0" w:line="36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-5715</wp:posOffset>
            </wp:positionV>
            <wp:extent cx="1231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-5715</wp:posOffset>
            </wp:positionV>
            <wp:extent cx="1231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-5715</wp:posOffset>
            </wp:positionV>
            <wp:extent cx="6159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615950" cy="825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C2I GENOMICS,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IRREVOCABLE PROXY AND POWER OF ATTORNEY</w:t>
      </w:r>
    </w:p>
    <w:p>
      <w:pPr>
        <w:spacing w:after="0" w:line="19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i w:val="1"/>
          <w:iCs w:val="1"/>
          <w:color w:val="auto"/>
        </w:rPr>
        <w:t>Unless otherwise defined, capitalized terms used herein shall have the meaning ascribed to them under the Company’s Stock Incentive Plan and are incorporated herein by reference.</w:t>
      </w:r>
    </w:p>
    <w:p>
      <w:pPr>
        <w:spacing w:after="0" w:line="63" w:lineRule="exact"/>
        <w:rPr>
          <w:sz w:val="20"/>
          <w:szCs w:val="20"/>
          <w:color w:val="auto"/>
        </w:rPr>
      </w:pPr>
    </w:p>
    <w:p>
      <w:pPr>
        <w:jc w:val="both"/>
        <w:ind w:firstLine="635"/>
        <w:spacing w:after="0" w:line="224" w:lineRule="auto"/>
        <w:rPr>
          <w:sz w:val="20"/>
          <w:szCs w:val="20"/>
          <w:color w:val="auto"/>
        </w:rPr>
      </w:pPr>
      <w:r>
        <w:rPr>
          <w:rFonts w:ascii="Times New Roman" w:cs="Times New Roman" w:eastAsia="Times New Roman" w:hAnsi="Times New Roman"/>
          <w:sz w:val="17"/>
          <w:szCs w:val="17"/>
          <w:color w:val="auto"/>
        </w:rPr>
        <w:t>I, the undersigned, hereby irrevocably appoints the Company, which shall designate such person or persons as determined by the Committee (and in the absence of such determination, the CEO or Chairman of the Board of Directors of the Company, ex officio), with full power of substitution, as my proxy and attorney-in-fact to: (i) cause any number of shares, of any class, of the Company owned by me or by the Trustee for my benefit, under the Plan or any</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other stock incentive or option plan of the Company, and any other shares or securities issued or distributed in respect thereto or in substitution or exchange thereof, at any time and from time to time, and as may be adjusted (collectively,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be counted as present at any and all Stockholders Meetings (as defined below); (ii) represent me and to vote in my name at any and all Stockholders Meetings in respect of the Shares; (iii) sign and execute on my behalf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any written resolutions or consents in lieu of a Stockholder Meeting or any other consent, in respect of the Shares; (iv) exercise or fail to exercise, in the proxyholder’s sole and absolute discretion, any rights or obligations attached to any and all Shares, and sign on my behalf any document or instrument relating to such rights or obligations, including, without limitation, stockholders agreements, documents concerning rights of bring along, tag along, first refusal,</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preemptive rights, co-sale rights, information rights, registration rights, lock-up/market stand-off and any other rights or obligations, if any, whether included in the incorporation documents of the Company or any other document, agreement, or instrument as shall be from time to time (which exercise may impose on the undersigned monetary liability in connection with a Merger/Sale); and (v) agree to the offer to effect a Merger/Sale on the terms approved by the Board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(and the Shares held by me or for my benefit shall be included in the shares capital of the Company approving the terms of such Merger/Sale for the purpose of satisfying any required majority), sell all of the Shares held by me or for my benefit, in accordance with the instructions then issued by the Board, whose determination shall be final, and sign on my behalf any document or instrument relating thereto, including, without limitation, purchase agreements, stock</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transfer documents, as are required to affect a compulsory sale of Shares in connection with a Merger/Sale pursuant to the Plan; (vi) receive all notices and communications with respect to the above, including, without limitation, notices of any Stockholders Meeting (including any adjournment or postponement thereof) or any written resolution or consent in lieu thereof. “</w:t>
      </w:r>
      <w:r>
        <w:rPr>
          <w:rFonts w:ascii="Times New Roman" w:cs="Times New Roman" w:eastAsia="Times New Roman" w:hAnsi="Times New Roman"/>
          <w:sz w:val="17"/>
          <w:szCs w:val="17"/>
          <w:b w:val="1"/>
          <w:bCs w:val="1"/>
          <w:color w:val="auto"/>
        </w:rPr>
        <w:t>Stockholders Meetings</w:t>
      </w:r>
      <w:r>
        <w:rPr>
          <w:rFonts w:ascii="Times New Roman" w:cs="Times New Roman" w:eastAsia="Times New Roman" w:hAnsi="Times New Roman"/>
          <w:sz w:val="17"/>
          <w:szCs w:val="17"/>
          <w:color w:val="auto"/>
        </w:rPr>
        <w:t>” shall mean any meeting of the stockholders of the Company, however</w:t>
      </w:r>
    </w:p>
    <w:p>
      <w:pPr>
        <w:spacing w:after="0" w:line="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called, whether an extraordinary or annual meeting and whether of the share capital as one class or of any class thereof, and including any adjournment or postponement thereof), or any act or consent of stockholders of the Company (whether of the share capital as one class or of any class thereof) under the Company's Certificate of Incorporation, Bylaws or otherwise.</w:t>
      </w:r>
    </w:p>
    <w:p>
      <w:pPr>
        <w:spacing w:after="0" w:line="197" w:lineRule="exact"/>
        <w:rPr>
          <w:sz w:val="20"/>
          <w:szCs w:val="20"/>
          <w:color w:val="auto"/>
        </w:rPr>
      </w:pPr>
    </w:p>
    <w:p>
      <w:pPr>
        <w:jc w:val="both"/>
        <w:ind w:firstLine="635"/>
        <w:spacing w:after="0" w:line="224" w:lineRule="auto"/>
        <w:rPr>
          <w:sz w:val="20"/>
          <w:szCs w:val="20"/>
          <w:color w:val="auto"/>
        </w:rPr>
      </w:pPr>
      <w:r>
        <w:rPr>
          <w:rFonts w:ascii="Times New Roman" w:cs="Times New Roman" w:eastAsia="Times New Roman" w:hAnsi="Times New Roman"/>
          <w:sz w:val="17"/>
          <w:szCs w:val="17"/>
          <w:color w:val="auto"/>
        </w:rPr>
        <w:t>This proxy and power of attorney shall be exercised in accordance with the Plan, including, without limitation, Section 6.10 thereof. In any Stockholders Meeting or written consent in lieu thereof, the Shares shall be voted by the proxy holder, unless directed otherwise by the Board, in the same proportion as the result of the vote at the Stockholders Meeting in respect of which the Shares are being voted, and in any act or consent of stockholders under</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Company's Certificate of Incorporation, Bylaws or otherwise, such Shares shall be cast by the proxy holder, unless directed otherwise by the Board, in the same proportion as the result of the stockholders’ act or consent.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long as this proxy and power of attorney is in effect, any and all voting rights I may have with respect to the Shares shall be exercised exclusively</w:t>
      </w:r>
    </w:p>
    <w:p>
      <w:pPr>
        <w:spacing w:after="0" w:line="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by this proxy and power of attorney. The undersigned hereby revokes any proxy(ies) and power of attorney heretofore given in respect of the Shares to any person(s) and agrees not to give any other proxies or and power of attorney in derogation or preventing the undersigned from complying with its obligations hereof, until such time as this proxy is no longer in full force and effect. The undersigned acknowledges and agrees that this proxy shall be irrevocable and is a</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special power of attorney coupled with an interest sufficient in law (including, without limitation, in accordance with the provisions of Section 212(e) of the Delaware General Corporation Law) to support an irrevocable power and shall survive the bankruptcy, liquidation, insolvency, death, adjudication of incompetence or the like of undersigned. This proxy and power of attorney shall survive the transfer of Shares, until duly replaced by a similar power and</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power of attorney executed by the transferee. The Company is an intended third party beneficiary of this proxy and power of attorney. Any person holding or exercising such voting proxies is doing so solely in his/her capacity as the proxy holder and not individually. The undersigned confirms and undertakes that he/she shall not have, and irrevocably waive, any claim or demand against the Company in connection with this proxy or any action taken or not taken by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Attorney-In-Fact in accordance herewith. This proxy shall terminate and be of no further force and effect immediately after the listing for trading on a stock exchange or market or trading system of shares of the Company or of the Successor Corporation (as such term is defined in the Plan).</w:t>
      </w:r>
    </w:p>
    <w:p>
      <w:pPr>
        <w:sectPr>
          <w:pgSz w:w="11900" w:h="16838" w:orient="portrait"/>
          <w:cols w:equalWidth="0" w:num="1">
            <w:col w:w="11240"/>
          </w:cols>
          <w:pgMar w:left="320" w:top="100" w:right="339" w:bottom="1440" w:gutter="0" w:footer="0" w:header="0"/>
        </w:sectPr>
      </w:pPr>
    </w:p>
    <w:bookmarkStart w:id="207" w:name="page208"/>
    <w:bookmarkEnd w:id="207"/>
    <w:p>
      <w:pPr>
        <w:ind w:left="5120"/>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IRREVOCABLE PROXY as of the date written below.</w:t>
      </w:r>
    </w:p>
    <w:p>
      <w:pPr>
        <w:spacing w:after="0" w:line="3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9"/>
          <w:szCs w:val="19"/>
          <w:color w:val="auto"/>
        </w:rPr>
        <w:t>Signature:</w:t>
      </w:r>
    </w:p>
    <w:p>
      <w:pPr>
        <w:spacing w:after="0" w:line="3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9"/>
          <w:szCs w:val="19"/>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-132715</wp:posOffset>
            </wp:positionV>
            <wp:extent cx="20504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2050415" cy="8255"/>
                    </a:xfrm>
                    <a:prstGeom prst="rect">
                      <a:avLst/>
                    </a:prstGeom>
                    <a:noFill/>
                  </pic:spPr>
                </pic:pic>
              </a:graphicData>
            </a:graphic>
          </wp:anchor>
        </w:drawing>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9"/>
          <w:szCs w:val="19"/>
          <w:color w:val="auto"/>
        </w:rPr>
        <w:t>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-132715</wp:posOffset>
            </wp:positionV>
            <wp:extent cx="20504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2050415" cy="8255"/>
                    </a:xfrm>
                    <a:prstGeom prst="rect">
                      <a:avLst/>
                    </a:prstGeom>
                    <a:noFill/>
                  </pic:spPr>
                </pic:pic>
              </a:graphicData>
            </a:graphic>
          </wp:anchor>
        </w:drawing>
      </w:r>
    </w:p>
    <w:p>
      <w:pPr>
        <w:spacing w:after="0" w:line="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26035</wp:posOffset>
            </wp:positionV>
            <wp:extent cx="20504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2050415" cy="825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-132715</wp:posOffset>
            </wp:positionV>
            <wp:extent cx="20504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2050415" cy="8255"/>
                    </a:xfrm>
                    <a:prstGeom prst="rect">
                      <a:avLst/>
                    </a:prstGeom>
                    <a:noFill/>
                  </pic:spPr>
                </pic:pic>
              </a:graphicData>
            </a:graphic>
          </wp:anchor>
        </w:drawing>
      </w:r>
    </w:p>
    <w:p>
      <w:pPr>
        <w:sectPr>
          <w:pgSz w:w="11900" w:h="16838" w:orient="portrait"/>
          <w:cols w:equalWidth="0" w:num="1">
            <w:col w:w="10139"/>
          </w:cols>
          <w:pgMar w:left="320" w:top="100" w:right="1440"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1"/>
          <w:szCs w:val="2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VERACYTE,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OPTION ASSUMPTION NOTICE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[Full Name]: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As you know, on [Date] (the “</w:t>
      </w:r>
      <w:r>
        <w:rPr>
          <w:rFonts w:ascii="Times New Roman" w:cs="Times New Roman" w:eastAsia="Times New Roman" w:hAnsi="Times New Roman"/>
          <w:sz w:val="19"/>
          <w:szCs w:val="19"/>
          <w:b w:val="1"/>
          <w:bCs w:val="1"/>
          <w:i w:val="1"/>
          <w:iCs w:val="1"/>
          <w:color w:val="auto"/>
        </w:rPr>
        <w:t>Closing Date</w:t>
      </w:r>
      <w:r>
        <w:rPr>
          <w:rFonts w:ascii="Times New Roman" w:cs="Times New Roman" w:eastAsia="Times New Roman" w:hAnsi="Times New Roman"/>
          <w:sz w:val="19"/>
          <w:szCs w:val="19"/>
          <w:color w:val="auto"/>
        </w:rPr>
        <w:t>”), Veracyte, Inc. (“</w:t>
      </w:r>
      <w:r>
        <w:rPr>
          <w:rFonts w:ascii="Times New Roman" w:cs="Times New Roman" w:eastAsia="Times New Roman" w:hAnsi="Times New Roman"/>
          <w:sz w:val="19"/>
          <w:szCs w:val="19"/>
          <w:b w:val="1"/>
          <w:bCs w:val="1"/>
          <w:i w:val="1"/>
          <w:iCs w:val="1"/>
          <w:color w:val="auto"/>
        </w:rPr>
        <w:t>Acquirer</w:t>
      </w:r>
      <w:r>
        <w:rPr>
          <w:rFonts w:ascii="Times New Roman" w:cs="Times New Roman" w:eastAsia="Times New Roman" w:hAnsi="Times New Roman"/>
          <w:sz w:val="19"/>
          <w:szCs w:val="19"/>
          <w:color w:val="auto"/>
        </w:rPr>
        <w:t>”) acquired C2i Genomics Inc. (the “</w:t>
      </w:r>
      <w:r>
        <w:rPr>
          <w:rFonts w:ascii="Times New Roman" w:cs="Times New Roman" w:eastAsia="Times New Roman" w:hAnsi="Times New Roman"/>
          <w:sz w:val="19"/>
          <w:szCs w:val="19"/>
          <w:b w:val="1"/>
          <w:bCs w:val="1"/>
          <w:i w:val="1"/>
          <w:iCs w:val="1"/>
          <w:color w:val="auto"/>
        </w:rPr>
        <w:t>Seller</w:t>
      </w:r>
      <w:r>
        <w:rPr>
          <w:rFonts w:ascii="Times New Roman" w:cs="Times New Roman" w:eastAsia="Times New Roman" w:hAnsi="Times New Roman"/>
          <w:sz w:val="19"/>
          <w:szCs w:val="19"/>
          <w:color w:val="auto"/>
        </w:rPr>
        <w:t>” and such</w:t>
      </w:r>
    </w:p>
    <w:p>
      <w:pPr>
        <w:spacing w:after="0" w:line="6"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transaction, the “</w:t>
      </w:r>
      <w:r>
        <w:rPr>
          <w:rFonts w:ascii="Times New Roman" w:cs="Times New Roman" w:eastAsia="Times New Roman" w:hAnsi="Times New Roman"/>
          <w:sz w:val="19"/>
          <w:szCs w:val="19"/>
          <w:b w:val="1"/>
          <w:bCs w:val="1"/>
          <w:i w:val="1"/>
          <w:iCs w:val="1"/>
          <w:color w:val="auto"/>
        </w:rPr>
        <w:t>Merger</w:t>
      </w:r>
      <w:r>
        <w:rPr>
          <w:rFonts w:ascii="Times New Roman" w:cs="Times New Roman" w:eastAsia="Times New Roman" w:hAnsi="Times New Roman"/>
          <w:sz w:val="19"/>
          <w:szCs w:val="19"/>
          <w:color w:val="auto"/>
        </w:rPr>
        <w:t>”) pursuant to the Agreement and Plan of Merger by and among Acquirer, Seller and certain parties named therein, dated January 5, 2024 (the “</w:t>
      </w:r>
      <w:r>
        <w:rPr>
          <w:rFonts w:ascii="Times New Roman" w:cs="Times New Roman" w:eastAsia="Times New Roman" w:hAnsi="Times New Roman"/>
          <w:sz w:val="19"/>
          <w:szCs w:val="19"/>
          <w:b w:val="1"/>
          <w:bCs w:val="1"/>
          <w:i w:val="1"/>
          <w:iCs w:val="1"/>
          <w:color w:val="auto"/>
        </w:rPr>
        <w:t>Merger Agreement</w:t>
      </w:r>
      <w:r>
        <w:rPr>
          <w:rFonts w:ascii="Times New Roman" w:cs="Times New Roman" w:eastAsia="Times New Roman" w:hAnsi="Times New Roman"/>
          <w:sz w:val="19"/>
          <w:szCs w:val="19"/>
          <w:color w:val="auto"/>
        </w:rPr>
        <w:t>”). Prior to the Merger, you were granted one or more stock options to purchase shares of Seller</w:t>
      </w:r>
    </w:p>
    <w:p>
      <w:pPr>
        <w:spacing w:after="0" w:line="219" w:lineRule="auto"/>
        <w:rPr>
          <w:sz w:val="20"/>
          <w:szCs w:val="20"/>
          <w:color w:val="auto"/>
        </w:rPr>
      </w:pPr>
      <w:r>
        <w:rPr>
          <w:rFonts w:ascii="Times New Roman" w:cs="Times New Roman" w:eastAsia="Times New Roman" w:hAnsi="Times New Roman"/>
          <w:sz w:val="19"/>
          <w:szCs w:val="19"/>
          <w:color w:val="auto"/>
        </w:rPr>
        <w:t>common stock (the “</w:t>
      </w:r>
      <w:r>
        <w:rPr>
          <w:rFonts w:ascii="Times New Roman" w:cs="Times New Roman" w:eastAsia="Times New Roman" w:hAnsi="Times New Roman"/>
          <w:sz w:val="19"/>
          <w:szCs w:val="19"/>
          <w:b w:val="1"/>
          <w:bCs w:val="1"/>
          <w:i w:val="1"/>
          <w:iCs w:val="1"/>
          <w:color w:val="auto"/>
        </w:rPr>
        <w:t>Seller Option(s)</w:t>
      </w:r>
      <w:r>
        <w:rPr>
          <w:rFonts w:ascii="Times New Roman" w:cs="Times New Roman" w:eastAsia="Times New Roman" w:hAnsi="Times New Roman"/>
          <w:sz w:val="19"/>
          <w:szCs w:val="19"/>
          <w:color w:val="auto"/>
        </w:rPr>
        <w:t>”) under the Seller 2019 Stock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and documented by a stock option agreement</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(or stock option agreements) and any amendment(s) entered into by and between you and Seller (collectively, the “</w:t>
      </w:r>
      <w:r>
        <w:rPr>
          <w:rFonts w:ascii="Times New Roman" w:cs="Times New Roman" w:eastAsia="Times New Roman" w:hAnsi="Times New Roman"/>
          <w:sz w:val="19"/>
          <w:szCs w:val="19"/>
          <w:b w:val="1"/>
          <w:bCs w:val="1"/>
          <w:i w:val="1"/>
          <w:iCs w:val="1"/>
          <w:color w:val="auto"/>
        </w:rPr>
        <w:t>Option Agreement(s)</w:t>
      </w:r>
      <w:r>
        <w:rPr>
          <w:rFonts w:ascii="Times New Roman" w:cs="Times New Roman" w:eastAsia="Times New Roman" w:hAnsi="Times New Roman"/>
          <w:sz w:val="19"/>
          <w:szCs w:val="19"/>
          <w:color w:val="auto"/>
        </w:rPr>
        <w:t>”). As a result of the Merger and as described below, your Seller Option(s) that were unexpired, unexercised and outstanding as of immediately prior to</w:t>
      </w:r>
    </w:p>
    <w:p>
      <w:pPr>
        <w:spacing w:after="0" w:line="219" w:lineRule="auto"/>
        <w:rPr>
          <w:sz w:val="20"/>
          <w:szCs w:val="20"/>
          <w:color w:val="auto"/>
        </w:rPr>
      </w:pPr>
      <w:r>
        <w:rPr>
          <w:rFonts w:ascii="Times New Roman" w:cs="Times New Roman" w:eastAsia="Times New Roman" w:hAnsi="Times New Roman"/>
          <w:sz w:val="19"/>
          <w:szCs w:val="19"/>
          <w:color w:val="auto"/>
        </w:rPr>
        <w:t>the First Effective Time (whether vested or unvested) were assumed and converted into stock options to purchase shares of Acquirer common</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stock (the resulting assumed options are referred to herein as the “</w:t>
      </w:r>
      <w:r>
        <w:rPr>
          <w:rFonts w:ascii="Times New Roman" w:cs="Times New Roman" w:eastAsia="Times New Roman" w:hAnsi="Times New Roman"/>
          <w:sz w:val="19"/>
          <w:szCs w:val="19"/>
          <w:b w:val="1"/>
          <w:bCs w:val="1"/>
          <w:i w:val="1"/>
          <w:iCs w:val="1"/>
          <w:color w:val="auto"/>
        </w:rPr>
        <w:t>Assumed Option(s)</w:t>
      </w:r>
      <w:r>
        <w:rPr>
          <w:rFonts w:ascii="Times New Roman" w:cs="Times New Roman" w:eastAsia="Times New Roman" w:hAnsi="Times New Roman"/>
          <w:sz w:val="19"/>
          <w:szCs w:val="19"/>
          <w:color w:val="auto"/>
        </w:rPr>
        <w:t>”). You previously agreed to the assumption of your Seller Option(s) pursuant to an Optionholder Agreement entered into in connection with the Merger between you and Seller shortly before the Closing</w:t>
      </w:r>
    </w:p>
    <w:p>
      <w:pPr>
        <w:spacing w:after="0" w:line="219" w:lineRule="auto"/>
        <w:rPr>
          <w:sz w:val="20"/>
          <w:szCs w:val="20"/>
          <w:color w:val="auto"/>
        </w:rPr>
      </w:pPr>
      <w:r>
        <w:rPr>
          <w:rFonts w:ascii="Times New Roman" w:cs="Times New Roman" w:eastAsia="Times New Roman" w:hAnsi="Times New Roman"/>
          <w:sz w:val="19"/>
          <w:szCs w:val="19"/>
          <w:color w:val="auto"/>
        </w:rPr>
        <w:t>Date (the “</w:t>
      </w:r>
      <w:r>
        <w:rPr>
          <w:rFonts w:ascii="Times New Roman" w:cs="Times New Roman" w:eastAsia="Times New Roman" w:hAnsi="Times New Roman"/>
          <w:sz w:val="19"/>
          <w:szCs w:val="19"/>
          <w:b w:val="1"/>
          <w:bCs w:val="1"/>
          <w:i w:val="1"/>
          <w:iCs w:val="1"/>
          <w:color w:val="auto"/>
        </w:rPr>
        <w:t>Merger Optionholder Agreement</w:t>
      </w:r>
      <w:r>
        <w:rPr>
          <w:rFonts w:ascii="Times New Roman" w:cs="Times New Roman" w:eastAsia="Times New Roman" w:hAnsi="Times New Roman"/>
          <w:sz w:val="19"/>
          <w:szCs w:val="19"/>
          <w:color w:val="auto"/>
        </w:rPr>
        <w:t>”). This Stock Option Assumption Notice (the “</w:t>
      </w:r>
      <w:r>
        <w:rPr>
          <w:rFonts w:ascii="Times New Roman" w:cs="Times New Roman" w:eastAsia="Times New Roman" w:hAnsi="Times New Roman"/>
          <w:sz w:val="19"/>
          <w:szCs w:val="19"/>
          <w:b w:val="1"/>
          <w:bCs w:val="1"/>
          <w:i w:val="1"/>
          <w:iCs w:val="1"/>
          <w:color w:val="auto"/>
        </w:rPr>
        <w:t>Notice</w:t>
      </w:r>
      <w:r>
        <w:rPr>
          <w:rFonts w:ascii="Times New Roman" w:cs="Times New Roman" w:eastAsia="Times New Roman" w:hAnsi="Times New Roman"/>
          <w:sz w:val="19"/>
          <w:szCs w:val="19"/>
          <w:color w:val="auto"/>
        </w:rPr>
        <w:t>”) evidences Acquirer’s assumption of your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outstanding Seller Option(s). Capitalized terms used in this Notice and not otherwise defined herein have the meanings ascribed to such terms in the Merger Agreement.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table below summarizes your Seller Option(s) immediately before and your Assumed Options after the Merger:</w:t>
      </w:r>
    </w:p>
    <w:p>
      <w:pPr>
        <w:spacing w:after="0" w:line="234" w:lineRule="exact"/>
        <w:rPr>
          <w:sz w:val="20"/>
          <w:szCs w:val="20"/>
          <w:color w:val="auto"/>
        </w:rPr>
      </w:pPr>
    </w:p>
    <w:tbl>
      <w:tblPr>
        <w:tblLayout w:type="fixed"/>
        <w:tblInd w:w="110" w:type="dxa"/>
        <w:tblCellMar>
          <w:top w:w="0" w:type="dxa"/>
          <w:left w:w="0" w:type="dxa"/>
          <w:bottom w:w="0" w:type="dxa"/>
          <w:right w:w="0" w:type="dxa"/>
        </w:tblCellMar>
      </w:tblPr>
      <w:tr>
        <w:trPr>
          <w:trHeight w:val="265"/>
        </w:trPr>
        <w:tc>
          <w:tcPr>
            <w:tcW w:w="1400" w:type="dxa"/>
            <w:vAlign w:val="bottom"/>
            <w:tcBorders>
              <w:top w:val="single" w:sz="8" w:color="auto"/>
              <w:left w:val="single" w:sz="8" w:color="auto"/>
            </w:tcBorders>
          </w:tcPr>
          <w:p>
            <w:pPr>
              <w:spacing w:after="0"/>
              <w:rPr>
                <w:sz w:val="23"/>
                <w:szCs w:val="23"/>
                <w:color w:val="auto"/>
              </w:rPr>
            </w:pPr>
          </w:p>
        </w:tc>
        <w:tc>
          <w:tcPr>
            <w:tcW w:w="1380" w:type="dxa"/>
            <w:vAlign w:val="bottom"/>
            <w:tcBorders>
              <w:top w:val="single" w:sz="8" w:color="auto"/>
              <w:right w:val="single" w:sz="8" w:color="auto"/>
            </w:tcBorders>
          </w:tcPr>
          <w:p>
            <w:pPr>
              <w:spacing w:after="0"/>
              <w:rPr>
                <w:sz w:val="23"/>
                <w:szCs w:val="23"/>
                <w:color w:val="auto"/>
              </w:rPr>
            </w:pPr>
          </w:p>
        </w:tc>
        <w:tc>
          <w:tcPr>
            <w:tcW w:w="39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AS OF THE MERGER</w:t>
            </w:r>
          </w:p>
        </w:tc>
        <w:tc>
          <w:tcPr>
            <w:tcW w:w="43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AFTER THE MERGER</w:t>
            </w:r>
          </w:p>
        </w:tc>
      </w:tr>
      <w:tr>
        <w:trPr>
          <w:trHeight w:val="251"/>
        </w:trPr>
        <w:tc>
          <w:tcPr>
            <w:tcW w:w="1400" w:type="dxa"/>
            <w:vAlign w:val="bottom"/>
            <w:tcBorders>
              <w:left w:val="single" w:sz="8" w:color="auto"/>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39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SELLER OPTION</w:t>
            </w:r>
          </w:p>
        </w:tc>
        <w:tc>
          <w:tcPr>
            <w:tcW w:w="4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rPr>
              <w:t>ASSUMED OPTION</w:t>
            </w:r>
          </w:p>
        </w:tc>
      </w:tr>
      <w:tr>
        <w:trPr>
          <w:trHeight w:val="179"/>
        </w:trPr>
        <w:tc>
          <w:tcPr>
            <w:tcW w:w="1400" w:type="dxa"/>
            <w:vAlign w:val="bottom"/>
            <w:tcBorders>
              <w:left w:val="single" w:sz="8" w:color="auto"/>
              <w:right w:val="single" w:sz="8" w:color="auto"/>
            </w:tcBorders>
          </w:tcPr>
          <w:p>
            <w:pPr>
              <w:ind w:left="260"/>
              <w:spacing w:after="0" w:line="179" w:lineRule="exact"/>
              <w:rPr>
                <w:sz w:val="20"/>
                <w:szCs w:val="20"/>
                <w:color w:val="auto"/>
              </w:rPr>
            </w:pPr>
            <w:r>
              <w:rPr>
                <w:rFonts w:ascii="Times New Roman" w:cs="Times New Roman" w:eastAsia="Times New Roman" w:hAnsi="Times New Roman"/>
                <w:sz w:val="19"/>
                <w:szCs w:val="19"/>
                <w:color w:val="auto"/>
              </w:rPr>
              <w:t>Grant Date</w:t>
            </w:r>
          </w:p>
        </w:tc>
        <w:tc>
          <w:tcPr>
            <w:tcW w:w="1380" w:type="dxa"/>
            <w:vAlign w:val="bottom"/>
            <w:tcBorders>
              <w:right w:val="single" w:sz="8" w:color="auto"/>
            </w:tcBorders>
          </w:tcPr>
          <w:p>
            <w:pPr>
              <w:ind w:left="200"/>
              <w:spacing w:after="0" w:line="179" w:lineRule="exact"/>
              <w:rPr>
                <w:sz w:val="20"/>
                <w:szCs w:val="20"/>
                <w:color w:val="auto"/>
              </w:rPr>
            </w:pPr>
            <w:r>
              <w:rPr>
                <w:rFonts w:ascii="Times New Roman" w:cs="Times New Roman" w:eastAsia="Times New Roman" w:hAnsi="Times New Roman"/>
                <w:sz w:val="19"/>
                <w:szCs w:val="19"/>
                <w:color w:val="auto"/>
              </w:rPr>
              <w:t>Option Type</w:t>
            </w:r>
          </w:p>
        </w:tc>
        <w:tc>
          <w:tcPr>
            <w:tcW w:w="2040" w:type="dxa"/>
            <w:vAlign w:val="bottom"/>
            <w:tcBorders>
              <w:right w:val="single" w:sz="8" w:color="auto"/>
            </w:tcBorders>
          </w:tcPr>
          <w:p>
            <w:pPr>
              <w:ind w:left="240"/>
              <w:spacing w:after="0" w:line="179" w:lineRule="exact"/>
              <w:rPr>
                <w:sz w:val="20"/>
                <w:szCs w:val="20"/>
                <w:color w:val="auto"/>
              </w:rPr>
            </w:pPr>
            <w:r>
              <w:rPr>
                <w:rFonts w:ascii="Times New Roman" w:cs="Times New Roman" w:eastAsia="Times New Roman" w:hAnsi="Times New Roman"/>
                <w:sz w:val="19"/>
                <w:szCs w:val="19"/>
                <w:color w:val="auto"/>
              </w:rPr>
              <w:t>No. of Seller Shares</w:t>
            </w:r>
          </w:p>
        </w:tc>
        <w:tc>
          <w:tcPr>
            <w:tcW w:w="1940" w:type="dxa"/>
            <w:vAlign w:val="bottom"/>
            <w:tcBorders>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9"/>
                <w:szCs w:val="19"/>
                <w:color w:val="auto"/>
              </w:rPr>
              <w:t>Exercise Price Per</w:t>
            </w:r>
          </w:p>
        </w:tc>
        <w:tc>
          <w:tcPr>
            <w:tcW w:w="2240" w:type="dxa"/>
            <w:vAlign w:val="bottom"/>
            <w:tcBorders>
              <w:right w:val="single" w:sz="8" w:color="auto"/>
            </w:tcBorders>
          </w:tcPr>
          <w:p>
            <w:pPr>
              <w:ind w:left="200"/>
              <w:spacing w:after="0" w:line="179" w:lineRule="exact"/>
              <w:rPr>
                <w:sz w:val="20"/>
                <w:szCs w:val="20"/>
                <w:color w:val="auto"/>
              </w:rPr>
            </w:pPr>
            <w:r>
              <w:rPr>
                <w:rFonts w:ascii="Times New Roman" w:cs="Times New Roman" w:eastAsia="Times New Roman" w:hAnsi="Times New Roman"/>
                <w:sz w:val="19"/>
                <w:szCs w:val="19"/>
                <w:color w:val="auto"/>
              </w:rPr>
              <w:t>No. of Acquirer Shares</w:t>
            </w:r>
          </w:p>
        </w:tc>
        <w:tc>
          <w:tcPr>
            <w:tcW w:w="2140" w:type="dxa"/>
            <w:vAlign w:val="bottom"/>
            <w:tcBorders>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9"/>
                <w:szCs w:val="19"/>
                <w:color w:val="auto"/>
              </w:rPr>
              <w:t>Exercise Price</w:t>
            </w:r>
          </w:p>
        </w:tc>
      </w:tr>
      <w:tr>
        <w:trPr>
          <w:trHeight w:val="251"/>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Share</w:t>
            </w:r>
          </w:p>
        </w:tc>
        <w:tc>
          <w:tcPr>
            <w:tcW w:w="224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Per Share</w:t>
            </w:r>
          </w:p>
        </w:tc>
      </w:tr>
      <w:tr>
        <w:trPr>
          <w:trHeight w:val="231"/>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bl>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The number of shares of Acquirer common stock subject to your Assumed Option(s) was determined by </w:t>
      </w:r>
      <w:r>
        <w:rPr>
          <w:rFonts w:ascii="Times New Roman" w:cs="Times New Roman" w:eastAsia="Times New Roman" w:hAnsi="Times New Roman"/>
          <w:sz w:val="19"/>
          <w:szCs w:val="19"/>
          <w:i w:val="1"/>
          <w:iCs w:val="1"/>
          <w:color w:val="auto"/>
        </w:rPr>
        <w:t>multiplying</w:t>
      </w:r>
      <w:r>
        <w:rPr>
          <w:rFonts w:ascii="Times New Roman" w:cs="Times New Roman" w:eastAsia="Times New Roman" w:hAnsi="Times New Roman"/>
          <w:sz w:val="19"/>
          <w:szCs w:val="19"/>
          <w:color w:val="auto"/>
        </w:rPr>
        <w:t xml:space="preserve"> the number of</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unexpired, unexercised and outstanding shares subject to your Seller Option(s) as of immediately prior to the First Effective Time (whether vested or unvested) by the Exchange Ratio of 0.04111 (as determined in accordance with the terms of the Merger Agreement), rounded down to</w:t>
      </w:r>
    </w:p>
    <w:p>
      <w:pPr>
        <w:spacing w:after="0" w:line="219" w:lineRule="auto"/>
        <w:rPr>
          <w:sz w:val="20"/>
          <w:szCs w:val="20"/>
          <w:color w:val="auto"/>
        </w:rPr>
      </w:pPr>
      <w:r>
        <w:rPr>
          <w:rFonts w:ascii="Times New Roman" w:cs="Times New Roman" w:eastAsia="Times New Roman" w:hAnsi="Times New Roman"/>
          <w:sz w:val="19"/>
          <w:szCs w:val="19"/>
          <w:color w:val="auto"/>
        </w:rPr>
        <w:t>the next whole number of shares of Acquirer common stock. The exercise price per share of your Assumed Option(s) was determined by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i w:val="1"/>
          <w:iCs w:val="1"/>
          <w:color w:val="auto"/>
        </w:rPr>
        <w:t xml:space="preserve">dividing </w:t>
      </w:r>
      <w:r>
        <w:rPr>
          <w:rFonts w:ascii="Times New Roman" w:cs="Times New Roman" w:eastAsia="Times New Roman" w:hAnsi="Times New Roman"/>
          <w:sz w:val="19"/>
          <w:szCs w:val="19"/>
          <w:color w:val="auto"/>
        </w:rPr>
        <w:t>the exercise price per share of your Seller Option(s) as of immediately prior to the First Effective Time by the Exchange Ratio, rounded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up to the next whole cent.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These adjustments are intended to: (i) assure that the total spread of your Assumed Option(s)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the difference between the aggregate</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fair market value and the aggregate exercise price) does not exceed the total spread that existed immediately prior to the Merger; and (ii) to preserve, on a per share basis, the ratio of exercise price to fair market value that existed immediately prior to the Merger. If applicable, and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extent allowable by law, the adjustments are also intended to retain “incentive stock option” status under U.S. tax laws.</w:t>
      </w:r>
    </w:p>
    <w:p>
      <w:pPr>
        <w:spacing w:after="0" w:line="170" w:lineRule="exact"/>
        <w:rPr>
          <w:sz w:val="20"/>
          <w:szCs w:val="20"/>
          <w:color w:val="auto"/>
        </w:rPr>
      </w:pPr>
    </w:p>
    <w:p>
      <w:pPr>
        <w:jc w:val="both"/>
        <w:ind w:firstLine="635"/>
        <w:spacing w:after="0" w:line="222" w:lineRule="auto"/>
        <w:rPr>
          <w:sz w:val="20"/>
          <w:szCs w:val="20"/>
          <w:color w:val="auto"/>
        </w:rPr>
      </w:pPr>
      <w:r>
        <w:rPr>
          <w:rFonts w:ascii="Times New Roman" w:cs="Times New Roman" w:eastAsia="Times New Roman" w:hAnsi="Times New Roman"/>
          <w:sz w:val="19"/>
          <w:szCs w:val="19"/>
          <w:color w:val="auto"/>
        </w:rPr>
        <w:t>The vesting commencement date, vesting schedule and expiration date of your Assumed Option(s) remain the same as set forth in the Option Agreement(s) (with the number of shares subject to each vesting installment and the exercise price per share adjusted pursuant to the</w:t>
      </w:r>
    </w:p>
    <w:p>
      <w:pPr>
        <w:spacing w:after="0" w:line="219" w:lineRule="auto"/>
        <w:rPr>
          <w:sz w:val="20"/>
          <w:szCs w:val="20"/>
          <w:color w:val="auto"/>
        </w:rPr>
      </w:pPr>
      <w:r>
        <w:rPr>
          <w:rFonts w:ascii="Times New Roman" w:cs="Times New Roman" w:eastAsia="Times New Roman" w:hAnsi="Times New Roman"/>
          <w:sz w:val="19"/>
          <w:szCs w:val="19"/>
          <w:color w:val="auto"/>
        </w:rPr>
        <w:t>Exchange Ratio as described above). In accordance with Acquirer policies, to exercise your Assumed Option(s), you must deliver to an</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Acquirer-designated broker (currently E*Trade) a notice of exercise (which may be in electronic form) and full payment for the shares being purchased (together with applicable withholding taxes, if any). Payment methods include, to the extent permitted by applicable law, (i) cash, (ii)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consideration received by Acquirer pursuant to a broker-assisted or other form of cashless exercise, or (iii) any combination of the foregoing.</w:t>
      </w:r>
    </w:p>
    <w:p>
      <w:pPr>
        <w:sectPr>
          <w:pgSz w:w="11900" w:h="16838" w:orient="portrait"/>
          <w:cols w:equalWidth="0" w:num="1">
            <w:col w:w="11240"/>
          </w:cols>
          <w:pgMar w:left="320" w:top="100" w:right="339" w:bottom="1440" w:gutter="0" w:footer="0" w:header="0"/>
        </w:sectPr>
      </w:pPr>
    </w:p>
    <w:bookmarkStart w:id="209" w:name="page210"/>
    <w:bookmarkEnd w:id="209"/>
    <w:p>
      <w:pPr>
        <w:ind w:left="640"/>
        <w:spacing w:after="0"/>
        <w:rPr>
          <w:sz w:val="20"/>
          <w:szCs w:val="20"/>
          <w:color w:val="auto"/>
        </w:rPr>
      </w:pPr>
      <w:r>
        <w:rPr>
          <w:rFonts w:ascii="Times New Roman" w:cs="Times New Roman" w:eastAsia="Times New Roman" w:hAnsi="Times New Roman"/>
          <w:sz w:val="19"/>
          <w:szCs w:val="19"/>
          <w:color w:val="auto"/>
        </w:rPr>
        <w:t>All other provisions which govern either the exercise or the termination of your Assumed Option(s) remain the same as set forth in the</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Option Agreement(s) and the Merger Optionholder Agreement(s), and the provisions of the Option Agreement(s) and Merger Optionholder Agreement(s) will govern and control your rights under this Notice to purchase shares of Acquirer common stock. Upon termination of your</w:t>
      </w:r>
    </w:p>
    <w:p>
      <w:pPr>
        <w:spacing w:after="0" w:line="219" w:lineRule="auto"/>
        <w:rPr>
          <w:sz w:val="20"/>
          <w:szCs w:val="20"/>
          <w:color w:val="auto"/>
        </w:rPr>
      </w:pPr>
      <w:r>
        <w:rPr>
          <w:rFonts w:ascii="Times New Roman" w:cs="Times New Roman" w:eastAsia="Times New Roman" w:hAnsi="Times New Roman"/>
          <w:sz w:val="19"/>
          <w:szCs w:val="19"/>
          <w:color w:val="auto"/>
        </w:rPr>
        <w:t>employment with Acquirer or any present or future Acquirer subsidiary or affiliate, you will have the applicable limited post-termination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exercise period specified in your Option Agreement(s) for your Assumed Option(s) to the extent vested and outstanding at the time of termination, after which time your Assumed Option(s) will expire and NOT be exercisable for Acquirer common stock.</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Unless the context otherwise requires, any references in the Plan and the Option Agreement(s) to: (i) the “Company” or the</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“Corporation” means Acquirer, (ii) “Stock,” “Common Stock” or “Shares” means shares of Acquirer common stock, (iii) the “Board of Directors” or the “Board” means the Board of Directors of Acquirer, and (iv) the “Committee” means the Compensation Committee of the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Board of Directors of Acquirer. All references in the Option Agreement(s) and the Plan relating to your status as an employee of Seller will now refer to your status as an employee of Acquirer or any present or future Acquirer subsidiary.</w:t>
      </w:r>
    </w:p>
    <w:p>
      <w:pPr>
        <w:spacing w:after="0" w:line="146" w:lineRule="exact"/>
        <w:rPr>
          <w:sz w:val="20"/>
          <w:szCs w:val="20"/>
          <w:color w:val="auto"/>
        </w:rPr>
      </w:pPr>
    </w:p>
    <w:p>
      <w:pPr>
        <w:jc w:val="both"/>
        <w:ind w:firstLine="635"/>
        <w:spacing w:after="0" w:line="230" w:lineRule="auto"/>
        <w:rPr>
          <w:sz w:val="20"/>
          <w:szCs w:val="20"/>
          <w:color w:val="auto"/>
        </w:rPr>
      </w:pPr>
      <w:r>
        <w:rPr>
          <w:rFonts w:ascii="Times New Roman" w:cs="Times New Roman" w:eastAsia="Times New Roman" w:hAnsi="Times New Roman"/>
          <w:sz w:val="19"/>
          <w:szCs w:val="19"/>
          <w:color w:val="auto"/>
        </w:rPr>
        <w:t xml:space="preserve">[For Israeli Employees – In accordance with Israeli tax rules and subject to the provisions of a special tax ruling to be obtained from the Israeli Tax Authority (the </w:t>
      </w:r>
      <w:r>
        <w:rPr>
          <w:rFonts w:ascii="Times New Roman" w:cs="Times New Roman" w:eastAsia="Times New Roman" w:hAnsi="Times New Roman"/>
          <w:sz w:val="19"/>
          <w:szCs w:val="19"/>
          <w:b w:val="1"/>
          <w:bCs w:val="1"/>
          <w:i w:val="1"/>
          <w:iCs w:val="1"/>
          <w:color w:val="auto"/>
        </w:rPr>
        <w:t>“Israeli Rules”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the assumption and conversion of your Seller’s Options will not constitute a taxable event, and</w:t>
      </w:r>
    </w:p>
    <w:p>
      <w:pPr>
        <w:jc w:val="both"/>
        <w:spacing w:after="0" w:line="210" w:lineRule="auto"/>
        <w:rPr>
          <w:sz w:val="20"/>
          <w:szCs w:val="20"/>
          <w:color w:val="auto"/>
        </w:rPr>
      </w:pPr>
      <w:r>
        <w:rPr>
          <w:rFonts w:ascii="Times New Roman" w:cs="Times New Roman" w:eastAsia="Times New Roman" w:hAnsi="Times New Roman"/>
          <w:sz w:val="19"/>
          <w:szCs w:val="19"/>
          <w:color w:val="auto"/>
        </w:rPr>
        <w:t>therefore tax continuity shall apply for all purposes to the Assumed Options. In order to comply with the Israeli Rules, each Assumed Option will continue to be subject to the trust arrangement set up with IBI Trust Management, an Israeli company, or any other trustee nominated by</w:t>
      </w:r>
    </w:p>
    <w:p>
      <w:pPr>
        <w:spacing w:after="0" w:line="219" w:lineRule="auto"/>
        <w:rPr>
          <w:sz w:val="20"/>
          <w:szCs w:val="20"/>
          <w:color w:val="auto"/>
        </w:rPr>
      </w:pPr>
      <w:r>
        <w:rPr>
          <w:rFonts w:ascii="Times New Roman" w:cs="Times New Roman" w:eastAsia="Times New Roman" w:hAnsi="Times New Roman"/>
          <w:sz w:val="19"/>
          <w:szCs w:val="19"/>
          <w:color w:val="auto"/>
        </w:rPr>
        <w:t>Acquirer and approved by the Israeli Tax Authority (the “</w:t>
      </w:r>
      <w:r>
        <w:rPr>
          <w:rFonts w:ascii="Times New Roman" w:cs="Times New Roman" w:eastAsia="Times New Roman" w:hAnsi="Times New Roman"/>
          <w:sz w:val="19"/>
          <w:szCs w:val="19"/>
          <w:b w:val="1"/>
          <w:bCs w:val="1"/>
          <w:i w:val="1"/>
          <w:iCs w:val="1"/>
          <w:color w:val="auto"/>
        </w:rPr>
        <w:t>Trustee</w:t>
      </w:r>
      <w:r>
        <w:rPr>
          <w:rFonts w:ascii="Times New Roman" w:cs="Times New Roman" w:eastAsia="Times New Roman" w:hAnsi="Times New Roman"/>
          <w:sz w:val="19"/>
          <w:szCs w:val="19"/>
          <w:color w:val="auto"/>
        </w:rPr>
        <w:t>”), and all terms in relation to Section 102 of the Israeli Income Tax Ordinance</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shall continue to apply, including the required holding period which will continue to be measured from the original grant date of the Seller’s Options. Each Assumed Option shall only be released in accordance with the provisions of Section 102 of the Income Tax Ordinance, the Israeli</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Rules, and any other terms set forth by the Trustee. Please note that you will be required to sign a consent to the tax ruling obtained from the Israeli Tax Authority.]</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To exercise your vested Assumed Option(s), you must utilize Acquirer’s designated broker, currently E*Trade. Please note that any</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exercise of your vested Assumed Option(s) can only occur after the Form S-8 registration statement is filed with the U.S. Securities and Exchange Commission, pursuant to the U.S Securities Act of 1933, as amended, and subject to Acquirer’s blackout periods, or subject to other</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temporary blackouts or trading restrictions. [For Israeli Employees – If you are resident in Israel, you may be required to take action also through the Trustee. Additional information will be provided to you by the Trustee.]</w:t>
      </w:r>
    </w:p>
    <w:p>
      <w:pPr>
        <w:spacing w:after="0" w:line="146" w:lineRule="exact"/>
        <w:rPr>
          <w:sz w:val="20"/>
          <w:szCs w:val="20"/>
          <w:color w:val="auto"/>
        </w:rPr>
      </w:pPr>
    </w:p>
    <w:p>
      <w:pPr>
        <w:jc w:val="both"/>
        <w:ind w:firstLine="635"/>
        <w:spacing w:after="0" w:line="237" w:lineRule="auto"/>
        <w:rPr>
          <w:sz w:val="20"/>
          <w:szCs w:val="20"/>
          <w:color w:val="auto"/>
        </w:rPr>
      </w:pPr>
      <w:r>
        <w:rPr>
          <w:rFonts w:ascii="Times New Roman" w:cs="Times New Roman" w:eastAsia="Times New Roman" w:hAnsi="Times New Roman"/>
          <w:sz w:val="19"/>
          <w:szCs w:val="19"/>
          <w:color w:val="auto"/>
        </w:rPr>
        <w:t>[For Israeli Employees – Please note that although you are free to exercise your vested Assumed Options and sell your Shares as mentioned above, if you sell your Shares prior to the end of the required holding period under Section 102 of the Israeli Tax Ordinance, you will not enjoy the beneficial tax treatment available under Section 102.]</w:t>
      </w:r>
    </w:p>
    <w:p>
      <w:pPr>
        <w:spacing w:after="0" w:line="147" w:lineRule="exact"/>
        <w:rPr>
          <w:sz w:val="20"/>
          <w:szCs w:val="20"/>
          <w:color w:val="auto"/>
        </w:rPr>
      </w:pPr>
    </w:p>
    <w:p>
      <w:pPr>
        <w:jc w:val="both"/>
        <w:ind w:firstLine="635"/>
        <w:spacing w:after="0" w:line="230" w:lineRule="auto"/>
        <w:rPr>
          <w:sz w:val="20"/>
          <w:szCs w:val="20"/>
          <w:color w:val="auto"/>
        </w:rPr>
      </w:pPr>
      <w:r>
        <w:rPr>
          <w:rFonts w:ascii="Times New Roman" w:cs="Times New Roman" w:eastAsia="Times New Roman" w:hAnsi="Times New Roman"/>
          <w:sz w:val="19"/>
          <w:szCs w:val="19"/>
          <w:color w:val="auto"/>
        </w:rPr>
        <w:t>Nothing in this Notice, the Option Agreement(s) or the Merger Optionholder Agreement(s) interferes in any way with your right and your employer’s right, which rights are expressly reserved, to terminate your employment at any time for any reason. Future options you may</w:t>
      </w:r>
    </w:p>
    <w:p>
      <w:pPr>
        <w:jc w:val="both"/>
        <w:spacing w:after="0" w:line="210" w:lineRule="auto"/>
        <w:rPr>
          <w:sz w:val="20"/>
          <w:szCs w:val="20"/>
          <w:color w:val="auto"/>
        </w:rPr>
      </w:pPr>
      <w:r>
        <w:rPr>
          <w:rFonts w:ascii="Times New Roman" w:cs="Times New Roman" w:eastAsia="Times New Roman" w:hAnsi="Times New Roman"/>
          <w:sz w:val="19"/>
          <w:szCs w:val="19"/>
          <w:color w:val="auto"/>
        </w:rPr>
        <w:t>receive from Acquirer, if any, will be governed by the terms of the Acquirer equity plan under which such options are granted, and such terms may be different from the terms of your Assumed Option(s), including, but not limited to, the time period in which you have to exercise vested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options after your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74" w:right="339" w:bottom="1440" w:gutter="0" w:footer="0" w:header="0"/>
        </w:sectPr>
      </w:pPr>
    </w:p>
    <w:bookmarkStart w:id="210" w:name="page211"/>
    <w:bookmarkEnd w:id="210"/>
    <w:p>
      <w:pPr>
        <w:ind w:firstLine="635"/>
        <w:spacing w:after="0" w:line="255" w:lineRule="auto"/>
        <w:rPr>
          <w:sz w:val="20"/>
          <w:szCs w:val="20"/>
          <w:color w:val="auto"/>
        </w:rPr>
      </w:pPr>
      <w:r>
        <w:rPr>
          <w:rFonts w:ascii="Times New Roman" w:cs="Times New Roman" w:eastAsia="Times New Roman" w:hAnsi="Times New Roman"/>
          <w:sz w:val="19"/>
          <w:szCs w:val="19"/>
          <w:color w:val="auto"/>
        </w:rPr>
        <w:t>If you have any questions regarding this Notice or your Assumed Option(s), please contact Acquirer’s Stock Plan Administrator at stock-admin@veracyte.com.</w:t>
      </w:r>
    </w:p>
    <w:p>
      <w:pPr>
        <w:spacing w:after="0" w:line="33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b w:val="1"/>
          <w:bCs w:val="1"/>
          <w:color w:val="auto"/>
        </w:rPr>
        <w:t>VERACYTE, INC.</w:t>
      </w:r>
    </w:p>
    <w:p>
      <w:pPr>
        <w:spacing w:after="0" w:line="200" w:lineRule="exact"/>
        <w:rPr>
          <w:sz w:val="20"/>
          <w:szCs w:val="20"/>
          <w:color w:val="auto"/>
        </w:rPr>
      </w:pPr>
    </w:p>
    <w:p>
      <w:pPr>
        <w:spacing w:after="0" w:line="3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-5715</wp:posOffset>
            </wp:positionV>
            <wp:extent cx="1231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ind w:left="3820"/>
        <w:spacing w:after="0" w:line="205" w:lineRule="auto"/>
        <w:rPr>
          <w:sz w:val="20"/>
          <w:szCs w:val="20"/>
          <w:color w:val="auto"/>
        </w:rPr>
      </w:pPr>
      <w:r>
        <w:rPr>
          <w:rFonts w:ascii="Times New Roman" w:cs="Times New Roman" w:eastAsia="Times New Roman" w:hAnsi="Times New Roman"/>
          <w:sz w:val="19"/>
          <w:szCs w:val="19"/>
          <w:color w:val="auto"/>
        </w:rPr>
        <w:t>[Name]</w:t>
      </w:r>
    </w:p>
    <w:p>
      <w:pPr>
        <w:spacing w:after="0" w:line="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74"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6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Veracyte, Inc.</w:t>
            </w:r>
          </w:p>
        </w:tc>
      </w:tr>
      <w:tr>
        <w:trPr>
          <w:trHeight w:val="192"/>
        </w:trPr>
        <w:tc>
          <w:tcPr>
            <w:tcW w:w="4900" w:type="dxa"/>
            <w:vAlign w:val="bottom"/>
          </w:tcPr>
          <w:p>
            <w:pPr>
              <w:spacing w:after="0"/>
              <w:rPr>
                <w:sz w:val="16"/>
                <w:szCs w:val="16"/>
                <w:color w:val="auto"/>
              </w:rPr>
            </w:pPr>
          </w:p>
        </w:tc>
        <w:tc>
          <w:tcPr>
            <w:tcW w:w="634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20"/>
        </w:trPr>
        <w:tc>
          <w:tcPr>
            <w:tcW w:w="49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602"/>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Legal Entity Name</w:t>
            </w:r>
          </w:p>
        </w:tc>
        <w:tc>
          <w:tcPr>
            <w:tcW w:w="63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36"/>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International Corp.</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Global, B.V.</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Netherlands</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SD, Inc.</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Labs SD Corporation</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Diagnostics, LLC</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SAS</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France</w:t>
            </w: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Veracyte Labs VA Corporation</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Delaware</w:t>
            </w:r>
          </w:p>
        </w:tc>
      </w:tr>
      <w:tr>
        <w:trPr>
          <w:trHeight w:val="253"/>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C2i Genomics Ltd</w:t>
            </w:r>
          </w:p>
        </w:tc>
        <w:tc>
          <w:tcPr>
            <w:tcW w:w="63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Israel</w:t>
            </w:r>
          </w:p>
        </w:tc>
      </w:tr>
    </w:tbl>
    <w:p>
      <w:pPr>
        <w:sectPr>
          <w:pgSz w:w="11900" w:h="16838" w:orient="portrait"/>
          <w:cols w:equalWidth="0" w:num="1">
            <w:col w:w="11240"/>
          </w:cols>
          <w:pgMar w:left="320" w:top="1350" w:right="339" w:bottom="1440" w:gutter="0" w:footer="0" w:header="0"/>
        </w:sectPr>
      </w:pPr>
    </w:p>
    <w:bookmarkStart w:id="212" w:name="page213"/>
    <w:bookmarkEnd w:id="212"/>
    <w:p>
      <w:pPr>
        <w:ind w:left="102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81" w:lineRule="exact"/>
        <w:rPr>
          <w:sz w:val="20"/>
          <w:szCs w:val="20"/>
          <w:color w:val="auto"/>
        </w:rPr>
      </w:pPr>
    </w:p>
    <w:p>
      <w:pPr>
        <w:ind w:right="2540" w:firstLine="2536"/>
        <w:spacing w:after="0" w:line="453"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800" w:right="20" w:hanging="476"/>
        <w:spacing w:after="0" w:line="256" w:lineRule="auto"/>
        <w:tabs>
          <w:tab w:leader="none" w:pos="794"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(Forms S-8 Nos. 333-191992, 333-203097, 333-210185, 333-216388, 333-223292, 333-229848, 333-236630, 333-253363, 333-263116, and 333-270147) pertaining to the 2008 Stock Plan, 2013 Stock Incentive Plan, and 2023 Equity Incentive Plan of Veracyte, Inc.,</w:t>
      </w:r>
    </w:p>
    <w:p>
      <w:pPr>
        <w:ind w:left="800" w:right="80" w:hanging="476"/>
        <w:spacing w:after="0" w:line="244" w:lineRule="auto"/>
        <w:tabs>
          <w:tab w:leader="none" w:pos="79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(Forms S-8 Nos. 333-205206 and 333-240214) pertaining to the Amended and Restated Employee Stock Purchase Plan of Veracyte, Inc., and</w:t>
      </w:r>
    </w:p>
    <w:p>
      <w:pPr>
        <w:ind w:left="800" w:hanging="476"/>
        <w:spacing w:after="0"/>
        <w:tabs>
          <w:tab w:leader="none" w:pos="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333-252681) of Veracyte, Inc.;</w:t>
      </w:r>
    </w:p>
    <w:p>
      <w:pPr>
        <w:spacing w:after="0" w:line="22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of our reports dated February 29, 2024, with respect to the consolidated financial statements of Veracyte, Inc. and the effectiveness of internal control over financial reporting of Veracyte, Inc. included in this Annual Report (Form 10-K) of Veracyte, Inc. for the year ended December 31, 2023.</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873"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7" w:lineRule="exact"/>
        <w:rPr>
          <w:sz w:val="20"/>
          <w:szCs w:val="20"/>
          <w:color w:val="auto"/>
        </w:rPr>
      </w:pPr>
    </w:p>
    <w:p>
      <w:pPr>
        <w:ind w:left="1300" w:hanging="659"/>
        <w:spacing w:after="0"/>
        <w:tabs>
          <w:tab w:leader="none" w:pos="1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Veracyte, Inc.;</w:t>
      </w:r>
    </w:p>
    <w:p>
      <w:pPr>
        <w:spacing w:after="0" w:line="216" w:lineRule="exact"/>
        <w:rPr>
          <w:rFonts w:ascii="Times New Roman" w:cs="Times New Roman" w:eastAsia="Times New Roman" w:hAnsi="Times New Roman"/>
          <w:sz w:val="18"/>
          <w:szCs w:val="18"/>
          <w:color w:val="auto"/>
        </w:rPr>
      </w:pPr>
    </w:p>
    <w:p>
      <w:pPr>
        <w:jc w:val="both"/>
        <w:ind w:right="320" w:firstLine="641"/>
        <w:spacing w:after="0" w:line="258" w:lineRule="auto"/>
        <w:tabs>
          <w:tab w:leader="none" w:pos="130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right="500" w:firstLine="641"/>
        <w:spacing w:after="0" w:line="271" w:lineRule="auto"/>
        <w:tabs>
          <w:tab w:leader="none" w:pos="130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8"/>
          <w:szCs w:val="18"/>
          <w:color w:val="auto"/>
        </w:rPr>
      </w:pPr>
    </w:p>
    <w:p>
      <w:pPr>
        <w:ind w:right="220" w:firstLine="641"/>
        <w:spacing w:after="0" w:line="258" w:lineRule="auto"/>
        <w:tabs>
          <w:tab w:leader="none" w:pos="130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640" w:firstLine="636"/>
        <w:spacing w:after="0" w:line="258" w:lineRule="auto"/>
        <w:tabs>
          <w:tab w:leader="none" w:pos="193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40" w:right="180" w:firstLine="636"/>
        <w:spacing w:after="0" w:line="258" w:lineRule="auto"/>
        <w:tabs>
          <w:tab w:leader="none" w:pos="194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40" w:right="40" w:firstLine="636"/>
        <w:spacing w:after="0" w:line="271" w:lineRule="auto"/>
        <w:tabs>
          <w:tab w:leader="none" w:pos="194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8"/>
          <w:szCs w:val="18"/>
          <w:color w:val="auto"/>
        </w:rPr>
      </w:pPr>
    </w:p>
    <w:p>
      <w:pPr>
        <w:jc w:val="both"/>
        <w:ind w:left="640" w:right="140" w:firstLine="636"/>
        <w:spacing w:after="0" w:line="258" w:lineRule="auto"/>
        <w:tabs>
          <w:tab w:leader="none" w:pos="194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right="560" w:firstLine="641"/>
        <w:spacing w:after="0" w:line="301" w:lineRule="auto"/>
        <w:tabs>
          <w:tab w:leader="none" w:pos="1301"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7"/>
          <w:szCs w:val="17"/>
          <w:color w:val="auto"/>
        </w:rPr>
      </w:pPr>
    </w:p>
    <w:p>
      <w:pPr>
        <w:ind w:left="640" w:firstLine="636"/>
        <w:spacing w:after="0" w:line="271" w:lineRule="auto"/>
        <w:tabs>
          <w:tab w:leader="none" w:pos="193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8"/>
          <w:szCs w:val="18"/>
          <w:color w:val="auto"/>
        </w:rPr>
      </w:pPr>
    </w:p>
    <w:p>
      <w:pPr>
        <w:ind w:left="640" w:right="280" w:firstLine="636"/>
        <w:spacing w:after="0" w:line="271" w:lineRule="auto"/>
        <w:tabs>
          <w:tab w:leader="none" w:pos="194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0"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29, 2024</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12065</wp:posOffset>
            </wp:positionV>
            <wp:extent cx="35382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Marc Stapley</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7" w:lineRule="exact"/>
        <w:rPr>
          <w:sz w:val="20"/>
          <w:szCs w:val="20"/>
          <w:color w:val="auto"/>
        </w:rPr>
      </w:pPr>
    </w:p>
    <w:p>
      <w:pPr>
        <w:ind w:left="1300" w:hanging="659"/>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Veracyte, Inc.;</w:t>
      </w:r>
    </w:p>
    <w:p>
      <w:pPr>
        <w:spacing w:after="0" w:line="216" w:lineRule="exact"/>
        <w:rPr>
          <w:rFonts w:ascii="Times New Roman" w:cs="Times New Roman" w:eastAsia="Times New Roman" w:hAnsi="Times New Roman"/>
          <w:sz w:val="18"/>
          <w:szCs w:val="18"/>
          <w:color w:val="auto"/>
        </w:rPr>
      </w:pPr>
    </w:p>
    <w:p>
      <w:pPr>
        <w:jc w:val="both"/>
        <w:ind w:right="320" w:firstLine="641"/>
        <w:spacing w:after="0" w:line="258" w:lineRule="auto"/>
        <w:tabs>
          <w:tab w:leader="none" w:pos="130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right="500" w:firstLine="641"/>
        <w:spacing w:after="0" w:line="271" w:lineRule="auto"/>
        <w:tabs>
          <w:tab w:leader="none" w:pos="130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18"/>
          <w:szCs w:val="18"/>
          <w:color w:val="auto"/>
        </w:rPr>
      </w:pPr>
    </w:p>
    <w:p>
      <w:pPr>
        <w:ind w:right="220" w:firstLine="641"/>
        <w:spacing w:after="0" w:line="258" w:lineRule="auto"/>
        <w:tabs>
          <w:tab w:leader="none" w:pos="130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sz w:val="20"/>
          <w:szCs w:val="20"/>
          <w:color w:val="auto"/>
        </w:rPr>
      </w:pPr>
    </w:p>
    <w:p>
      <w:pPr>
        <w:jc w:val="both"/>
        <w:ind w:left="640" w:right="660" w:firstLine="636"/>
        <w:spacing w:after="0" w:line="258" w:lineRule="auto"/>
        <w:tabs>
          <w:tab w:leader="none" w:pos="1933"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40" w:right="1080" w:firstLine="636"/>
        <w:spacing w:after="0" w:line="258" w:lineRule="auto"/>
        <w:tabs>
          <w:tab w:leader="none" w:pos="1943"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40" w:right="980" w:firstLine="636"/>
        <w:spacing w:after="0" w:line="258" w:lineRule="auto"/>
        <w:tabs>
          <w:tab w:leader="none" w:pos="194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Times New Roman" w:cs="Times New Roman" w:eastAsia="Times New Roman" w:hAnsi="Times New Roman"/>
          <w:sz w:val="18"/>
          <w:szCs w:val="18"/>
          <w:color w:val="auto"/>
        </w:rPr>
      </w:pPr>
    </w:p>
    <w:p>
      <w:pPr>
        <w:ind w:left="640" w:right="820" w:firstLine="636"/>
        <w:spacing w:after="0" w:line="258" w:lineRule="auto"/>
        <w:tabs>
          <w:tab w:leader="none" w:pos="1943"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right="560" w:firstLine="641"/>
        <w:spacing w:after="0" w:line="301" w:lineRule="auto"/>
        <w:tabs>
          <w:tab w:leader="none" w:pos="1301"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7"/>
          <w:szCs w:val="17"/>
          <w:color w:val="auto"/>
        </w:rPr>
      </w:pPr>
    </w:p>
    <w:p>
      <w:pPr>
        <w:ind w:left="640" w:right="740" w:firstLine="636"/>
        <w:spacing w:after="0" w:line="301" w:lineRule="auto"/>
        <w:tabs>
          <w:tab w:leader="none" w:pos="1933"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7"/>
          <w:szCs w:val="17"/>
          <w:color w:val="auto"/>
        </w:rPr>
      </w:pPr>
    </w:p>
    <w:p>
      <w:pPr>
        <w:ind w:left="640" w:right="1100" w:firstLine="636"/>
        <w:spacing w:after="0" w:line="271" w:lineRule="auto"/>
        <w:tabs>
          <w:tab w:leader="none" w:pos="1943"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0"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29, 2024</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12065</wp:posOffset>
            </wp:positionV>
            <wp:extent cx="35382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215" w:name="page216"/>
    <w:bookmarkEnd w:id="215"/>
    <w:p>
      <w:pPr>
        <w:ind w:left="10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 w:lineRule="exact"/>
        <w:rPr>
          <w:sz w:val="20"/>
          <w:szCs w:val="20"/>
          <w:color w:val="auto"/>
        </w:rPr>
      </w:pPr>
    </w:p>
    <w:p>
      <w:pPr>
        <w:jc w:val="both"/>
        <w:ind w:firstLine="353"/>
        <w:spacing w:after="0" w:line="248" w:lineRule="auto"/>
        <w:rPr>
          <w:sz w:val="20"/>
          <w:szCs w:val="20"/>
          <w:color w:val="auto"/>
        </w:rPr>
      </w:pPr>
      <w:r>
        <w:rPr>
          <w:rFonts w:ascii="Times New Roman" w:cs="Times New Roman" w:eastAsia="Times New Roman" w:hAnsi="Times New Roman"/>
          <w:sz w:val="18"/>
          <w:szCs w:val="18"/>
          <w:color w:val="auto"/>
        </w:rPr>
        <w:t>In connection with the annual report of Veracyte, Inc. (the "Company") on Form 10-K for the year ended December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214" w:lineRule="exact"/>
        <w:rPr>
          <w:sz w:val="20"/>
          <w:szCs w:val="20"/>
          <w:color w:val="auto"/>
        </w:rPr>
      </w:pPr>
    </w:p>
    <w:p>
      <w:pPr>
        <w:ind w:left="1280" w:hanging="639"/>
        <w:spacing w:after="0"/>
        <w:tabs>
          <w:tab w:leader="none" w:pos="12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8"/>
          <w:szCs w:val="18"/>
          <w:color w:val="auto"/>
        </w:rPr>
      </w:pPr>
    </w:p>
    <w:p>
      <w:pPr>
        <w:ind w:left="1280" w:right="500" w:hanging="639"/>
        <w:spacing w:after="0" w:line="271" w:lineRule="auto"/>
        <w:tabs>
          <w:tab w:leader="none" w:pos="127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29, 2024</w:t>
      </w:r>
    </w:p>
    <w:p>
      <w:pPr>
        <w:spacing w:after="0" w:line="2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14605</wp:posOffset>
            </wp:positionV>
            <wp:extent cx="35382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Marc Stapley</w:t>
      </w:r>
    </w:p>
    <w:p>
      <w:pPr>
        <w:spacing w:after="0" w:line="2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3"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 w:lineRule="exact"/>
        <w:rPr>
          <w:sz w:val="20"/>
          <w:szCs w:val="20"/>
          <w:color w:val="auto"/>
        </w:rPr>
      </w:pPr>
    </w:p>
    <w:p>
      <w:pPr>
        <w:jc w:val="both"/>
        <w:ind w:firstLine="353"/>
        <w:spacing w:after="0" w:line="248" w:lineRule="auto"/>
        <w:rPr>
          <w:sz w:val="20"/>
          <w:szCs w:val="20"/>
          <w:color w:val="auto"/>
        </w:rPr>
      </w:pPr>
      <w:r>
        <w:rPr>
          <w:rFonts w:ascii="Times New Roman" w:cs="Times New Roman" w:eastAsia="Times New Roman" w:hAnsi="Times New Roman"/>
          <w:sz w:val="18"/>
          <w:szCs w:val="18"/>
          <w:color w:val="auto"/>
        </w:rPr>
        <w:t>In connection with the annual report of Veracyte, Inc. (the "Company") on Form 10-K for the year ended December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214" w:lineRule="exact"/>
        <w:rPr>
          <w:sz w:val="20"/>
          <w:szCs w:val="20"/>
          <w:color w:val="auto"/>
        </w:rPr>
      </w:pPr>
    </w:p>
    <w:p>
      <w:pPr>
        <w:ind w:left="1280" w:hanging="639"/>
        <w:spacing w:after="0"/>
        <w:tabs>
          <w:tab w:leader="none" w:pos="12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8"/>
          <w:szCs w:val="18"/>
          <w:color w:val="auto"/>
        </w:rPr>
      </w:pPr>
    </w:p>
    <w:p>
      <w:pPr>
        <w:ind w:left="1280" w:right="500" w:hanging="639"/>
        <w:spacing w:after="0" w:line="271" w:lineRule="auto"/>
        <w:tabs>
          <w:tab w:leader="none" w:pos="127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29, 2024</w:t>
      </w:r>
    </w:p>
    <w:p>
      <w:pPr>
        <w:spacing w:after="0" w:line="2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3592195</wp:posOffset>
            </wp:positionH>
            <wp:positionV relativeFrom="paragraph">
              <wp:posOffset>14605</wp:posOffset>
            </wp:positionV>
            <wp:extent cx="35382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1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2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3" w:right="339" w:bottom="1440" w:gutter="0" w:footer="0" w:header="0"/>
        </w:sectPr>
      </w:pPr>
    </w:p>
    <w:bookmarkStart w:id="217" w:name="page218"/>
    <w:bookmarkEnd w:id="217"/>
    <w:p>
      <w:pPr>
        <w:ind w:left="10240"/>
        <w:spacing w:after="0"/>
        <w:rPr>
          <w:sz w:val="20"/>
          <w:szCs w:val="20"/>
          <w:color w:val="auto"/>
        </w:rPr>
      </w:pPr>
      <w:r>
        <w:rPr>
          <w:rFonts w:ascii="Times New Roman" w:cs="Times New Roman" w:eastAsia="Times New Roman" w:hAnsi="Times New Roman"/>
          <w:sz w:val="19"/>
          <w:szCs w:val="19"/>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Veracyte, Inc.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Compensation Recovery Policy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(Adopted April 28, 2023)</w:t>
      </w:r>
    </w:p>
    <w:p>
      <w:pPr>
        <w:spacing w:after="0" w:line="18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1E1E1E"/>
        </w:rPr>
        <w:t>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14.</w:t>
      </w:r>
    </w:p>
    <w:p>
      <w:pPr>
        <w:spacing w:after="0" w:line="14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1"/>
          <w:szCs w:val="21"/>
          <w:color w:val="1E1E1E"/>
        </w:rPr>
        <w:t xml:space="preserve">This Policy </w:t>
      </w:r>
      <w:r>
        <w:rPr>
          <w:rFonts w:ascii="Times New Roman" w:cs="Times New Roman" w:eastAsia="Times New Roman" w:hAnsi="Times New Roman"/>
          <w:sz w:val="21"/>
          <w:szCs w:val="21"/>
          <w:color w:val="171717"/>
        </w:rPr>
        <w:t>is designed to comply with Rule 10D-1 of the Exchange Act and</w:t>
      </w:r>
      <w:r>
        <w:rPr>
          <w:rFonts w:ascii="Times New Roman" w:cs="Times New Roman" w:eastAsia="Times New Roman" w:hAnsi="Times New Roman"/>
          <w:sz w:val="21"/>
          <w:szCs w:val="21"/>
          <w:color w:val="1E1E1E"/>
        </w:rPr>
        <w:t xml:space="preserve"> shall become effective on the Effective Date and shall apply to </w:t>
      </w:r>
      <w:r>
        <w:rPr>
          <w:rFonts w:ascii="Times New Roman" w:cs="Times New Roman" w:eastAsia="Times New Roman" w:hAnsi="Times New Roman"/>
          <w:sz w:val="21"/>
          <w:szCs w:val="21"/>
          <w:color w:val="171717"/>
        </w:rPr>
        <w:t>Incentive-Based Compensation Received by Covered Persons on or after the Listing Rule Effective Date</w:t>
      </w:r>
      <w:r>
        <w:rPr>
          <w:rFonts w:ascii="Times New Roman" w:cs="Times New Roman" w:eastAsia="Times New Roman" w:hAnsi="Times New Roman"/>
          <w:sz w:val="21"/>
          <w:szCs w:val="21"/>
          <w:color w:val="1E1E1E"/>
        </w:rPr>
        <w:t>.</w:t>
      </w:r>
    </w:p>
    <w:p>
      <w:pPr>
        <w:spacing w:after="0" w:line="138" w:lineRule="exact"/>
        <w:rPr>
          <w:sz w:val="20"/>
          <w:szCs w:val="20"/>
          <w:color w:val="auto"/>
        </w:rPr>
      </w:pPr>
    </w:p>
    <w:p>
      <w:pPr>
        <w:ind w:left="640" w:hanging="634"/>
        <w:spacing w:after="0"/>
        <w:tabs>
          <w:tab w:leader="none" w:pos="640" w:val="left"/>
        </w:tabs>
        <w:numPr>
          <w:ilvl w:val="0"/>
          <w:numId w:val="168"/>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1E1E1E"/>
        </w:rPr>
        <w:t>Administration</w:t>
      </w:r>
    </w:p>
    <w:p>
      <w:pPr>
        <w:spacing w:after="0" w:line="18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1E1E1E"/>
        </w:rPr>
        <w:t>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purpose of administering this Policy.</w:t>
      </w:r>
    </w:p>
    <w:p>
      <w:pPr>
        <w:spacing w:after="0" w:line="145" w:lineRule="exact"/>
        <w:rPr>
          <w:sz w:val="20"/>
          <w:szCs w:val="20"/>
          <w:color w:val="auto"/>
        </w:rPr>
      </w:pPr>
    </w:p>
    <w:p>
      <w:pPr>
        <w:ind w:left="640" w:hanging="634"/>
        <w:spacing w:after="0"/>
        <w:tabs>
          <w:tab w:leader="none" w:pos="640" w:val="left"/>
        </w:tabs>
        <w:numPr>
          <w:ilvl w:val="0"/>
          <w:numId w:val="169"/>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1E1E1E"/>
        </w:rPr>
        <w:t>Covered Persons and Applicable Compensation</w:t>
      </w:r>
    </w:p>
    <w:p>
      <w:pPr>
        <w:spacing w:after="0" w:line="18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1E1E1E"/>
        </w:rPr>
        <w:t>This Policy applies to any Incentive-Based Compensation Received by a person (a) after beginning service as a Covered Person; (b) who served as a Covered Person at any time during the performance period for that Incentive-Based Compensation; and (c) was a Covered Person during the Clawback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However, recovery is not required with respect to:</w:t>
      </w:r>
    </w:p>
    <w:p>
      <w:pPr>
        <w:spacing w:after="0" w:line="142" w:lineRule="exact"/>
        <w:rPr>
          <w:sz w:val="20"/>
          <w:szCs w:val="20"/>
          <w:color w:val="auto"/>
        </w:rPr>
      </w:pPr>
    </w:p>
    <w:p>
      <w:pPr>
        <w:ind w:left="640" w:hanging="316"/>
        <w:spacing w:after="0" w:line="245" w:lineRule="auto"/>
        <w:tabs>
          <w:tab w:leader="none" w:pos="632" w:val="left"/>
        </w:tabs>
        <w:numPr>
          <w:ilvl w:val="0"/>
          <w:numId w:val="170"/>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71717"/>
        </w:rPr>
        <w:t>Incentive</w:t>
      </w:r>
      <w:r>
        <w:rPr>
          <w:rFonts w:ascii="Times New Roman" w:cs="Times New Roman" w:eastAsia="Times New Roman" w:hAnsi="Times New Roman"/>
          <w:sz w:val="21"/>
          <w:szCs w:val="21"/>
          <w:color w:val="1E1E1E"/>
        </w:rPr>
        <w:t>-Based Compensation Received prior to an individual becoming a Covered Person, even if the individual served as</w:t>
      </w:r>
      <w:r>
        <w:rPr>
          <w:rFonts w:ascii="Times New Roman" w:cs="Times New Roman" w:eastAsia="Times New Roman" w:hAnsi="Times New Roman"/>
          <w:sz w:val="21"/>
          <w:szCs w:val="21"/>
          <w:color w:val="171717"/>
        </w:rPr>
        <w:t xml:space="preserve"> </w:t>
      </w:r>
      <w:r>
        <w:rPr>
          <w:rFonts w:ascii="Times New Roman" w:cs="Times New Roman" w:eastAsia="Times New Roman" w:hAnsi="Times New Roman"/>
          <w:sz w:val="21"/>
          <w:szCs w:val="21"/>
          <w:color w:val="1E1E1E"/>
        </w:rPr>
        <w:t>a Covered Person during the Clawback Period.</w:t>
      </w:r>
    </w:p>
    <w:p>
      <w:pPr>
        <w:spacing w:after="0" w:line="168" w:lineRule="exact"/>
        <w:rPr>
          <w:rFonts w:ascii="Times New Roman" w:cs="Times New Roman" w:eastAsia="Times New Roman" w:hAnsi="Times New Roman"/>
          <w:sz w:val="21"/>
          <w:szCs w:val="21"/>
          <w:color w:val="1E1E1E"/>
        </w:rPr>
      </w:pPr>
    </w:p>
    <w:p>
      <w:pPr>
        <w:ind w:left="640" w:hanging="316"/>
        <w:spacing w:after="0"/>
        <w:tabs>
          <w:tab w:leader="none" w:pos="640" w:val="left"/>
        </w:tabs>
        <w:numPr>
          <w:ilvl w:val="0"/>
          <w:numId w:val="170"/>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71717"/>
        </w:rPr>
        <w:t>Incentive-Based Compensation Received prior to the Listing Rule Effective Date.</w:t>
      </w:r>
    </w:p>
    <w:p>
      <w:pPr>
        <w:spacing w:after="0" w:line="208" w:lineRule="exact"/>
        <w:rPr>
          <w:rFonts w:ascii="Times New Roman" w:cs="Times New Roman" w:eastAsia="Times New Roman" w:hAnsi="Times New Roman"/>
          <w:sz w:val="21"/>
          <w:szCs w:val="21"/>
          <w:color w:val="1E1E1E"/>
        </w:rPr>
      </w:pPr>
    </w:p>
    <w:p>
      <w:pPr>
        <w:ind w:left="640" w:hanging="316"/>
        <w:spacing w:after="0"/>
        <w:tabs>
          <w:tab w:leader="none" w:pos="640" w:val="left"/>
        </w:tabs>
        <w:numPr>
          <w:ilvl w:val="0"/>
          <w:numId w:val="170"/>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71717"/>
        </w:rPr>
        <w:t>Incentive</w:t>
      </w:r>
      <w:r>
        <w:rPr>
          <w:rFonts w:ascii="Times New Roman" w:cs="Times New Roman" w:eastAsia="Times New Roman" w:hAnsi="Times New Roman"/>
          <w:sz w:val="21"/>
          <w:szCs w:val="21"/>
          <w:color w:val="1E1E1E"/>
        </w:rPr>
        <w:t>-Based Compensation Received prior to the Clawback Period.</w:t>
      </w:r>
    </w:p>
    <w:p>
      <w:pPr>
        <w:spacing w:after="0" w:line="208" w:lineRule="exact"/>
        <w:rPr>
          <w:rFonts w:ascii="Times New Roman" w:cs="Times New Roman" w:eastAsia="Times New Roman" w:hAnsi="Times New Roman"/>
          <w:sz w:val="21"/>
          <w:szCs w:val="21"/>
          <w:color w:val="1E1E1E"/>
        </w:rPr>
      </w:pPr>
    </w:p>
    <w:p>
      <w:pPr>
        <w:ind w:left="640" w:hanging="316"/>
        <w:spacing w:after="0" w:line="245" w:lineRule="auto"/>
        <w:tabs>
          <w:tab w:leader="none" w:pos="619" w:val="left"/>
        </w:tabs>
        <w:numPr>
          <w:ilvl w:val="0"/>
          <w:numId w:val="170"/>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71717"/>
        </w:rPr>
        <w:t>Incentive-Based Compensation Received while the Company did not have a class of listed securities on a national securities exchange or a national securities association, including the Exchange.</w:t>
      </w:r>
    </w:p>
    <w:p>
      <w:pPr>
        <w:spacing w:after="0" w:line="11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171717"/>
        </w:rPr>
        <w:t>The Administrator will not consider the Covered Person’s responsibility or fault or lack thereof in enforcing this Policy with respect to recoupment under the Final Rules.</w:t>
      </w:r>
    </w:p>
    <w:p>
      <w:pPr>
        <w:spacing w:after="0" w:line="138" w:lineRule="exact"/>
        <w:rPr>
          <w:sz w:val="20"/>
          <w:szCs w:val="20"/>
          <w:color w:val="auto"/>
        </w:rPr>
      </w:pPr>
    </w:p>
    <w:p>
      <w:pPr>
        <w:ind w:left="640" w:hanging="634"/>
        <w:spacing w:after="0"/>
        <w:tabs>
          <w:tab w:leader="none" w:pos="640" w:val="left"/>
        </w:tabs>
        <w:numPr>
          <w:ilvl w:val="0"/>
          <w:numId w:val="1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1E1E1E"/>
        </w:rPr>
        <w:t>Triggering Event</w:t>
      </w:r>
    </w:p>
    <w:p>
      <w:pPr>
        <w:spacing w:after="0" w:line="18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1E1E1E"/>
        </w:rPr>
        <w:t xml:space="preserve">Subject to and in accordance with the provisions of this Policy, if there is a Triggering Event, the Administrator shall require a Covered Person to reimburse or forfeit to the Company the Recoupment Amount applicable to such Covered Person. </w:t>
      </w:r>
      <w:r>
        <w:rPr>
          <w:rFonts w:ascii="Times New Roman" w:cs="Times New Roman" w:eastAsia="Times New Roman" w:hAnsi="Times New Roman"/>
          <w:sz w:val="21"/>
          <w:szCs w:val="21"/>
          <w:color w:val="171717"/>
        </w:rPr>
        <w:t>A Company’s</w:t>
      </w:r>
      <w:r>
        <w:rPr>
          <w:rFonts w:ascii="Times New Roman" w:cs="Times New Roman" w:eastAsia="Times New Roman" w:hAnsi="Times New Roman"/>
          <w:sz w:val="21"/>
          <w:szCs w:val="21"/>
          <w:color w:val="1E1E1E"/>
        </w:rPr>
        <w:t xml:space="preserve"> </w:t>
      </w:r>
      <w:r>
        <w:rPr>
          <w:rFonts w:ascii="Times New Roman" w:cs="Times New Roman" w:eastAsia="Times New Roman" w:hAnsi="Times New Roman"/>
          <w:sz w:val="21"/>
          <w:szCs w:val="21"/>
          <w:color w:val="171717"/>
        </w:rPr>
        <w:t>obligation to recover</w:t>
      </w:r>
    </w:p>
    <w:p>
      <w:pPr>
        <w:sectPr>
          <w:pgSz w:w="11900" w:h="16838" w:orient="portrait"/>
          <w:cols w:equalWidth="0" w:num="1">
            <w:col w:w="11240"/>
          </w:cols>
          <w:pgMar w:left="320" w:top="100" w:right="339" w:bottom="1440" w:gutter="0" w:footer="0" w:header="0"/>
        </w:sectPr>
      </w:pPr>
    </w:p>
    <w:bookmarkStart w:id="218" w:name="page219"/>
    <w:bookmarkEnd w:id="218"/>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71717"/>
        </w:rPr>
        <w:t>the Recoupment Amount is not dependent on if or when the restated financial statements are filed.</w:t>
      </w:r>
    </w:p>
    <w:p>
      <w:pPr>
        <w:spacing w:after="0" w:line="18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1E1E1E"/>
        </w:rPr>
        <w:t xml:space="preserve">If the Administrator determines that the </w:t>
      </w:r>
      <w:r>
        <w:rPr>
          <w:rFonts w:ascii="Times New Roman" w:cs="Times New Roman" w:eastAsia="Times New Roman" w:hAnsi="Times New Roman"/>
          <w:sz w:val="21"/>
          <w:szCs w:val="21"/>
          <w:color w:val="000000"/>
        </w:rPr>
        <w:t>Covered Person engaged in any fraud or intentional misconduct that materially contributes</w:t>
      </w:r>
      <w:r>
        <w:rPr>
          <w:rFonts w:ascii="Times New Roman" w:cs="Times New Roman" w:eastAsia="Times New Roman" w:hAnsi="Times New Roman"/>
          <w:sz w:val="21"/>
          <w:szCs w:val="21"/>
          <w:color w:val="1E1E1E"/>
        </w:rPr>
        <w:t xml:space="preserve"> </w:t>
      </w:r>
      <w:r>
        <w:rPr>
          <w:rFonts w:ascii="Times New Roman" w:cs="Times New Roman" w:eastAsia="Times New Roman" w:hAnsi="Times New Roman"/>
          <w:sz w:val="21"/>
          <w:szCs w:val="21"/>
          <w:color w:val="000000"/>
        </w:rPr>
        <w:t>or causes economic loss to the Company, this may be independently considered a Triggering Event, as determined by the Administrator. In such case, the Company will use reasonable efforts to recover from such Covered Person up to 100% (as determined by the Administrator in its sole discretion to be appropriate based on the conduct involved) of the Incentive-Based Compensation, not just the Recoupment Amount.</w:t>
      </w:r>
    </w:p>
    <w:p>
      <w:pPr>
        <w:spacing w:after="0" w:line="145" w:lineRule="exact"/>
        <w:rPr>
          <w:sz w:val="20"/>
          <w:szCs w:val="20"/>
          <w:color w:val="auto"/>
        </w:rPr>
      </w:pPr>
    </w:p>
    <w:p>
      <w:pPr>
        <w:ind w:left="640" w:hanging="634"/>
        <w:spacing w:after="0"/>
        <w:tabs>
          <w:tab w:leader="none" w:pos="640" w:val="left"/>
        </w:tabs>
        <w:numPr>
          <w:ilvl w:val="0"/>
          <w:numId w:val="172"/>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1E1E1E"/>
        </w:rPr>
        <w:t>Calculation of Recoupment Amount</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171717"/>
        </w:rPr>
        <w:t xml:space="preserve">The Recoupment Amount will be calculated in accordance with the Final Rules, as provided in the Calculation Guidelines attached hereto as </w:t>
      </w:r>
      <w:r>
        <w:rPr>
          <w:rFonts w:ascii="Times New Roman" w:cs="Times New Roman" w:eastAsia="Times New Roman" w:hAnsi="Times New Roman"/>
          <w:sz w:val="21"/>
          <w:szCs w:val="21"/>
          <w:u w:val="single" w:color="auto"/>
          <w:color w:val="171717"/>
        </w:rPr>
        <w:t>Exhibit B</w:t>
      </w:r>
      <w:r>
        <w:rPr>
          <w:rFonts w:ascii="Times New Roman" w:cs="Times New Roman" w:eastAsia="Times New Roman" w:hAnsi="Times New Roman"/>
          <w:sz w:val="21"/>
          <w:szCs w:val="21"/>
          <w:color w:val="171717"/>
        </w:rPr>
        <w:t>.</w:t>
      </w:r>
    </w:p>
    <w:p>
      <w:pPr>
        <w:spacing w:after="0" w:line="138" w:lineRule="exact"/>
        <w:rPr>
          <w:sz w:val="20"/>
          <w:szCs w:val="20"/>
          <w:color w:val="auto"/>
        </w:rPr>
      </w:pPr>
    </w:p>
    <w:p>
      <w:pPr>
        <w:ind w:left="640" w:hanging="634"/>
        <w:spacing w:after="0"/>
        <w:tabs>
          <w:tab w:leader="none" w:pos="640" w:val="left"/>
        </w:tabs>
        <w:numPr>
          <w:ilvl w:val="0"/>
          <w:numId w:val="173"/>
        </w:numPr>
        <w:rPr>
          <w:rFonts w:ascii="Times New Roman" w:cs="Times New Roman" w:eastAsia="Times New Roman" w:hAnsi="Times New Roman"/>
          <w:sz w:val="21"/>
          <w:szCs w:val="21"/>
          <w:b w:val="1"/>
          <w:bCs w:val="1"/>
          <w:color w:val="171717"/>
        </w:rPr>
      </w:pPr>
      <w:r>
        <w:rPr>
          <w:rFonts w:ascii="Times New Roman" w:cs="Times New Roman" w:eastAsia="Times New Roman" w:hAnsi="Times New Roman"/>
          <w:sz w:val="21"/>
          <w:szCs w:val="21"/>
          <w:b w:val="1"/>
          <w:bCs w:val="1"/>
          <w:color w:val="171717"/>
        </w:rPr>
        <w:t>Method of Recoupment</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171717"/>
        </w:rPr>
        <w:t>Subject to compliance with the Final Rules and applicable law, the Administrator will determine, in its sole discretion, the method for recouping the Recoupment Amount hereunder which may include, without limitation:</w:t>
      </w:r>
    </w:p>
    <w:p>
      <w:pPr>
        <w:spacing w:after="0" w:line="142" w:lineRule="exact"/>
        <w:rPr>
          <w:sz w:val="20"/>
          <w:szCs w:val="20"/>
          <w:color w:val="auto"/>
        </w:rPr>
      </w:pPr>
    </w:p>
    <w:p>
      <w:pPr>
        <w:ind w:left="640" w:hanging="316"/>
        <w:spacing w:after="0"/>
        <w:tabs>
          <w:tab w:leader="none" w:pos="640" w:val="left"/>
        </w:tabs>
        <w:numPr>
          <w:ilvl w:val="0"/>
          <w:numId w:val="174"/>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Requiring reimbursement or forfeiture of the pre-tax amount cash Incentive-Based Compensation previously paid;</w:t>
      </w:r>
    </w:p>
    <w:p>
      <w:pPr>
        <w:spacing w:after="0" w:line="208" w:lineRule="exact"/>
        <w:rPr>
          <w:rFonts w:ascii="Times New Roman" w:cs="Times New Roman" w:eastAsia="Times New Roman" w:hAnsi="Times New Roman"/>
          <w:sz w:val="21"/>
          <w:szCs w:val="21"/>
          <w:color w:val="171717"/>
        </w:rPr>
      </w:pPr>
    </w:p>
    <w:p>
      <w:pPr>
        <w:jc w:val="both"/>
        <w:ind w:left="640" w:hanging="316"/>
        <w:spacing w:after="0" w:line="231" w:lineRule="auto"/>
        <w:tabs>
          <w:tab w:leader="none" w:pos="638" w:val="left"/>
        </w:tabs>
        <w:numPr>
          <w:ilvl w:val="0"/>
          <w:numId w:val="174"/>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Offsetting the Recoupment Amount from any compensation otherwise owed by the Company to the Covered Person, including without limitation, any prior cash incentive payments, executive retirement benefits, wages, equity grants or other amounts payable by the Company to Covered Person in the future;</w:t>
      </w:r>
    </w:p>
    <w:p>
      <w:pPr>
        <w:spacing w:after="0" w:line="176" w:lineRule="exact"/>
        <w:rPr>
          <w:rFonts w:ascii="Times New Roman" w:cs="Times New Roman" w:eastAsia="Times New Roman" w:hAnsi="Times New Roman"/>
          <w:sz w:val="21"/>
          <w:szCs w:val="21"/>
          <w:color w:val="171717"/>
        </w:rPr>
      </w:pPr>
    </w:p>
    <w:p>
      <w:pPr>
        <w:ind w:left="640" w:hanging="316"/>
        <w:spacing w:after="0" w:line="245" w:lineRule="auto"/>
        <w:tabs>
          <w:tab w:leader="none" w:pos="631" w:val="left"/>
        </w:tabs>
        <w:numPr>
          <w:ilvl w:val="0"/>
          <w:numId w:val="174"/>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Seeking recovery of any gain realized on the vesting, exercise, settlement, cash sale, transfer, or other disposition of any equity-based awards; and/or</w:t>
      </w:r>
    </w:p>
    <w:p>
      <w:pPr>
        <w:spacing w:after="0" w:line="168" w:lineRule="exact"/>
        <w:rPr>
          <w:rFonts w:ascii="Times New Roman" w:cs="Times New Roman" w:eastAsia="Times New Roman" w:hAnsi="Times New Roman"/>
          <w:sz w:val="21"/>
          <w:szCs w:val="21"/>
          <w:color w:val="171717"/>
        </w:rPr>
      </w:pPr>
    </w:p>
    <w:p>
      <w:pPr>
        <w:ind w:left="620" w:hanging="296"/>
        <w:spacing w:after="0"/>
        <w:tabs>
          <w:tab w:leader="none" w:pos="62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171717"/>
        </w:rPr>
        <w:t>Taking any other remedial and recovery action permitted by law,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0" w:hanging="634"/>
        <w:spacing w:after="0"/>
        <w:tabs>
          <w:tab w:leader="none" w:pos="640" w:val="left"/>
        </w:tabs>
        <w:numPr>
          <w:ilvl w:val="0"/>
          <w:numId w:val="175"/>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1E1E1E"/>
        </w:rPr>
        <w:t>Arbitration</w:t>
      </w:r>
    </w:p>
    <w:p>
      <w:pPr>
        <w:spacing w:after="0" w:line="1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1E1E1E"/>
        </w:rPr>
        <w:t>To the fullest extent permitted by law, any disputes under this Policy shall be submitted to mandatory binding arbitration (the “</w:t>
      </w:r>
      <w:r>
        <w:rPr>
          <w:rFonts w:ascii="Times New Roman" w:cs="Times New Roman" w:eastAsia="Times New Roman" w:hAnsi="Times New Roman"/>
          <w:sz w:val="21"/>
          <w:szCs w:val="21"/>
          <w:b w:val="1"/>
          <w:bCs w:val="1"/>
          <w:i w:val="1"/>
          <w:iCs w:val="1"/>
          <w:color w:val="1E1E1E"/>
        </w:rPr>
        <w:t>Arbitrable Claims</w:t>
      </w:r>
      <w:r>
        <w:rPr>
          <w:rFonts w:ascii="Times New Roman" w:cs="Times New Roman" w:eastAsia="Times New Roman" w:hAnsi="Times New Roman"/>
          <w:sz w:val="21"/>
          <w:szCs w:val="21"/>
          <w:color w:val="1E1E1E"/>
        </w:rPr>
        <w:t>”), governed by the Federal Arbitration Act (the “</w:t>
      </w:r>
      <w:r>
        <w:rPr>
          <w:rFonts w:ascii="Times New Roman" w:cs="Times New Roman" w:eastAsia="Times New Roman" w:hAnsi="Times New Roman"/>
          <w:sz w:val="21"/>
          <w:szCs w:val="21"/>
          <w:b w:val="1"/>
          <w:bCs w:val="1"/>
          <w:i w:val="1"/>
          <w:iCs w:val="1"/>
          <w:color w:val="1E1E1E"/>
        </w:rPr>
        <w:t>FAA</w:t>
      </w:r>
      <w:r>
        <w:rPr>
          <w:rFonts w:ascii="Times New Roman" w:cs="Times New Roman" w:eastAsia="Times New Roman" w:hAnsi="Times New Roman"/>
          <w:sz w:val="21"/>
          <w:szCs w:val="21"/>
          <w:color w:val="1E1E1E"/>
        </w:rPr>
        <w:t>”). Further, to the fullest extent permitted by law, no class or collective actions can be asserted in arbitration or otherwise. All claims, whether in arbitration or otherwise, must be brought solely in Covered Person’s individual capacity, and not as a plaintiff or class member in any purported class or collective proceeding.</w:t>
      </w:r>
    </w:p>
    <w:p>
      <w:pPr>
        <w:spacing w:after="0" w:line="30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1E1E1E"/>
        </w:rPr>
        <w:t>SUBJECT TO THE ABOVE PROVISO, ANY RIGHTS THAT COVERED PERSON MAY HAVE TO TRIAL BY JURY IN REGARD TO ARBITRABLE CLAIMS ARE WAIVED. ANY RIGHTS THAT COVERED PERSON MAY HAVE TO PURSUE OR PARTICIPATE IN A CLASS OR COLLECTIVE ACTION PERTAINING TO ANY CLAIMS BETWEEN COVERED PERSON AND THE COMPANY ARE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0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1E1E1E"/>
        </w:rPr>
        <w:t xml:space="preserve">Covered Person is not restricted from filing administrative claims that may be brought before any government agency where, as a matter of law, Covered Person’s ability to file such claims may not be restricted. However, to the fullest extent permitted by law, arbitration shall be the exclusive remedy for the subject matter of such administrative claims. The arbitration shall be conducted in San Diego, California through JAMS before a single neutral arbitrator, in accordance with the JAMS </w:t>
      </w:r>
      <w:r>
        <w:rPr>
          <w:rFonts w:ascii="Times New Roman" w:cs="Times New Roman" w:eastAsia="Times New Roman" w:hAnsi="Times New Roman"/>
          <w:sz w:val="21"/>
          <w:szCs w:val="21"/>
          <w:color w:val="000000"/>
        </w:rPr>
        <w:t>Comprehensive Arbitration</w:t>
      </w:r>
      <w:r>
        <w:rPr>
          <w:rFonts w:ascii="Times New Roman" w:cs="Times New Roman" w:eastAsia="Times New Roman" w:hAnsi="Times New Roman"/>
          <w:sz w:val="21"/>
          <w:szCs w:val="21"/>
          <w:color w:val="1E1E1E"/>
        </w:rPr>
        <w:t xml:space="preserve"> </w:t>
      </w:r>
      <w:r>
        <w:rPr>
          <w:rFonts w:ascii="Times New Roman" w:cs="Times New Roman" w:eastAsia="Times New Roman" w:hAnsi="Times New Roman"/>
          <w:sz w:val="21"/>
          <w:szCs w:val="21"/>
          <w:color w:val="000000"/>
        </w:rPr>
        <w:t xml:space="preserve">Rules and Procedures </w:t>
      </w:r>
      <w:r>
        <w:rPr>
          <w:rFonts w:ascii="Times New Roman" w:cs="Times New Roman" w:eastAsia="Times New Roman" w:hAnsi="Times New Roman"/>
          <w:sz w:val="21"/>
          <w:szCs w:val="21"/>
          <w:color w:val="1E1E1E"/>
        </w:rPr>
        <w:t>then in effect, provided however, that the FAA, including its procedural provisions for compelling arbitration,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1E1E1E"/>
        </w:rPr>
        <w:t>shall govern and apply to this Arbitration provision. The arbitrator shall issue a written decision that contains the essential findings and conclusions on which the decision is based. If, for any reason, any term of this Arbitration provision is held to be invalid or unenforceable, all other valid terms and conditions herein shall be severable in nature and remain fully enforceable.</w:t>
      </w:r>
    </w:p>
    <w:p>
      <w:pPr>
        <w:spacing w:after="0" w:line="147" w:lineRule="exact"/>
        <w:rPr>
          <w:sz w:val="20"/>
          <w:szCs w:val="20"/>
          <w:color w:val="auto"/>
        </w:rPr>
      </w:pPr>
    </w:p>
    <w:p>
      <w:pPr>
        <w:ind w:left="640" w:hanging="634"/>
        <w:spacing w:after="0"/>
        <w:tabs>
          <w:tab w:leader="none" w:pos="640" w:val="left"/>
        </w:tabs>
        <w:numPr>
          <w:ilvl w:val="0"/>
          <w:numId w:val="176"/>
        </w:numPr>
        <w:rPr>
          <w:rFonts w:ascii="Times New Roman" w:cs="Times New Roman" w:eastAsia="Times New Roman" w:hAnsi="Times New Roman"/>
          <w:sz w:val="21"/>
          <w:szCs w:val="21"/>
          <w:b w:val="1"/>
          <w:bCs w:val="1"/>
          <w:color w:val="1E1E1E"/>
        </w:rPr>
      </w:pPr>
      <w:r>
        <w:rPr>
          <w:rFonts w:ascii="Times New Roman" w:cs="Times New Roman" w:eastAsia="Times New Roman" w:hAnsi="Times New Roman"/>
          <w:sz w:val="21"/>
          <w:szCs w:val="21"/>
          <w:b w:val="1"/>
          <w:bCs w:val="1"/>
          <w:color w:val="1E1E1E"/>
        </w:rPr>
        <w:t>Recovery Process; Impracticability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Actions by the Administrator to recover the Recoupment Amount will be reasonably prompt.</w:t>
      </w:r>
    </w:p>
    <w:p>
      <w:pPr>
        <w:spacing w:after="0" w:line="18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1E1E1E"/>
        </w:rPr>
        <w:t>The Administrator must cause the Company to recover the Recoupment Amount unless the Administrator shall have previously determined that recovery is impracticable and one of the following conditions is met:</w:t>
      </w:r>
    </w:p>
    <w:p>
      <w:pPr>
        <w:spacing w:after="0" w:line="142" w:lineRule="exact"/>
        <w:rPr>
          <w:sz w:val="20"/>
          <w:szCs w:val="20"/>
          <w:color w:val="auto"/>
        </w:rPr>
      </w:pPr>
    </w:p>
    <w:p>
      <w:pPr>
        <w:jc w:val="both"/>
        <w:ind w:left="960" w:hanging="636"/>
        <w:spacing w:after="0" w:line="226" w:lineRule="auto"/>
        <w:tabs>
          <w:tab w:leader="none" w:pos="953" w:val="left"/>
        </w:tabs>
        <w:numPr>
          <w:ilvl w:val="0"/>
          <w:numId w:val="177"/>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E1E1E"/>
        </w:rPr>
        <w:t>The direct expense paid to a third party to assist in enforcing the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w:t>
      </w:r>
    </w:p>
    <w:p>
      <w:pPr>
        <w:spacing w:after="0" w:line="175" w:lineRule="exact"/>
        <w:rPr>
          <w:rFonts w:ascii="Times New Roman" w:cs="Times New Roman" w:eastAsia="Times New Roman" w:hAnsi="Times New Roman"/>
          <w:sz w:val="21"/>
          <w:szCs w:val="21"/>
          <w:color w:val="1E1E1E"/>
        </w:rPr>
      </w:pPr>
    </w:p>
    <w:p>
      <w:pPr>
        <w:jc w:val="both"/>
        <w:ind w:left="960" w:hanging="636"/>
        <w:spacing w:after="0" w:line="226" w:lineRule="auto"/>
        <w:tabs>
          <w:tab w:leader="none" w:pos="959" w:val="left"/>
        </w:tabs>
        <w:numPr>
          <w:ilvl w:val="0"/>
          <w:numId w:val="177"/>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E1E1E"/>
        </w:rPr>
        <w:t>Whether 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the Exchange, that recovery would result in such a violation, and must provide such opinion to the Exchange; or</w:t>
      </w:r>
    </w:p>
    <w:p>
      <w:pPr>
        <w:spacing w:after="0" w:line="175" w:lineRule="exact"/>
        <w:rPr>
          <w:rFonts w:ascii="Times New Roman" w:cs="Times New Roman" w:eastAsia="Times New Roman" w:hAnsi="Times New Roman"/>
          <w:sz w:val="21"/>
          <w:szCs w:val="21"/>
          <w:color w:val="1E1E1E"/>
        </w:rPr>
      </w:pPr>
    </w:p>
    <w:p>
      <w:pPr>
        <w:jc w:val="both"/>
        <w:ind w:left="960" w:hanging="636"/>
        <w:spacing w:after="0" w:line="231" w:lineRule="auto"/>
        <w:tabs>
          <w:tab w:leader="none" w:pos="951" w:val="left"/>
        </w:tabs>
        <w:numPr>
          <w:ilvl w:val="0"/>
          <w:numId w:val="177"/>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E1E1E"/>
        </w:rPr>
        <w:t>Whether recovery would likely cause an otherwise tax-qualified retirement plan, under which benefits are broadly available to employees of the Company, to fail to meet the requirements of 26 U.S.C. 401(a)(13) or 26 U.S.C. 411(a) and regulations thereunder.</w:t>
      </w:r>
    </w:p>
    <w:p>
      <w:pPr>
        <w:spacing w:after="0" w:line="172" w:lineRule="exact"/>
        <w:rPr>
          <w:sz w:val="20"/>
          <w:szCs w:val="20"/>
          <w:color w:val="auto"/>
        </w:rPr>
      </w:pPr>
    </w:p>
    <w:p>
      <w:pPr>
        <w:ind w:left="640" w:hanging="634"/>
        <w:spacing w:after="0"/>
        <w:tabs>
          <w:tab w:leader="none" w:pos="640" w:val="left"/>
        </w:tabs>
        <w:numPr>
          <w:ilvl w:val="0"/>
          <w:numId w:val="178"/>
        </w:numPr>
        <w:rPr>
          <w:rFonts w:ascii="Times New Roman" w:cs="Times New Roman" w:eastAsia="Times New Roman" w:hAnsi="Times New Roman"/>
          <w:sz w:val="21"/>
          <w:szCs w:val="21"/>
          <w:b w:val="1"/>
          <w:bCs w:val="1"/>
          <w:color w:val="171717"/>
        </w:rPr>
      </w:pPr>
      <w:r>
        <w:rPr>
          <w:rFonts w:ascii="Times New Roman" w:cs="Times New Roman" w:eastAsia="Times New Roman" w:hAnsi="Times New Roman"/>
          <w:sz w:val="21"/>
          <w:szCs w:val="21"/>
          <w:b w:val="1"/>
          <w:bCs w:val="1"/>
          <w:color w:val="171717"/>
        </w:rPr>
        <w:t>Non-Exclusivity</w:t>
      </w:r>
    </w:p>
    <w:p>
      <w:pPr>
        <w:spacing w:after="0" w:line="18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171717"/>
        </w:rPr>
        <w:t>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or regulations available or applicable to the Company (including SOX 304). If recovery is required under both SOX 304 and this Policy, any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71717"/>
        </w:rPr>
        <w:t>recovered pursuant to SOX 304 may be credited toward the amount recovered under this Policy, or vice versa.</w:t>
      </w:r>
    </w:p>
    <w:p>
      <w:pPr>
        <w:spacing w:after="0" w:line="178" w:lineRule="exact"/>
        <w:rPr>
          <w:sz w:val="20"/>
          <w:szCs w:val="20"/>
          <w:color w:val="auto"/>
        </w:rPr>
      </w:pPr>
    </w:p>
    <w:p>
      <w:pPr>
        <w:ind w:left="640" w:hanging="634"/>
        <w:spacing w:after="0"/>
        <w:tabs>
          <w:tab w:leader="none" w:pos="640" w:val="left"/>
        </w:tabs>
        <w:numPr>
          <w:ilvl w:val="0"/>
          <w:numId w:val="179"/>
        </w:numPr>
        <w:rPr>
          <w:rFonts w:ascii="Times New Roman" w:cs="Times New Roman" w:eastAsia="Times New Roman" w:hAnsi="Times New Roman"/>
          <w:sz w:val="21"/>
          <w:szCs w:val="21"/>
          <w:b w:val="1"/>
          <w:bCs w:val="1"/>
          <w:color w:val="171717"/>
        </w:rPr>
      </w:pPr>
      <w:r>
        <w:rPr>
          <w:rFonts w:ascii="Times New Roman" w:cs="Times New Roman" w:eastAsia="Times New Roman" w:hAnsi="Times New Roman"/>
          <w:sz w:val="21"/>
          <w:szCs w:val="21"/>
          <w:b w:val="1"/>
          <w:bCs w:val="1"/>
          <w:color w:val="171717"/>
        </w:rPr>
        <w:t>No Advancement and/or Indemnification</w:t>
      </w:r>
    </w:p>
    <w:p>
      <w:pPr>
        <w:spacing w:after="0" w:line="18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1E1E1E"/>
        </w:rPr>
        <w:t xml:space="preserve">The Company shall not advance and/or indemnify any Covered Persons against the loss of erroneously awarded </w:t>
      </w:r>
      <w:r>
        <w:rPr>
          <w:rFonts w:ascii="Times New Roman" w:cs="Times New Roman" w:eastAsia="Times New Roman" w:hAnsi="Times New Roman"/>
          <w:sz w:val="21"/>
          <w:szCs w:val="21"/>
          <w:color w:val="171717"/>
        </w:rPr>
        <w:t>Incentive-Based</w:t>
      </w:r>
      <w:r>
        <w:rPr>
          <w:rFonts w:ascii="Times New Roman" w:cs="Times New Roman" w:eastAsia="Times New Roman" w:hAnsi="Times New Roman"/>
          <w:sz w:val="21"/>
          <w:szCs w:val="21"/>
          <w:color w:val="1E1E1E"/>
        </w:rPr>
        <w:t xml:space="preserve"> </w:t>
      </w:r>
      <w:r>
        <w:rPr>
          <w:rFonts w:ascii="Times New Roman" w:cs="Times New Roman" w:eastAsia="Times New Roman" w:hAnsi="Times New Roman"/>
          <w:sz w:val="21"/>
          <w:szCs w:val="21"/>
          <w:color w:val="171717"/>
        </w:rPr>
        <w:t>Compensation or any adverse tax consequences associated with any incorrectly awarded Incentive-Based Compensation or any recoupment hereunder. For the avoidance of doubt, this prohibition on advancement and/or indemnification will also prohibit the Company from reimbursing or paying any premium or payment of any third-party insurance policy to fund potential recovery obligations obtained by the Covered Person directly. No Covered Person will seek or retain any such prohibited advancement, indemnification or reimbursement.</w:t>
      </w:r>
    </w:p>
    <w:p>
      <w:pPr>
        <w:spacing w:after="0" w:line="144" w:lineRule="exact"/>
        <w:rPr>
          <w:sz w:val="20"/>
          <w:szCs w:val="20"/>
          <w:color w:val="auto"/>
        </w:rPr>
      </w:pPr>
    </w:p>
    <w:p>
      <w:pPr>
        <w:ind w:left="640" w:hanging="634"/>
        <w:spacing w:after="0"/>
        <w:tabs>
          <w:tab w:leader="none" w:pos="640" w:val="left"/>
        </w:tabs>
        <w:numPr>
          <w:ilvl w:val="0"/>
          <w:numId w:val="180"/>
        </w:numPr>
        <w:rPr>
          <w:rFonts w:ascii="Times New Roman" w:cs="Times New Roman" w:eastAsia="Times New Roman" w:hAnsi="Times New Roman"/>
          <w:sz w:val="21"/>
          <w:szCs w:val="21"/>
          <w:b w:val="1"/>
          <w:bCs w:val="1"/>
          <w:color w:val="171717"/>
        </w:rPr>
      </w:pPr>
      <w:r>
        <w:rPr>
          <w:rFonts w:ascii="Times New Roman" w:cs="Times New Roman" w:eastAsia="Times New Roman" w:hAnsi="Times New Roman"/>
          <w:sz w:val="21"/>
          <w:szCs w:val="21"/>
          <w:b w:val="1"/>
          <w:bCs w:val="1"/>
          <w:color w:val="171717"/>
        </w:rPr>
        <w:t>Covered Person Acknowledgement and Agreement</w:t>
      </w:r>
    </w:p>
    <w:p>
      <w:pPr>
        <w:spacing w:after="0" w:line="18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171717"/>
        </w:rPr>
        <w:t xml:space="preserve">All Covered Persons subject to this Policy must acknowledge their understanding of, and agreement to comply with, the Policy by executing the certification attached hereto as </w:t>
      </w:r>
      <w:r>
        <w:rPr>
          <w:rFonts w:ascii="Times New Roman" w:cs="Times New Roman" w:eastAsia="Times New Roman" w:hAnsi="Times New Roman"/>
          <w:sz w:val="21"/>
          <w:szCs w:val="21"/>
          <w:u w:val="single" w:color="auto"/>
          <w:color w:val="171717"/>
        </w:rPr>
        <w:t>Exhibit A</w:t>
      </w:r>
      <w:r>
        <w:rPr>
          <w:rFonts w:ascii="Times New Roman" w:cs="Times New Roman" w:eastAsia="Times New Roman" w:hAnsi="Times New Roman"/>
          <w:sz w:val="21"/>
          <w:szCs w:val="21"/>
          <w:color w:val="171717"/>
        </w:rPr>
        <w:t>.</w:t>
      </w:r>
    </w:p>
    <w:p>
      <w:pPr>
        <w:spacing w:after="0" w:line="138" w:lineRule="exact"/>
        <w:rPr>
          <w:sz w:val="20"/>
          <w:szCs w:val="20"/>
          <w:color w:val="auto"/>
        </w:rPr>
      </w:pPr>
    </w:p>
    <w:p>
      <w:pPr>
        <w:ind w:left="620" w:hanging="614"/>
        <w:spacing w:after="0"/>
        <w:tabs>
          <w:tab w:leader="none" w:pos="620" w:val="left"/>
        </w:tabs>
        <w:numPr>
          <w:ilvl w:val="0"/>
          <w:numId w:val="181"/>
        </w:numPr>
        <w:rPr>
          <w:rFonts w:ascii="Times New Roman" w:cs="Times New Roman" w:eastAsia="Times New Roman" w:hAnsi="Times New Roman"/>
          <w:sz w:val="21"/>
          <w:szCs w:val="21"/>
          <w:b w:val="1"/>
          <w:bCs w:val="1"/>
          <w:color w:val="171717"/>
        </w:rPr>
      </w:pPr>
      <w:r>
        <w:rPr>
          <w:rFonts w:ascii="Times New Roman" w:cs="Times New Roman" w:eastAsia="Times New Roman" w:hAnsi="Times New Roman"/>
          <w:sz w:val="21"/>
          <w:szCs w:val="21"/>
          <w:b w:val="1"/>
          <w:bCs w:val="1"/>
          <w:color w:val="171717"/>
        </w:rPr>
        <w:t>Successors</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171717"/>
        </w:rPr>
        <w:t>This Policy shall be binding and enforceable against all Covered Persons and their beneficiaries, heirs, executors, administrators or other legal representatives and shall inure to the benefit of any successor to the Company.</w:t>
      </w:r>
    </w:p>
    <w:p>
      <w:pPr>
        <w:spacing w:after="0" w:line="138" w:lineRule="exact"/>
        <w:rPr>
          <w:sz w:val="20"/>
          <w:szCs w:val="20"/>
          <w:color w:val="auto"/>
        </w:rPr>
      </w:pPr>
    </w:p>
    <w:p>
      <w:pPr>
        <w:ind w:left="640" w:hanging="634"/>
        <w:spacing w:after="0"/>
        <w:tabs>
          <w:tab w:leader="none" w:pos="640" w:val="left"/>
        </w:tabs>
        <w:numPr>
          <w:ilvl w:val="0"/>
          <w:numId w:val="182"/>
        </w:numPr>
        <w:rPr>
          <w:rFonts w:ascii="Times New Roman" w:cs="Times New Roman" w:eastAsia="Times New Roman" w:hAnsi="Times New Roman"/>
          <w:sz w:val="21"/>
          <w:szCs w:val="21"/>
          <w:b w:val="1"/>
          <w:bCs w:val="1"/>
          <w:color w:val="171717"/>
        </w:rPr>
      </w:pPr>
      <w:r>
        <w:rPr>
          <w:rFonts w:ascii="Times New Roman" w:cs="Times New Roman" w:eastAsia="Times New Roman" w:hAnsi="Times New Roman"/>
          <w:sz w:val="21"/>
          <w:szCs w:val="21"/>
          <w:b w:val="1"/>
          <w:bCs w:val="1"/>
          <w:color w:val="171717"/>
        </w:rPr>
        <w:t>Interpretation of Policy</w:t>
      </w:r>
    </w:p>
    <w:p>
      <w:pPr>
        <w:spacing w:after="0" w:line="18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171717"/>
        </w:rPr>
        <w:t>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w:t>
      </w:r>
    </w:p>
    <w:p>
      <w:pPr>
        <w:spacing w:after="0" w:line="1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171717"/>
        </w:rPr>
        <w:t>In the event any provision of this Policy is inconsistent with any requirement of any Final Rules, the Administrator, in its sole discretion, shall amend and administer this Policy and bring it into compliance with such rules.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Any determination under this Policy by the Administrator shall be conclusive and binding on the applicable Covered Person.</w:t>
      </w:r>
    </w:p>
    <w:p>
      <w:pPr>
        <w:spacing w:after="0"/>
        <w:rPr>
          <w:sz w:val="20"/>
          <w:szCs w:val="20"/>
          <w:color w:val="auto"/>
        </w:rPr>
      </w:pPr>
      <w:r>
        <w:rPr>
          <w:rFonts w:ascii="Times New Roman" w:cs="Times New Roman" w:eastAsia="Times New Roman" w:hAnsi="Times New Roman"/>
          <w:sz w:val="21"/>
          <w:szCs w:val="21"/>
          <w:color w:val="1E1E1E"/>
        </w:rPr>
        <w:t>Determinations of the Administrator need not be uniform with respect to Covered Persons or from one payment or grant to another.</w:t>
      </w:r>
    </w:p>
    <w:p>
      <w:pPr>
        <w:spacing w:after="0" w:line="154" w:lineRule="exact"/>
        <w:rPr>
          <w:sz w:val="20"/>
          <w:szCs w:val="20"/>
          <w:color w:val="auto"/>
        </w:rPr>
      </w:pPr>
    </w:p>
    <w:p>
      <w:pPr>
        <w:ind w:left="640" w:hanging="634"/>
        <w:spacing w:after="0"/>
        <w:tabs>
          <w:tab w:leader="none" w:pos="640" w:val="left"/>
        </w:tabs>
        <w:numPr>
          <w:ilvl w:val="0"/>
          <w:numId w:val="1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Amendments; Termination</w:t>
      </w:r>
    </w:p>
    <w:p>
      <w:pPr>
        <w:spacing w:after="0" w:line="18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1E1E1E"/>
        </w:rPr>
        <w:t>The Administrator may make any amendments to this Policy as required under applicable law, rules and regulations, or as otherwise determined by the Administrator in its sole discretion.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The Administrator may terminate this Policy at any time.</w:t>
      </w:r>
    </w:p>
    <w:p>
      <w:pPr>
        <w:spacing w:after="0" w:line="178" w:lineRule="exact"/>
        <w:rPr>
          <w:sz w:val="20"/>
          <w:szCs w:val="20"/>
          <w:color w:val="auto"/>
        </w:rPr>
      </w:pPr>
    </w:p>
    <w:p>
      <w:pPr>
        <w:ind w:left="640" w:hanging="634"/>
        <w:spacing w:after="0"/>
        <w:tabs>
          <w:tab w:leader="none" w:pos="640" w:val="left"/>
        </w:tabs>
        <w:numPr>
          <w:ilvl w:val="0"/>
          <w:numId w:val="184"/>
        </w:numPr>
        <w:rPr>
          <w:rFonts w:ascii="Times New Roman" w:cs="Times New Roman" w:eastAsia="Times New Roman" w:hAnsi="Times New Roman"/>
          <w:sz w:val="21"/>
          <w:szCs w:val="21"/>
          <w:b w:val="1"/>
          <w:bCs w:val="1"/>
          <w:color w:val="171717"/>
        </w:rPr>
      </w:pPr>
      <w:r>
        <w:rPr>
          <w:rFonts w:ascii="Times New Roman" w:cs="Times New Roman" w:eastAsia="Times New Roman" w:hAnsi="Times New Roman"/>
          <w:sz w:val="21"/>
          <w:szCs w:val="21"/>
          <w:b w:val="1"/>
          <w:bCs w:val="1"/>
          <w:color w:val="171717"/>
        </w:rPr>
        <w:t>Definitions</w:t>
      </w:r>
    </w:p>
    <w:p>
      <w:pPr>
        <w:spacing w:after="0" w:line="18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Administrator</w:t>
      </w:r>
      <w:r>
        <w:rPr>
          <w:rFonts w:ascii="Times New Roman" w:cs="Times New Roman" w:eastAsia="Times New Roman" w:hAnsi="Times New Roman"/>
          <w:sz w:val="21"/>
          <w:szCs w:val="21"/>
          <w:color w:val="1E1E1E"/>
        </w:rPr>
        <w:t>” means the Compensation Committee of the Board, or in the absence of a committee of independent directors responsible for executive compensation decisions, a majority of the independent directors serving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Board</w:t>
      </w:r>
      <w:r>
        <w:rPr>
          <w:rFonts w:ascii="Times New Roman" w:cs="Times New Roman" w:eastAsia="Times New Roman" w:hAnsi="Times New Roman"/>
          <w:sz w:val="21"/>
          <w:szCs w:val="21"/>
          <w:color w:val="1E1E1E"/>
        </w:rPr>
        <w:t>” means the Board of Directors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71717"/>
        </w:rPr>
        <w:t>“</w:t>
      </w:r>
      <w:r>
        <w:rPr>
          <w:rFonts w:ascii="Times New Roman" w:cs="Times New Roman" w:eastAsia="Times New Roman" w:hAnsi="Times New Roman"/>
          <w:sz w:val="21"/>
          <w:szCs w:val="21"/>
          <w:b w:val="1"/>
          <w:bCs w:val="1"/>
          <w:i w:val="1"/>
          <w:iCs w:val="1"/>
          <w:color w:val="171717"/>
        </w:rPr>
        <w:t>Clawback Measurement Date</w:t>
      </w:r>
      <w:r>
        <w:rPr>
          <w:rFonts w:ascii="Times New Roman" w:cs="Times New Roman" w:eastAsia="Times New Roman" w:hAnsi="Times New Roman"/>
          <w:sz w:val="21"/>
          <w:szCs w:val="21"/>
          <w:color w:val="171717"/>
        </w:rPr>
        <w:t>” is the earlier to occur of:</w:t>
      </w:r>
    </w:p>
    <w:p>
      <w:pPr>
        <w:spacing w:after="0" w:line="186" w:lineRule="exact"/>
        <w:rPr>
          <w:sz w:val="20"/>
          <w:szCs w:val="20"/>
          <w:color w:val="auto"/>
        </w:rPr>
      </w:pPr>
    </w:p>
    <w:p>
      <w:pPr>
        <w:jc w:val="both"/>
        <w:ind w:left="640" w:hanging="316"/>
        <w:spacing w:after="0" w:line="231" w:lineRule="auto"/>
        <w:tabs>
          <w:tab w:leader="none" w:pos="632" w:val="left"/>
        </w:tabs>
        <w:numPr>
          <w:ilvl w:val="0"/>
          <w:numId w:val="185"/>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p>
      <w:pPr>
        <w:spacing w:after="0" w:line="176" w:lineRule="exact"/>
        <w:rPr>
          <w:rFonts w:ascii="Times New Roman" w:cs="Times New Roman" w:eastAsia="Times New Roman" w:hAnsi="Times New Roman"/>
          <w:sz w:val="21"/>
          <w:szCs w:val="21"/>
          <w:color w:val="171717"/>
        </w:rPr>
      </w:pPr>
    </w:p>
    <w:p>
      <w:pPr>
        <w:ind w:left="640" w:hanging="316"/>
        <w:spacing w:after="0" w:line="245" w:lineRule="auto"/>
        <w:tabs>
          <w:tab w:leader="none" w:pos="638" w:val="left"/>
        </w:tabs>
        <w:numPr>
          <w:ilvl w:val="0"/>
          <w:numId w:val="185"/>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The date a court, regulator, or other legally authorized body directs the Company to prepare an accounting restatement as described in this Policy.</w:t>
      </w:r>
    </w:p>
    <w:p>
      <w:pPr>
        <w:spacing w:after="0" w:line="13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171717"/>
        </w:rPr>
        <w:t>“</w:t>
      </w:r>
      <w:r>
        <w:rPr>
          <w:rFonts w:ascii="Times New Roman" w:cs="Times New Roman" w:eastAsia="Times New Roman" w:hAnsi="Times New Roman"/>
          <w:sz w:val="21"/>
          <w:szCs w:val="21"/>
          <w:b w:val="1"/>
          <w:bCs w:val="1"/>
          <w:i w:val="1"/>
          <w:iCs w:val="1"/>
          <w:color w:val="171717"/>
        </w:rPr>
        <w:t>Clawback Period</w:t>
      </w:r>
      <w:r>
        <w:rPr>
          <w:rFonts w:ascii="Times New Roman" w:cs="Times New Roman" w:eastAsia="Times New Roman" w:hAnsi="Times New Roman"/>
          <w:sz w:val="21"/>
          <w:szCs w:val="21"/>
          <w:color w:val="171717"/>
        </w:rPr>
        <w:t>” means the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Company</w:t>
      </w:r>
      <w:r>
        <w:rPr>
          <w:rFonts w:ascii="Times New Roman" w:cs="Times New Roman" w:eastAsia="Times New Roman" w:hAnsi="Times New Roman"/>
          <w:sz w:val="21"/>
          <w:szCs w:val="21"/>
          <w:color w:val="1E1E1E"/>
        </w:rPr>
        <w:t>” means Veracyte, Inc., a Delaware corporation, or any successor corporation.</w:t>
      </w:r>
    </w:p>
    <w:p>
      <w:pPr>
        <w:spacing w:after="0" w:line="18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Covered Person</w:t>
      </w:r>
      <w:r>
        <w:rPr>
          <w:rFonts w:ascii="Times New Roman" w:cs="Times New Roman" w:eastAsia="Times New Roman" w:hAnsi="Times New Roman"/>
          <w:sz w:val="21"/>
          <w:szCs w:val="21"/>
          <w:color w:val="1E1E1E"/>
        </w:rPr>
        <w:t xml:space="preserve">” means any Executive Officer (as defined in the Final Rules), including, but not limited to, </w:t>
      </w:r>
      <w:r>
        <w:rPr>
          <w:rFonts w:ascii="Times New Roman" w:cs="Times New Roman" w:eastAsia="Times New Roman" w:hAnsi="Times New Roman"/>
          <w:sz w:val="21"/>
          <w:szCs w:val="21"/>
          <w:color w:val="000000"/>
        </w:rPr>
        <w:t>those persons who are</w:t>
      </w:r>
      <w:r>
        <w:rPr>
          <w:rFonts w:ascii="Times New Roman" w:cs="Times New Roman" w:eastAsia="Times New Roman" w:hAnsi="Times New Roman"/>
          <w:sz w:val="21"/>
          <w:szCs w:val="21"/>
          <w:color w:val="1E1E1E"/>
        </w:rPr>
        <w:t xml:space="preserve"> </w:t>
      </w:r>
      <w:r>
        <w:rPr>
          <w:rFonts w:ascii="Times New Roman" w:cs="Times New Roman" w:eastAsia="Times New Roman" w:hAnsi="Times New Roman"/>
          <w:sz w:val="21"/>
          <w:szCs w:val="21"/>
          <w:color w:val="000000"/>
        </w:rPr>
        <w:t>or have been determined to be “officers” of the Company within the meaning of Section 16 of Rule 16a-1(f) of the rules promulgated under the Exchange Act, and “executive officers” of the Company within the meaning of Item 401(b) of Regulation S-K, Rule 3b-7 promulgated under the Exchange Act, and Rule 405 promulgated under the Securities Act of 1933, as amended</w:t>
      </w: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1E1E1E"/>
        </w:rPr>
        <w:t>provided that the Administrator may identify additional employees who shall be treated as Covered Persons for the purposes of this Policy with prospective effect, in accordance with the Final Rules</w:t>
      </w:r>
      <w:r>
        <w:rPr>
          <w:rFonts w:ascii="Times New Roman" w:cs="Times New Roman" w:eastAsia="Times New Roman" w:hAnsi="Times New Roman"/>
          <w:sz w:val="21"/>
          <w:szCs w:val="21"/>
          <w:color w:val="000000"/>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Effective Date</w:t>
      </w:r>
      <w:r>
        <w:rPr>
          <w:rFonts w:ascii="Times New Roman" w:cs="Times New Roman" w:eastAsia="Times New Roman" w:hAnsi="Times New Roman"/>
          <w:sz w:val="21"/>
          <w:szCs w:val="21"/>
          <w:color w:val="1E1E1E"/>
        </w:rPr>
        <w:t>” means April 28, 2023, the date the Policy was adopted by the Board.</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Exchange</w:t>
      </w:r>
      <w:r>
        <w:rPr>
          <w:rFonts w:ascii="Times New Roman" w:cs="Times New Roman" w:eastAsia="Times New Roman" w:hAnsi="Times New Roman"/>
          <w:sz w:val="21"/>
          <w:szCs w:val="21"/>
          <w:color w:val="1E1E1E"/>
        </w:rPr>
        <w:t>” means the NASDAQ or any other national securities exchange or national securities association in the United States on which the Company has listed its securities for trading.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Exchange Act</w:t>
      </w:r>
      <w:r>
        <w:rPr>
          <w:rFonts w:ascii="Times New Roman" w:cs="Times New Roman" w:eastAsia="Times New Roman" w:hAnsi="Times New Roman"/>
          <w:sz w:val="21"/>
          <w:szCs w:val="21"/>
          <w:color w:val="1E1E1E"/>
        </w:rPr>
        <w:t>” means the Securities Exchange Act of 1934, as amended.</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Final Rules</w:t>
      </w:r>
      <w:r>
        <w:rPr>
          <w:rFonts w:ascii="Times New Roman" w:cs="Times New Roman" w:eastAsia="Times New Roman" w:hAnsi="Times New Roman"/>
          <w:sz w:val="21"/>
          <w:szCs w:val="21"/>
          <w:color w:val="1E1E1E"/>
        </w:rPr>
        <w:t xml:space="preserve">” means the final rules promulgated by the SEC under Section 954 of the Dodd-Frank Act, Rule 10D-1 and </w:t>
      </w:r>
      <w:r>
        <w:rPr>
          <w:rFonts w:ascii="Times New Roman" w:cs="Times New Roman" w:eastAsia="Times New Roman" w:hAnsi="Times New Roman"/>
          <w:sz w:val="21"/>
          <w:szCs w:val="21"/>
          <w:color w:val="171717"/>
        </w:rPr>
        <w:t>Exchange</w:t>
      </w:r>
      <w:r>
        <w:rPr>
          <w:rFonts w:ascii="Times New Roman" w:cs="Times New Roman" w:eastAsia="Times New Roman" w:hAnsi="Times New Roman"/>
          <w:sz w:val="21"/>
          <w:szCs w:val="21"/>
          <w:color w:val="1E1E1E"/>
        </w:rPr>
        <w:t xml:space="preserve"> </w:t>
      </w:r>
      <w:r>
        <w:rPr>
          <w:rFonts w:ascii="Times New Roman" w:cs="Times New Roman" w:eastAsia="Times New Roman" w:hAnsi="Times New Roman"/>
          <w:sz w:val="21"/>
          <w:szCs w:val="21"/>
          <w:color w:val="171717"/>
        </w:rPr>
        <w:t>listing standards, as may be amended from time to time</w:t>
      </w:r>
      <w:r>
        <w:rPr>
          <w:rFonts w:ascii="Times New Roman" w:cs="Times New Roman" w:eastAsia="Times New Roman" w:hAnsi="Times New Roman"/>
          <w:sz w:val="21"/>
          <w:szCs w:val="21"/>
          <w:color w:val="1E1E1E"/>
        </w:rPr>
        <w:t>.</w:t>
      </w:r>
    </w:p>
    <w:p>
      <w:pPr>
        <w:spacing w:after="0" w:line="13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171717"/>
        </w:rPr>
        <w:t>“</w:t>
      </w:r>
      <w:r>
        <w:rPr>
          <w:rFonts w:ascii="Times New Roman" w:cs="Times New Roman" w:eastAsia="Times New Roman" w:hAnsi="Times New Roman"/>
          <w:sz w:val="21"/>
          <w:szCs w:val="21"/>
          <w:b w:val="1"/>
          <w:bCs w:val="1"/>
          <w:i w:val="1"/>
          <w:iCs w:val="1"/>
          <w:color w:val="171717"/>
        </w:rPr>
        <w:t>Financial Reporting Measure</w:t>
      </w:r>
      <w:r>
        <w:rPr>
          <w:rFonts w:ascii="Times New Roman" w:cs="Times New Roman" w:eastAsia="Times New Roman" w:hAnsi="Times New Roman"/>
          <w:sz w:val="21"/>
          <w:szCs w:val="21"/>
          <w:color w:val="171717"/>
        </w:rPr>
        <w:t>” 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w:t>
      </w:r>
    </w:p>
    <w:p>
      <w:pPr>
        <w:spacing w:after="0" w:line="14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means compensation that is granted, earned or vested based wholly or in part on the attainment of any Financial Reporting Measure. Examples of “Incentive-Based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0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units, performance share units, stock options, and SARs that are granted or become vested based wholly or in part on satisfying a Financial Reporting Measure goal; and proceeds received upon the sale of shares acquired through an incentive plan that were granted or vested based wholly or in part on satisfying a Financial Reporting Measure goal. “Incentive-Based Compensation” excludes, for example, time-based awards such as stock options or restricted stock units that are granted or vest </w:t>
      </w:r>
      <w:r>
        <w:rPr>
          <w:rFonts w:ascii="Times New Roman" w:cs="Times New Roman" w:eastAsia="Times New Roman" w:hAnsi="Times New Roman"/>
          <w:sz w:val="21"/>
          <w:szCs w:val="21"/>
          <w:i w:val="1"/>
          <w:iCs w:val="1"/>
          <w:color w:val="auto"/>
        </w:rPr>
        <w:t>solely</w:t>
      </w:r>
      <w:r>
        <w:rPr>
          <w:rFonts w:ascii="Times New Roman" w:cs="Times New Roman" w:eastAsia="Times New Roman" w:hAnsi="Times New Roman"/>
          <w:sz w:val="21"/>
          <w:szCs w:val="21"/>
          <w:color w:val="auto"/>
        </w:rPr>
        <w:t xml:space="preserve"> upon completion of a service period; awards based on non-financial strategic or operating metrics such as the consummation of a merger or achievement of non-financial business goals; service-based retention bonuses; discretionary compensation; and salary.</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171717"/>
        </w:rPr>
        <w:t>“</w:t>
      </w:r>
      <w:r>
        <w:rPr>
          <w:rFonts w:ascii="Times New Roman" w:cs="Times New Roman" w:eastAsia="Times New Roman" w:hAnsi="Times New Roman"/>
          <w:sz w:val="21"/>
          <w:szCs w:val="21"/>
          <w:b w:val="1"/>
          <w:bCs w:val="1"/>
          <w:i w:val="1"/>
          <w:iCs w:val="1"/>
          <w:color w:val="171717"/>
        </w:rPr>
        <w:t>Listing Rule Effective Date</w:t>
      </w:r>
      <w:r>
        <w:rPr>
          <w:rFonts w:ascii="Times New Roman" w:cs="Times New Roman" w:eastAsia="Times New Roman" w:hAnsi="Times New Roman"/>
          <w:sz w:val="21"/>
          <w:szCs w:val="21"/>
          <w:color w:val="171717"/>
        </w:rPr>
        <w:t xml:space="preserve">” means the effective date of </w:t>
      </w:r>
      <w:r>
        <w:rPr>
          <w:rFonts w:ascii="Times New Roman" w:cs="Times New Roman" w:eastAsia="Times New Roman" w:hAnsi="Times New Roman"/>
          <w:sz w:val="21"/>
          <w:szCs w:val="21"/>
          <w:color w:val="1E1E1E"/>
        </w:rPr>
        <w:t>the listing standards of the Exchange on which the Company’s securities</w:t>
      </w:r>
      <w:r>
        <w:rPr>
          <w:rFonts w:ascii="Times New Roman" w:cs="Times New Roman" w:eastAsia="Times New Roman" w:hAnsi="Times New Roman"/>
          <w:sz w:val="21"/>
          <w:szCs w:val="21"/>
          <w:color w:val="171717"/>
        </w:rPr>
        <w:t xml:space="preserve"> </w:t>
      </w:r>
      <w:r>
        <w:rPr>
          <w:rFonts w:ascii="Times New Roman" w:cs="Times New Roman" w:eastAsia="Times New Roman" w:hAnsi="Times New Roman"/>
          <w:sz w:val="21"/>
          <w:szCs w:val="21"/>
          <w:color w:val="1E1E1E"/>
        </w:rPr>
        <w:t>are listed</w:t>
      </w:r>
      <w:r>
        <w:rPr>
          <w:rFonts w:ascii="Times New Roman" w:cs="Times New Roman" w:eastAsia="Times New Roman" w:hAnsi="Times New Roman"/>
          <w:sz w:val="21"/>
          <w:szCs w:val="21"/>
          <w:color w:val="171717"/>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Policy</w:t>
      </w:r>
      <w:r>
        <w:rPr>
          <w:rFonts w:ascii="Times New Roman" w:cs="Times New Roman" w:eastAsia="Times New Roman" w:hAnsi="Times New Roman"/>
          <w:sz w:val="21"/>
          <w:szCs w:val="21"/>
          <w:color w:val="1E1E1E"/>
        </w:rPr>
        <w:t>” means this Compensation Recovery Policy.</w:t>
      </w:r>
    </w:p>
    <w:p>
      <w:pPr>
        <w:spacing w:after="0" w:line="18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171717"/>
        </w:rPr>
        <w:t>Incentive-Based Compensation is deemed “</w:t>
      </w:r>
      <w:r>
        <w:rPr>
          <w:rFonts w:ascii="Times New Roman" w:cs="Times New Roman" w:eastAsia="Times New Roman" w:hAnsi="Times New Roman"/>
          <w:sz w:val="21"/>
          <w:szCs w:val="21"/>
          <w:b w:val="1"/>
          <w:bCs w:val="1"/>
          <w:i w:val="1"/>
          <w:iCs w:val="1"/>
          <w:color w:val="171717"/>
        </w:rPr>
        <w:t>Received</w:t>
      </w:r>
      <w:r>
        <w:rPr>
          <w:rFonts w:ascii="Times New Roman" w:cs="Times New Roman" w:eastAsia="Times New Roman" w:hAnsi="Times New Roman"/>
          <w:sz w:val="21"/>
          <w:szCs w:val="21"/>
          <w:color w:val="171717"/>
        </w:rPr>
        <w:t>” 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w:t>
      </w:r>
    </w:p>
    <w:p>
      <w:pPr>
        <w:spacing w:after="0" w:line="14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171717"/>
        </w:rPr>
        <w:t>“</w:t>
      </w:r>
      <w:r>
        <w:rPr>
          <w:rFonts w:ascii="Times New Roman" w:cs="Times New Roman" w:eastAsia="Times New Roman" w:hAnsi="Times New Roman"/>
          <w:sz w:val="21"/>
          <w:szCs w:val="21"/>
          <w:b w:val="1"/>
          <w:bCs w:val="1"/>
          <w:i w:val="1"/>
          <w:iCs w:val="1"/>
          <w:color w:val="171717"/>
        </w:rPr>
        <w:t>Recoupment Amount</w:t>
      </w:r>
      <w:r>
        <w:rPr>
          <w:rFonts w:ascii="Times New Roman" w:cs="Times New Roman" w:eastAsia="Times New Roman" w:hAnsi="Times New Roman"/>
          <w:sz w:val="21"/>
          <w:szCs w:val="21"/>
          <w:color w:val="171717"/>
        </w:rPr>
        <w:t>” 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 w:cs="Times New Roman" w:eastAsia="Times New Roman" w:hAnsi="Times New Roman"/>
          <w:sz w:val="21"/>
          <w:szCs w:val="21"/>
          <w:i w:val="1"/>
          <w:iCs w:val="1"/>
          <w:color w:val="171717"/>
        </w:rPr>
        <w:t>i.e</w:t>
      </w:r>
      <w:r>
        <w:rPr>
          <w:rFonts w:ascii="Times New Roman" w:cs="Times New Roman" w:eastAsia="Times New Roman" w:hAnsi="Times New Roman"/>
          <w:sz w:val="21"/>
          <w:szCs w:val="21"/>
          <w:color w:val="171717"/>
        </w:rPr>
        <w:t>., gross of taxes withheld).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71717"/>
        </w:rPr>
        <w:t>“</w:t>
      </w:r>
      <w:r>
        <w:rPr>
          <w:rFonts w:ascii="Times New Roman" w:cs="Times New Roman" w:eastAsia="Times New Roman" w:hAnsi="Times New Roman"/>
          <w:sz w:val="21"/>
          <w:szCs w:val="21"/>
          <w:b w:val="1"/>
          <w:bCs w:val="1"/>
          <w:i w:val="1"/>
          <w:iCs w:val="1"/>
          <w:color w:val="171717"/>
        </w:rPr>
        <w:t>SARs</w:t>
      </w:r>
      <w:r>
        <w:rPr>
          <w:rFonts w:ascii="Times New Roman" w:cs="Times New Roman" w:eastAsia="Times New Roman" w:hAnsi="Times New Roman"/>
          <w:sz w:val="21"/>
          <w:szCs w:val="21"/>
          <w:color w:val="171717"/>
        </w:rPr>
        <w:t>” means stock appreciation rights.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71717"/>
        </w:rPr>
        <w:t>“</w:t>
      </w:r>
      <w:r>
        <w:rPr>
          <w:rFonts w:ascii="Times New Roman" w:cs="Times New Roman" w:eastAsia="Times New Roman" w:hAnsi="Times New Roman"/>
          <w:sz w:val="21"/>
          <w:szCs w:val="21"/>
          <w:b w:val="1"/>
          <w:bCs w:val="1"/>
          <w:i w:val="1"/>
          <w:iCs w:val="1"/>
          <w:color w:val="171717"/>
        </w:rPr>
        <w:t>SEC</w:t>
      </w:r>
      <w:r>
        <w:rPr>
          <w:rFonts w:ascii="Times New Roman" w:cs="Times New Roman" w:eastAsia="Times New Roman" w:hAnsi="Times New Roman"/>
          <w:sz w:val="21"/>
          <w:szCs w:val="21"/>
          <w:color w:val="171717"/>
        </w:rPr>
        <w:t>” means the U.S.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71717"/>
        </w:rPr>
        <w:t>“</w:t>
      </w:r>
      <w:r>
        <w:rPr>
          <w:rFonts w:ascii="Times New Roman" w:cs="Times New Roman" w:eastAsia="Times New Roman" w:hAnsi="Times New Roman"/>
          <w:sz w:val="21"/>
          <w:szCs w:val="21"/>
          <w:b w:val="1"/>
          <w:bCs w:val="1"/>
          <w:i w:val="1"/>
          <w:iCs w:val="1"/>
          <w:color w:val="171717"/>
        </w:rPr>
        <w:t>SOX 304</w:t>
      </w:r>
      <w:r>
        <w:rPr>
          <w:rFonts w:ascii="Times New Roman" w:cs="Times New Roman" w:eastAsia="Times New Roman" w:hAnsi="Times New Roman"/>
          <w:sz w:val="21"/>
          <w:szCs w:val="21"/>
          <w:color w:val="171717"/>
        </w:rPr>
        <w:t>” means Section 304 of the Sarbanes-Oxley Act of 2002.</w:t>
      </w:r>
    </w:p>
    <w:p>
      <w:pPr>
        <w:spacing w:after="0" w:line="18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1E1E1E"/>
        </w:rPr>
        <w:t>“</w:t>
      </w:r>
      <w:r>
        <w:rPr>
          <w:rFonts w:ascii="Times New Roman" w:cs="Times New Roman" w:eastAsia="Times New Roman" w:hAnsi="Times New Roman"/>
          <w:sz w:val="21"/>
          <w:szCs w:val="21"/>
          <w:b w:val="1"/>
          <w:bCs w:val="1"/>
          <w:i w:val="1"/>
          <w:iCs w:val="1"/>
          <w:color w:val="1E1E1E"/>
        </w:rPr>
        <w:t>Triggering Event</w:t>
      </w:r>
      <w:r>
        <w:rPr>
          <w:rFonts w:ascii="Times New Roman" w:cs="Times New Roman" w:eastAsia="Times New Roman" w:hAnsi="Times New Roman"/>
          <w:sz w:val="21"/>
          <w:szCs w:val="21"/>
          <w:color w:val="1E1E1E"/>
        </w:rPr>
        <w:t>” 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71717"/>
        </w:rPr>
        <w:t>“</w:t>
      </w:r>
      <w:r>
        <w:rPr>
          <w:rFonts w:ascii="Times New Roman" w:cs="Times New Roman" w:eastAsia="Times New Roman" w:hAnsi="Times New Roman"/>
          <w:sz w:val="21"/>
          <w:szCs w:val="21"/>
          <w:b w:val="1"/>
          <w:bCs w:val="1"/>
          <w:i w:val="1"/>
          <w:iCs w:val="1"/>
          <w:color w:val="171717"/>
        </w:rPr>
        <w:t>TSR</w:t>
      </w:r>
      <w:r>
        <w:rPr>
          <w:rFonts w:ascii="Times New Roman" w:cs="Times New Roman" w:eastAsia="Times New Roman" w:hAnsi="Times New Roman"/>
          <w:sz w:val="21"/>
          <w:szCs w:val="21"/>
          <w:color w:val="171717"/>
        </w:rPr>
        <w:t>” means total stockholder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171717"/>
        </w:rPr>
        <w:t>EXHIBIT A</w:t>
      </w:r>
    </w:p>
    <w:p>
      <w:pPr>
        <w:spacing w:after="0" w:line="2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171717"/>
        </w:rPr>
        <w:t>Certification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certify that:</w:t>
      </w:r>
    </w:p>
    <w:p>
      <w:pPr>
        <w:spacing w:after="0" w:line="178" w:lineRule="exact"/>
        <w:rPr>
          <w:sz w:val="20"/>
          <w:szCs w:val="20"/>
          <w:color w:val="auto"/>
        </w:rPr>
      </w:pPr>
    </w:p>
    <w:p>
      <w:pPr>
        <w:ind w:left="640" w:hanging="321"/>
        <w:spacing w:after="0" w:line="249" w:lineRule="auto"/>
        <w:tabs>
          <w:tab w:leader="none" w:pos="6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read and understand the Company’s Compensation Recovery Policy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I understand that the General Counsel is available to answer any questions I have regarding the Policy.</w:t>
      </w:r>
    </w:p>
    <w:p>
      <w:pPr>
        <w:spacing w:after="0" w:line="138" w:lineRule="exact"/>
        <w:rPr>
          <w:rFonts w:ascii="Times New Roman" w:cs="Times New Roman" w:eastAsia="Times New Roman" w:hAnsi="Times New Roman"/>
          <w:sz w:val="21"/>
          <w:szCs w:val="21"/>
          <w:color w:val="auto"/>
        </w:rPr>
      </w:pPr>
    </w:p>
    <w:p>
      <w:pPr>
        <w:ind w:left="640" w:right="20" w:hanging="321"/>
        <w:spacing w:after="0" w:line="245" w:lineRule="auto"/>
        <w:tabs>
          <w:tab w:leader="none" w:pos="6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understand that the Policy applies to all of my existing and future compensation-related agreements with the Company, whether or not explicitly stated therein.</w:t>
      </w:r>
    </w:p>
    <w:p>
      <w:pPr>
        <w:spacing w:after="0" w:line="142" w:lineRule="exact"/>
        <w:rPr>
          <w:rFonts w:ascii="Times New Roman" w:cs="Times New Roman" w:eastAsia="Times New Roman" w:hAnsi="Times New Roman"/>
          <w:sz w:val="21"/>
          <w:szCs w:val="21"/>
          <w:color w:val="auto"/>
        </w:rPr>
      </w:pPr>
    </w:p>
    <w:p>
      <w:pPr>
        <w:jc w:val="both"/>
        <w:ind w:left="640" w:hanging="321"/>
        <w:spacing w:after="0" w:line="226" w:lineRule="auto"/>
        <w:tabs>
          <w:tab w:leader="none" w:pos="6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agree that notwithstanding the Company’s certificate of incorporation, bylaws, and any agreement I have with the Company, including any indemnity agreement I have with the Company, I will not be entitled to, and will not seek advancement and/or indemnification from the Company for, any amounts recovered or recoverable by the Company in accordance with the Policy.</w:t>
      </w:r>
    </w:p>
    <w:p>
      <w:pPr>
        <w:spacing w:after="0" w:line="149" w:lineRule="exact"/>
        <w:rPr>
          <w:rFonts w:ascii="Times New Roman" w:cs="Times New Roman" w:eastAsia="Times New Roman" w:hAnsi="Times New Roman"/>
          <w:sz w:val="21"/>
          <w:szCs w:val="21"/>
          <w:color w:val="auto"/>
        </w:rPr>
      </w:pPr>
    </w:p>
    <w:p>
      <w:pPr>
        <w:jc w:val="both"/>
        <w:ind w:left="640" w:hanging="321"/>
        <w:spacing w:after="0" w:line="221" w:lineRule="auto"/>
        <w:tabs>
          <w:tab w:leader="none" w:pos="64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-9525</wp:posOffset>
            </wp:positionV>
            <wp:extent cx="5378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-9525</wp:posOffset>
            </wp:positionV>
            <wp:extent cx="6724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-9525</wp:posOffset>
            </wp:positionV>
            <wp:extent cx="6724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-9525</wp:posOffset>
            </wp:positionV>
            <wp:extent cx="6724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00"/>
          </w:cols>
          <w:pgMar w:left="960" w:top="1440" w:right="339" w:bottom="1440" w:gutter="0" w:footer="0" w:header="0"/>
        </w:sectPr>
      </w:pPr>
    </w:p>
    <w:bookmarkStart w:id="224" w:name="page225"/>
    <w:bookmarkEnd w:id="224"/>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171717"/>
        </w:rPr>
        <w:t>EXHIBIT B</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1E1E1E"/>
        </w:rPr>
        <w:t>Calculation Guidelines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71717"/>
        </w:rPr>
        <w:t>For purposes of calculating the Recoupment Amount:</w:t>
      </w:r>
    </w:p>
    <w:p>
      <w:pPr>
        <w:spacing w:after="0" w:line="182" w:lineRule="exact"/>
        <w:rPr>
          <w:sz w:val="20"/>
          <w:szCs w:val="20"/>
          <w:color w:val="auto"/>
        </w:rPr>
      </w:pPr>
    </w:p>
    <w:p>
      <w:pPr>
        <w:jc w:val="both"/>
        <w:ind w:left="960" w:hanging="319"/>
        <w:spacing w:after="0" w:line="231" w:lineRule="auto"/>
        <w:tabs>
          <w:tab w:leader="none" w:pos="953" w:val="left"/>
        </w:tabs>
        <w:numPr>
          <w:ilvl w:val="0"/>
          <w:numId w:val="187"/>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For cash awards, the erroneously awarded compensation is the difference between the amount of the cash award (whether payable as a lump sum or over time) that was received and the amount that should have been received applying the restated Financial Reporting Measure.</w:t>
      </w:r>
    </w:p>
    <w:p>
      <w:pPr>
        <w:spacing w:after="0" w:line="200" w:lineRule="exact"/>
        <w:rPr>
          <w:rFonts w:ascii="Times New Roman" w:cs="Times New Roman" w:eastAsia="Times New Roman" w:hAnsi="Times New Roman"/>
          <w:sz w:val="21"/>
          <w:szCs w:val="21"/>
          <w:color w:val="171717"/>
        </w:rPr>
      </w:pPr>
    </w:p>
    <w:p>
      <w:pPr>
        <w:spacing w:after="0" w:line="386" w:lineRule="exact"/>
        <w:rPr>
          <w:rFonts w:ascii="Times New Roman" w:cs="Times New Roman" w:eastAsia="Times New Roman" w:hAnsi="Times New Roman"/>
          <w:sz w:val="21"/>
          <w:szCs w:val="21"/>
          <w:color w:val="171717"/>
        </w:rPr>
      </w:pPr>
    </w:p>
    <w:p>
      <w:pPr>
        <w:ind w:left="960" w:hanging="319"/>
        <w:spacing w:after="0" w:line="245" w:lineRule="auto"/>
        <w:tabs>
          <w:tab w:leader="none" w:pos="959" w:val="left"/>
        </w:tabs>
        <w:numPr>
          <w:ilvl w:val="0"/>
          <w:numId w:val="187"/>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For cash awards paid from bonus pools, the erroneously awarded compensation is the pro rata portion of any deficiency that results from the aggregate bonus pool that is reduced based on applying the restated Financial Reporting Measure.</w:t>
      </w:r>
    </w:p>
    <w:p>
      <w:pPr>
        <w:spacing w:after="0" w:line="200" w:lineRule="exact"/>
        <w:rPr>
          <w:rFonts w:ascii="Times New Roman" w:cs="Times New Roman" w:eastAsia="Times New Roman" w:hAnsi="Times New Roman"/>
          <w:sz w:val="21"/>
          <w:szCs w:val="21"/>
          <w:color w:val="171717"/>
        </w:rPr>
      </w:pPr>
    </w:p>
    <w:p>
      <w:pPr>
        <w:spacing w:after="0" w:line="392" w:lineRule="exact"/>
        <w:rPr>
          <w:rFonts w:ascii="Times New Roman" w:cs="Times New Roman" w:eastAsia="Times New Roman" w:hAnsi="Times New Roman"/>
          <w:sz w:val="21"/>
          <w:szCs w:val="21"/>
          <w:color w:val="171717"/>
        </w:rPr>
      </w:pPr>
    </w:p>
    <w:p>
      <w:pPr>
        <w:jc w:val="both"/>
        <w:ind w:left="960" w:hanging="319"/>
        <w:spacing w:after="0" w:line="221" w:lineRule="auto"/>
        <w:tabs>
          <w:tab w:leader="none" w:pos="951" w:val="left"/>
        </w:tabs>
        <w:numPr>
          <w:ilvl w:val="0"/>
          <w:numId w:val="187"/>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spacing w:after="0" w:line="200" w:lineRule="exact"/>
        <w:rPr>
          <w:rFonts w:ascii="Times New Roman" w:cs="Times New Roman" w:eastAsia="Times New Roman" w:hAnsi="Times New Roman"/>
          <w:sz w:val="21"/>
          <w:szCs w:val="21"/>
          <w:color w:val="171717"/>
        </w:rPr>
      </w:pPr>
    </w:p>
    <w:p>
      <w:pPr>
        <w:spacing w:after="0" w:line="384" w:lineRule="exact"/>
        <w:rPr>
          <w:rFonts w:ascii="Times New Roman" w:cs="Times New Roman" w:eastAsia="Times New Roman" w:hAnsi="Times New Roman"/>
          <w:sz w:val="21"/>
          <w:szCs w:val="21"/>
          <w:color w:val="171717"/>
        </w:rPr>
      </w:pPr>
    </w:p>
    <w:p>
      <w:pPr>
        <w:ind w:left="960" w:hanging="319"/>
        <w:spacing w:after="0" w:line="245" w:lineRule="auto"/>
        <w:tabs>
          <w:tab w:leader="none" w:pos="939" w:val="left"/>
        </w:tabs>
        <w:numPr>
          <w:ilvl w:val="0"/>
          <w:numId w:val="187"/>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For Incentive-Based Compensation based on stock price or TSR, where the amount of erroneously awarded compensation is not subject to mathematical recalculation directly from the information in an accounting restatement:</w:t>
      </w:r>
    </w:p>
    <w:p>
      <w:pPr>
        <w:spacing w:after="0" w:line="168" w:lineRule="exact"/>
        <w:rPr>
          <w:rFonts w:ascii="Times New Roman" w:cs="Times New Roman" w:eastAsia="Times New Roman" w:hAnsi="Times New Roman"/>
          <w:sz w:val="21"/>
          <w:szCs w:val="21"/>
          <w:color w:val="171717"/>
        </w:rPr>
      </w:pPr>
    </w:p>
    <w:p>
      <w:pPr>
        <w:ind w:left="2080" w:hanging="327"/>
        <w:spacing w:after="0" w:line="245" w:lineRule="auto"/>
        <w:tabs>
          <w:tab w:leader="none" w:pos="2068" w:val="left"/>
        </w:tabs>
        <w:numPr>
          <w:ilvl w:val="1"/>
          <w:numId w:val="187"/>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The amount must be based on a reasonable estimate of the effect of the accounting restatement on the stock price or TSR upon which the Incentive-Based Compensation was Received; and</w:t>
      </w:r>
    </w:p>
    <w:p>
      <w:pPr>
        <w:spacing w:after="0" w:line="168" w:lineRule="exact"/>
        <w:rPr>
          <w:rFonts w:ascii="Times New Roman" w:cs="Times New Roman" w:eastAsia="Times New Roman" w:hAnsi="Times New Roman"/>
          <w:sz w:val="21"/>
          <w:szCs w:val="21"/>
          <w:color w:val="171717"/>
        </w:rPr>
      </w:pPr>
    </w:p>
    <w:p>
      <w:pPr>
        <w:ind w:left="2080" w:hanging="327"/>
        <w:spacing w:after="0" w:line="245" w:lineRule="auto"/>
        <w:tabs>
          <w:tab w:leader="none" w:pos="2080"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171717"/>
        </w:rPr>
        <w:t>The Company must maintain documentation of the determination of that reasonable estimate and the Company must provide such documentation to the Exchange in all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1)"/>
      <w:numFmt w:val="decimal"/>
      <w:start w:val="12"/>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1."/>
      <w:numFmt w:val="decimal"/>
      <w:start w:val="11"/>
    </w:lvl>
  </w:abstractNum>
  <w:abstractNum w:abstractNumId="33">
    <w:nsid w:val="1CA0C5FA"/>
    <w:multiLevelType w:val="hybridMultilevel"/>
    <w:lvl w:ilvl="0">
      <w:lvlJc w:val="left"/>
      <w:lvlText w:val="(%1)"/>
      <w:numFmt w:val="lowerLetter"/>
      <w:start w:val="1"/>
    </w:lvl>
    <w:lvl w:ilvl="1">
      <w:lvlJc w:val="left"/>
      <w:lvlText w:val="%2."/>
      <w:numFmt w:val="decimal"/>
      <w:start w:val="1"/>
    </w:lvl>
  </w:abstractNum>
  <w:abstractNum w:abstractNumId="34">
    <w:nsid w:val="53584BCB"/>
    <w:multiLevelType w:val="hybridMultilevel"/>
    <w:lvl w:ilvl="0">
      <w:lvlJc w:val="left"/>
      <w:lvlText w:val="%1."/>
      <w:numFmt w:val="decimal"/>
      <w:start w:val="2"/>
    </w:lvl>
  </w:abstractNum>
  <w:abstractNum w:abstractNumId="35">
    <w:nsid w:val="415E286C"/>
    <w:multiLevelType w:val="hybridMultilevel"/>
    <w:lvl w:ilvl="0">
      <w:lvlJc w:val="left"/>
      <w:lvlText w:val="%1."/>
      <w:numFmt w:val="decimal"/>
      <w:start w:val="3"/>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1)"/>
      <w:numFmt w:val="lowerLetter"/>
      <w:start w:val="3"/>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
      <w:numFmt w:val="bullet"/>
      <w:start w:val="1"/>
    </w:lvl>
  </w:abstractNum>
  <w:abstractNum w:abstractNumId="42">
    <w:nsid w:val="4BD8591A"/>
    <w:multiLevelType w:val="hybridMultilevel"/>
    <w:lvl w:ilvl="0">
      <w:lvlJc w:val="left"/>
      <w:lvlText w:val="%1."/>
      <w:numFmt w:val="decimal"/>
      <w:start w:val="1"/>
    </w:lvl>
  </w:abstractNum>
  <w:abstractNum w:abstractNumId="43">
    <w:nsid w:val="78DF6A55"/>
    <w:multiLevelType w:val="hybridMultilevel"/>
    <w:lvl w:ilvl="0">
      <w:lvlJc w:val="left"/>
      <w:lvlText w:val="%1."/>
      <w:numFmt w:val="decimal"/>
      <w:start w:val="3"/>
    </w:lvl>
  </w:abstractNum>
  <w:abstractNum w:abstractNumId="44">
    <w:nsid w:val="39B7AAA2"/>
    <w:multiLevelType w:val="hybridMultilevel"/>
    <w:lvl w:ilvl="0">
      <w:lvlJc w:val="left"/>
      <w:lvlText w:val="%1"/>
      <w:numFmt w:val="lowerRoman"/>
      <w:start w:val="1"/>
    </w:lvl>
    <w:lvl w:ilvl="1">
      <w:lvlJc w:val="left"/>
      <w:lvlText w:val="%2."/>
      <w:numFmt w:val="decimal"/>
      <w:start w:val="1"/>
    </w:lvl>
  </w:abstractNum>
  <w:abstractNum w:abstractNumId="45">
    <w:nsid w:val="2B0D8DBE"/>
    <w:multiLevelType w:val="hybridMultilevel"/>
    <w:lvl w:ilvl="0">
      <w:lvlJc w:val="left"/>
      <w:lvlText w:val="(%1)"/>
      <w:numFmt w:val="lowerRoman"/>
      <w:start w:val="1"/>
    </w:lvl>
    <w:lvl w:ilvl="1">
      <w:lvlJc w:val="left"/>
      <w:lvlText w:val="%2."/>
      <w:numFmt w:val="decimal"/>
      <w:start w:val="2"/>
    </w:lvl>
  </w:abstractNum>
  <w:abstractNum w:abstractNumId="46">
    <w:nsid w:val="6C80EC70"/>
    <w:multiLevelType w:val="hybridMultilevel"/>
    <w:lvl w:ilvl="0">
      <w:lvlJc w:val="left"/>
      <w:lvlText w:val="%1"/>
      <w:numFmt w:val="decimal"/>
      <w:start w:val="1"/>
    </w:lvl>
    <w:lvl w:ilvl="1">
      <w:lvlJc w:val="left"/>
      <w:lvlText w:val="%2."/>
      <w:numFmt w:val="decimal"/>
      <w:start w:val="1"/>
    </w:lvl>
  </w:abstractNum>
  <w:abstractNum w:abstractNumId="47">
    <w:nsid w:val="379E21B5"/>
    <w:multiLevelType w:val="hybridMultilevel"/>
    <w:lvl w:ilvl="0">
      <w:lvlJc w:val="left"/>
      <w:lvlText w:val="(%1)"/>
      <w:numFmt w:val="decimal"/>
      <w:start w:val="12"/>
    </w:lvl>
    <w:lvl w:ilvl="1">
      <w:lvlJc w:val="left"/>
      <w:lvlText w:val="%2"/>
      <w:numFmt w:val="decimal"/>
      <w:start w:val="1"/>
    </w:lvl>
  </w:abstractNum>
  <w:abstractNum w:abstractNumId="48">
    <w:nsid w:val="69E37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9">
    <w:nsid w:val="2C27173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50">
    <w:nsid w:val="4C9B0904"/>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51">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2">
    <w:nsid w:val="1DF029D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3">
    <w:nsid w:val="5675FF3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4">
    <w:nsid w:val="3DD15094"/>
    <w:multiLevelType w:val="hybridMultilevel"/>
    <w:lvl w:ilvl="0">
      <w:lvlJc w:val="left"/>
      <w:lvlText w:val="(%1)"/>
      <w:numFmt w:val="lowerLetter"/>
      <w:start w:val="2"/>
    </w:lvl>
    <w:lvl w:ilvl="1">
      <w:lvlJc w:val="left"/>
      <w:lvlText w:val="(%2)"/>
      <w:numFmt w:val="lowerRoman"/>
      <w:start w:val="1"/>
    </w:lvl>
  </w:abstractNum>
  <w:abstractNum w:abstractNumId="55">
    <w:nsid w:val="3DB012B3"/>
    <w:multiLevelType w:val="hybridMultilevel"/>
    <w:lvl w:ilvl="0">
      <w:lvlJc w:val="left"/>
      <w:lvlText w:val="%1."/>
      <w:numFmt w:val="decimal"/>
      <w:start w:val="5"/>
    </w:lvl>
    <w:lvl w:ilvl="1">
      <w:lvlJc w:val="left"/>
      <w:lvlText w:val="(%2)"/>
      <w:numFmt w:val="lowerLetter"/>
      <w:start w:val="1"/>
    </w:lvl>
  </w:abstractNum>
  <w:abstractNum w:abstractNumId="56">
    <w:nsid w:val="2708C9A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7">
    <w:nsid w:val="5B25ACE2"/>
    <w:multiLevelType w:val="hybridMultilevel"/>
    <w:lvl w:ilvl="0">
      <w:lvlJc w:val="left"/>
      <w:lvlText w:val="(%1)"/>
      <w:numFmt w:val="lowerRoman"/>
      <w:start w:val="6"/>
    </w:lvl>
  </w:abstractNum>
  <w:abstractNum w:abstractNumId="58">
    <w:nsid w:val="175DFCF0"/>
    <w:multiLevelType w:val="hybridMultilevel"/>
    <w:lvl w:ilvl="0">
      <w:lvlJc w:val="left"/>
      <w:lvlText w:val="(%1)"/>
      <w:numFmt w:val="lowerLetter"/>
      <w:start w:val="2"/>
    </w:lvl>
    <w:lvl w:ilvl="1">
      <w:lvlJc w:val="left"/>
      <w:lvlText w:val="(%2)"/>
      <w:numFmt w:val="lowerRoman"/>
      <w:start w:val="1"/>
    </w:lvl>
  </w:abstractNum>
  <w:abstractNum w:abstractNumId="59">
    <w:nsid w:val="4F97E3E4"/>
    <w:multiLevelType w:val="hybridMultilevel"/>
    <w:lvl w:ilvl="0">
      <w:lvlJc w:val="left"/>
      <w:lvlText w:val="(%1)"/>
      <w:numFmt w:val="lowerLetter"/>
      <w:start w:val="3"/>
    </w:lvl>
    <w:lvl w:ilvl="1">
      <w:lvlJc w:val="left"/>
      <w:lvlText w:val="(%2)"/>
      <w:numFmt w:val="lowerRoman"/>
      <w:start w:val="1"/>
    </w:lvl>
  </w:abstractNum>
  <w:abstractNum w:abstractNumId="60">
    <w:nsid w:val="53B0A9E"/>
    <w:multiLevelType w:val="hybridMultilevel"/>
    <w:lvl w:ilvl="0">
      <w:lvlJc w:val="left"/>
      <w:lvlText w:val="(%1)"/>
      <w:numFmt w:val="lowerLetter"/>
      <w:start w:val="8"/>
    </w:lvl>
  </w:abstractNum>
  <w:abstractNum w:abstractNumId="61">
    <w:nsid w:val="34FD6B4F"/>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62">
    <w:nsid w:val="5915FF32"/>
    <w:multiLevelType w:val="hybridMultilevel"/>
    <w:lvl w:ilvl="0">
      <w:lvlJc w:val="left"/>
      <w:lvlText w:val="(%1)"/>
      <w:numFmt w:val="decimal"/>
      <w:start w:val="90"/>
    </w:lvl>
    <w:lvl w:ilvl="1">
      <w:lvlJc w:val="left"/>
      <w:lvlText w:val="%2."/>
      <w:numFmt w:val="decimal"/>
      <w:start w:val="9"/>
    </w:lvl>
    <w:lvl w:ilvl="2">
      <w:lvlJc w:val="left"/>
      <w:lvlText w:val="(%3)"/>
      <w:numFmt w:val="lowerLetter"/>
      <w:start w:val="1"/>
    </w:lvl>
  </w:abstractNum>
  <w:abstractNum w:abstractNumId="63">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4">
    <w:nsid w:val="519E314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5">
    <w:nsid w:val="2C6E4AFD"/>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66">
    <w:nsid w:val="17A1B582"/>
    <w:multiLevelType w:val="hybridMultilevel"/>
    <w:lvl w:ilvl="0">
      <w:lvlJc w:val="left"/>
      <w:lvlText w:val="(%1)"/>
      <w:numFmt w:val="lowerLetter"/>
      <w:start w:val="2"/>
    </w:lvl>
  </w:abstractNum>
  <w:abstractNum w:abstractNumId="67">
    <w:nsid w:val="4DF72E4E"/>
    <w:multiLevelType w:val="hybridMultilevel"/>
    <w:lvl w:ilvl="0">
      <w:lvlJc w:val="left"/>
      <w:lvlText w:val="%1."/>
      <w:numFmt w:val="decimal"/>
      <w:start w:val="1"/>
    </w:lvl>
  </w:abstractNum>
  <w:abstractNum w:abstractNumId="68">
    <w:nsid w:val="5046B5A9"/>
    <w:multiLevelType w:val="hybridMultilevel"/>
    <w:lvl w:ilvl="0">
      <w:lvlJc w:val="left"/>
      <w:lvlText w:val="(%1)"/>
      <w:numFmt w:val="lowerLetter"/>
      <w:start w:val="1"/>
    </w:lvl>
  </w:abstractNum>
  <w:abstractNum w:abstractNumId="69">
    <w:nsid w:val="5D888A08"/>
    <w:multiLevelType w:val="hybridMultilevel"/>
    <w:lvl w:ilvl="0">
      <w:lvlJc w:val="left"/>
      <w:lvlText w:val="%1."/>
      <w:numFmt w:val="decimal"/>
      <w:start w:val="4"/>
    </w:lvl>
  </w:abstractNum>
  <w:abstractNum w:abstractNumId="70">
    <w:nsid w:val="2A082C70"/>
    <w:multiLevelType w:val="hybridMultilevel"/>
    <w:lvl w:ilvl="0">
      <w:lvlJc w:val="left"/>
      <w:lvlText w:val="1"/>
      <w:numFmt w:val="bullet"/>
      <w:start w:val="1"/>
    </w:lvl>
  </w:abstractNum>
  <w:abstractNum w:abstractNumId="71">
    <w:nsid w:val="5EC6AFD4"/>
    <w:multiLevelType w:val="hybridMultilevel"/>
    <w:lvl w:ilvl="0">
      <w:lvlJc w:val="left"/>
      <w:lvlText w:val="%1"/>
      <w:numFmt w:val="lowerLetter"/>
      <w:start w:val="1"/>
    </w:lvl>
    <w:lvl w:ilvl="1">
      <w:lvlJc w:val="left"/>
      <w:lvlText w:val="%2."/>
      <w:numFmt w:val="decimal"/>
      <w:start w:val="5"/>
    </w:lvl>
  </w:abstractNum>
  <w:abstractNum w:abstractNumId="72">
    <w:nsid w:val="19E21BB2"/>
    <w:multiLevelType w:val="hybridMultilevel"/>
    <w:lvl w:ilvl="0">
      <w:lvlJc w:val="left"/>
      <w:lvlText w:val="(%1)"/>
      <w:numFmt w:val="lowerLetter"/>
      <w:start w:val="1"/>
    </w:lvl>
    <w:lvl w:ilvl="1">
      <w:lvlJc w:val="left"/>
      <w:lvlText w:val="%2"/>
      <w:numFmt w:val="decimal"/>
      <w:start w:val="1"/>
    </w:lvl>
  </w:abstractNum>
  <w:abstractNum w:abstractNumId="73">
    <w:nsid w:val="75E0858A"/>
    <w:multiLevelType w:val="hybridMultilevel"/>
    <w:lvl w:ilvl="0">
      <w:lvlJc w:val="left"/>
      <w:lvlText w:val="%1."/>
      <w:numFmt w:val="decimal"/>
      <w:start w:val="6"/>
    </w:lvl>
  </w:abstractNum>
  <w:abstractNum w:abstractNumId="74">
    <w:nsid w:val="57A61A29"/>
    <w:multiLevelType w:val="hybridMultilevel"/>
    <w:lvl w:ilvl="0">
      <w:lvlJc w:val="left"/>
      <w:lvlText w:val="%1."/>
      <w:numFmt w:val="decimal"/>
      <w:start w:val="7"/>
    </w:lvl>
  </w:abstractNum>
  <w:abstractNum w:abstractNumId="75">
    <w:nsid w:val="5399C654"/>
    <w:multiLevelType w:val="hybridMultilevel"/>
    <w:lvl w:ilvl="0">
      <w:lvlJc w:val="left"/>
      <w:lvlText w:val="2"/>
      <w:numFmt w:val="bullet"/>
      <w:start w:val="1"/>
    </w:lvl>
  </w:abstractNum>
  <w:abstractNum w:abstractNumId="76">
    <w:nsid w:val="20EE1348"/>
    <w:multiLevelType w:val="hybridMultilevel"/>
    <w:lvl w:ilvl="0">
      <w:lvlJc w:val="left"/>
      <w:lvlText w:val="3"/>
      <w:numFmt w:val="bullet"/>
      <w:start w:val="1"/>
    </w:lvl>
  </w:abstractNum>
  <w:abstractNum w:abstractNumId="77">
    <w:nsid w:val="4427069A"/>
    <w:multiLevelType w:val="hybridMultilevel"/>
    <w:lvl w:ilvl="0">
      <w:lvlJc w:val="left"/>
      <w:lvlText w:val="%1."/>
      <w:numFmt w:val="decimal"/>
      <w:start w:val="8"/>
    </w:lvl>
  </w:abstractNum>
  <w:abstractNum w:abstractNumId="78">
    <w:nsid w:val="B37E80A"/>
    <w:multiLevelType w:val="hybridMultilevel"/>
    <w:lvl w:ilvl="0">
      <w:lvlJc w:val="left"/>
      <w:lvlText w:val="%1."/>
      <w:numFmt w:val="decimal"/>
      <w:start w:val="16"/>
    </w:lvl>
  </w:abstractNum>
  <w:abstractNum w:abstractNumId="79">
    <w:nsid w:val="2157F6BC"/>
    <w:multiLevelType w:val="hybridMultilevel"/>
    <w:lvl w:ilvl="0">
      <w:lvlJc w:val="left"/>
      <w:lvlText w:val="4"/>
      <w:numFmt w:val="bullet"/>
      <w:start w:val="1"/>
    </w:lvl>
  </w:abstractNum>
  <w:abstractNum w:abstractNumId="80">
    <w:nsid w:val="704E1DD5"/>
    <w:multiLevelType w:val="hybridMultilevel"/>
    <w:lvl w:ilvl="0">
      <w:lvlJc w:val="left"/>
      <w:lvlText w:val="%1."/>
      <w:numFmt w:val="decimal"/>
      <w:start w:val="21"/>
    </w:lvl>
    <w:lvl w:ilvl="1">
      <w:lvlJc w:val="left"/>
      <w:lvlText w:val="(%2)"/>
      <w:numFmt w:val="lowerLetter"/>
      <w:start w:val="1"/>
    </w:lvl>
  </w:abstractNum>
  <w:abstractNum w:abstractNumId="81">
    <w:nsid w:val="57D2F10E"/>
    <w:multiLevelType w:val="hybridMultilevel"/>
    <w:lvl w:ilvl="0">
      <w:lvlJc w:val="left"/>
      <w:lvlText w:val="5"/>
      <w:numFmt w:val="bullet"/>
      <w:start w:val="1"/>
    </w:lvl>
  </w:abstractNum>
  <w:abstractNum w:abstractNumId="82">
    <w:nsid w:val="BFFAE18"/>
    <w:multiLevelType w:val="hybridMultilevel"/>
    <w:lvl w:ilvl="0">
      <w:lvlJc w:val="left"/>
      <w:lvlText w:val="%1."/>
      <w:numFmt w:val="decimal"/>
      <w:start w:val="1"/>
    </w:lvl>
  </w:abstractNum>
  <w:abstractNum w:abstractNumId="83">
    <w:nsid w:val="E3E47A8"/>
    <w:multiLevelType w:val="hybridMultilevel"/>
    <w:lvl w:ilvl="0">
      <w:lvlJc w:val="left"/>
      <w:lvlText w:val="%1."/>
      <w:numFmt w:val="decimal"/>
      <w:start w:val="3"/>
    </w:lvl>
  </w:abstractNum>
  <w:abstractNum w:abstractNumId="84">
    <w:nsid w:val="2E48F044"/>
    <w:multiLevelType w:val="hybridMultilevel"/>
    <w:lvl w:ilvl="0">
      <w:lvlJc w:val="left"/>
      <w:lvlText w:val="%1."/>
      <w:numFmt w:val="decimal"/>
      <w:start w:val="4"/>
    </w:lvl>
  </w:abstractNum>
  <w:abstractNum w:abstractNumId="85">
    <w:nsid w:val="49D0FEAC"/>
    <w:multiLevelType w:val="hybridMultilevel"/>
    <w:lvl w:ilvl="0">
      <w:lvlJc w:val="left"/>
      <w:lvlText w:val="%1."/>
      <w:numFmt w:val="decimal"/>
      <w:start w:val="7"/>
    </w:lvl>
  </w:abstractNum>
  <w:abstractNum w:abstractNumId="86">
    <w:nsid w:val="4BEE5A5B"/>
    <w:multiLevelType w:val="hybridMultilevel"/>
    <w:lvl w:ilvl="0">
      <w:lvlJc w:val="left"/>
      <w:lvlText w:val="%1."/>
      <w:numFmt w:val="decimal"/>
      <w:start w:val="8"/>
    </w:lvl>
  </w:abstractNum>
  <w:abstractNum w:abstractNumId="87">
    <w:nsid w:val="5551B9F3"/>
    <w:multiLevelType w:val="hybridMultilevel"/>
    <w:lvl w:ilvl="0">
      <w:lvlJc w:val="left"/>
      <w:lvlText w:val="%1."/>
      <w:numFmt w:val="decimal"/>
      <w:start w:val="15"/>
    </w:lvl>
  </w:abstractNum>
  <w:abstractNum w:abstractNumId="88">
    <w:nsid w:val="24F6AB8E"/>
    <w:multiLevelType w:val="hybridMultilevel"/>
    <w:lvl w:ilvl="0">
      <w:lvlJc w:val="left"/>
      <w:lvlText w:val="%1."/>
      <w:numFmt w:val="decimal"/>
      <w:start w:val="1"/>
    </w:lvl>
  </w:abstractNum>
  <w:abstractNum w:abstractNumId="89">
    <w:nsid w:val="634C57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0">
    <w:nsid w:val="24E99DD7"/>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91">
    <w:nsid w:val="2A31B62D"/>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4"/>
    </w:lvl>
  </w:abstractNum>
  <w:abstractNum w:abstractNumId="92">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3">
    <w:nsid w:val="7DFF9D0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4">
    <w:nsid w:val="75434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95">
    <w:nsid w:val="69E7F3E5"/>
    <w:multiLevelType w:val="hybridMultilevel"/>
    <w:lvl w:ilvl="0">
      <w:lvlJc w:val="left"/>
      <w:lvlText w:val="(%1)"/>
      <w:numFmt w:val="lowerLetter"/>
      <w:start w:val="2"/>
    </w:lvl>
    <w:lvl w:ilvl="1">
      <w:lvlJc w:val="left"/>
      <w:lvlText w:val="(%2)"/>
      <w:numFmt w:val="lowerRoman"/>
      <w:start w:val="1"/>
    </w:lvl>
  </w:abstractNum>
  <w:abstractNum w:abstractNumId="96">
    <w:nsid w:val="2A6DE806"/>
    <w:multiLevelType w:val="hybridMultilevel"/>
    <w:lvl w:ilvl="0">
      <w:lvlJc w:val="left"/>
      <w:lvlText w:val="%1."/>
      <w:numFmt w:val="decimal"/>
      <w:start w:val="5"/>
    </w:lvl>
    <w:lvl w:ilvl="1">
      <w:lvlJc w:val="left"/>
      <w:lvlText w:val="(%2)"/>
      <w:numFmt w:val="lowerLetter"/>
      <w:start w:val="1"/>
    </w:lvl>
  </w:abstractNum>
  <w:abstractNum w:abstractNumId="97">
    <w:nsid w:val="1816F8C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8">
    <w:nsid w:val="37DF2233"/>
    <w:multiLevelType w:val="hybridMultilevel"/>
    <w:lvl w:ilvl="0">
      <w:lvlJc w:val="left"/>
      <w:lvlText w:val="(%1)"/>
      <w:numFmt w:val="lowerRoman"/>
      <w:start w:val="3"/>
    </w:lvl>
  </w:abstractNum>
  <w:abstractNum w:abstractNumId="99">
    <w:nsid w:val="7AB49DAF"/>
    <w:multiLevelType w:val="hybridMultilevel"/>
    <w:lvl w:ilvl="0">
      <w:lvlJc w:val="left"/>
      <w:lvlText w:val="(%1)"/>
      <w:numFmt w:val="lowerRoman"/>
      <w:start w:val="6"/>
    </w:lvl>
  </w:abstractNum>
  <w:abstractNum w:abstractNumId="100">
    <w:nsid w:val="759F82CD"/>
    <w:multiLevelType w:val="hybridMultilevel"/>
    <w:lvl w:ilvl="0">
      <w:lvlJc w:val="left"/>
      <w:lvlText w:val="(%1)"/>
      <w:numFmt w:val="lowerLetter"/>
      <w:start w:val="2"/>
    </w:lvl>
    <w:lvl w:ilvl="1">
      <w:lvlJc w:val="left"/>
      <w:lvlText w:val="(%2)"/>
      <w:numFmt w:val="lowerRoman"/>
      <w:start w:val="1"/>
    </w:lvl>
  </w:abstractNum>
  <w:abstractNum w:abstractNumId="101">
    <w:nsid w:val="61E74EA3"/>
    <w:multiLevelType w:val="hybridMultilevel"/>
    <w:lvl w:ilvl="0">
      <w:lvlJc w:val="left"/>
      <w:lvlText w:val="(%1)"/>
      <w:numFmt w:val="lowerLetter"/>
      <w:start w:val="3"/>
    </w:lvl>
  </w:abstractNum>
  <w:abstractNum w:abstractNumId="102">
    <w:nsid w:val="597B4D84"/>
    <w:multiLevelType w:val="hybridMultilevel"/>
    <w:lvl w:ilvl="0">
      <w:lvlJc w:val="left"/>
      <w:lvlText w:val="(%1)"/>
      <w:numFmt w:val="lowerLetter"/>
      <w:start w:val="6"/>
    </w:lvl>
    <w:lvl w:ilvl="1">
      <w:lvlJc w:val="left"/>
      <w:lvlText w:val="(%2)"/>
      <w:numFmt w:val="lowerRoman"/>
      <w:start w:val="1"/>
    </w:lvl>
  </w:abstractNum>
  <w:abstractNum w:abstractNumId="103">
    <w:nsid w:val="F819E7F"/>
    <w:multiLevelType w:val="hybridMultilevel"/>
    <w:lvl w:ilvl="0">
      <w:lvlJc w:val="left"/>
      <w:lvlText w:val="%1"/>
      <w:numFmt w:val="decimal"/>
      <w:start w:val="1"/>
    </w:lvl>
    <w:lvl w:ilvl="1">
      <w:lvlJc w:val="left"/>
      <w:lvlText w:val="(%2)"/>
      <w:numFmt w:val="lowerLetter"/>
      <w:start w:val="8"/>
    </w:lvl>
  </w:abstractNum>
  <w:abstractNum w:abstractNumId="104">
    <w:nsid w:val="57C7D42D"/>
    <w:multiLevelType w:val="hybridMultilevel"/>
    <w:lvl w:ilvl="0">
      <w:lvlJc w:val="left"/>
      <w:lvlText w:val="%1."/>
      <w:numFmt w:val="decimal"/>
      <w:start w:val="7"/>
    </w:lvl>
    <w:lvl w:ilvl="1">
      <w:lvlJc w:val="left"/>
      <w:lvlText w:val="(%2)"/>
      <w:numFmt w:val="lowerLetter"/>
      <w:start w:val="1"/>
    </w:lvl>
  </w:abstractNum>
  <w:abstractNum w:abstractNumId="105">
    <w:nsid w:val="312167A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6">
    <w:nsid w:val="631B64D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abstractNum>
  <w:abstractNum w:abstractNumId="107">
    <w:nsid w:val="78B5E776"/>
    <w:multiLevelType w:val="hybridMultilevel"/>
    <w:lvl w:ilvl="0">
      <w:lvlJc w:val="left"/>
      <w:lvlText w:val="(%1)"/>
      <w:numFmt w:val="lowerLetter"/>
      <w:start w:val="3"/>
    </w:lvl>
  </w:abstractNum>
  <w:abstractNum w:abstractNumId="108">
    <w:nsid w:val="75486E47"/>
    <w:multiLevelType w:val="hybridMultilevel"/>
    <w:lvl w:ilvl="0">
      <w:lvlJc w:val="left"/>
      <w:lvlText w:val="%1"/>
      <w:numFmt w:val="decimal"/>
      <w:start w:val="1"/>
    </w:lvl>
    <w:lvl w:ilvl="1">
      <w:lvlJc w:val="left"/>
      <w:lvlText w:val="(%2)"/>
      <w:numFmt w:val="lowerLetter"/>
      <w:start w:val="5"/>
    </w:lvl>
  </w:abstractNum>
  <w:abstractNum w:abstractNumId="109">
    <w:nsid w:val="6E534CDE"/>
    <w:multiLevelType w:val="hybridMultilevel"/>
    <w:lvl w:ilvl="0">
      <w:lvlJc w:val="left"/>
      <w:lvlText w:val="%1."/>
      <w:numFmt w:val="decimal"/>
      <w:start w:val="11"/>
    </w:lvl>
    <w:lvl w:ilvl="1">
      <w:lvlJc w:val="left"/>
      <w:lvlText w:val="(%2)"/>
      <w:numFmt w:val="lowerLetter"/>
      <w:start w:val="1"/>
    </w:lvl>
  </w:abstractNum>
  <w:abstractNum w:abstractNumId="110">
    <w:nsid w:val="1A0DDE32"/>
    <w:multiLevelType w:val="hybridMultilevel"/>
    <w:lvl w:ilvl="0">
      <w:lvlJc w:val="left"/>
      <w:lvlText w:val="%1."/>
      <w:numFmt w:val="decimal"/>
      <w:start w:val="2"/>
    </w:lvl>
  </w:abstractNum>
  <w:abstractNum w:abstractNumId="111">
    <w:nsid w:val="65968C1C"/>
    <w:multiLevelType w:val="hybridMultilevel"/>
    <w:lvl w:ilvl="0">
      <w:lvlJc w:val="left"/>
      <w:lvlText w:val="(%1)"/>
      <w:numFmt w:val="lowerLetter"/>
      <w:start w:val="1"/>
    </w:lvl>
  </w:abstractNum>
  <w:abstractNum w:abstractNumId="112">
    <w:nsid w:val="46263DEC"/>
    <w:multiLevelType w:val="hybridMultilevel"/>
    <w:lvl w:ilvl="0">
      <w:lvlJc w:val="left"/>
      <w:lvlText w:val="(%1)"/>
      <w:numFmt w:val="lowerLetter"/>
      <w:start w:val="3"/>
    </w:lvl>
  </w:abstractNum>
  <w:abstractNum w:abstractNumId="113">
    <w:nsid w:val="260D8C4A"/>
    <w:multiLevelType w:val="hybridMultilevel"/>
    <w:lvl w:ilvl="0">
      <w:lvlJc w:val="left"/>
      <w:lvlText w:val="%1"/>
      <w:numFmt w:val="lowerLetter"/>
      <w:start w:val="1"/>
    </w:lvl>
    <w:lvl w:ilvl="1">
      <w:lvlJc w:val="left"/>
      <w:lvlText w:val="%2."/>
      <w:numFmt w:val="decimal"/>
      <w:start w:val="4"/>
    </w:lvl>
  </w:abstractNum>
  <w:abstractNum w:abstractNumId="114">
    <w:nsid w:val="73D4D3C4"/>
    <w:multiLevelType w:val="hybridMultilevel"/>
    <w:lvl w:ilvl="0">
      <w:lvlJc w:val="left"/>
      <w:lvlText w:val="(%1)"/>
      <w:numFmt w:val="lowerLetter"/>
      <w:start w:val="2"/>
    </w:lvl>
    <w:lvl w:ilvl="1">
      <w:lvlJc w:val="left"/>
      <w:lvlText w:val="%2"/>
      <w:numFmt w:val="decimal"/>
      <w:start w:val="1"/>
    </w:lvl>
  </w:abstractNum>
  <w:abstractNum w:abstractNumId="115">
    <w:nsid w:val="746F2E30"/>
    <w:multiLevelType w:val="hybridMultilevel"/>
    <w:lvl w:ilvl="0">
      <w:lvlJc w:val="left"/>
      <w:lvlText w:val="%1."/>
      <w:numFmt w:val="decimal"/>
      <w:start w:val="6"/>
    </w:lvl>
  </w:abstractNum>
  <w:abstractNum w:abstractNumId="116">
    <w:nsid w:val="6FDE8AF6"/>
    <w:multiLevelType w:val="hybridMultilevel"/>
    <w:lvl w:ilvl="0">
      <w:lvlJc w:val="left"/>
      <w:lvlText w:val="%1."/>
      <w:numFmt w:val="decimal"/>
      <w:start w:val="7"/>
    </w:lvl>
  </w:abstractNum>
  <w:abstractNum w:abstractNumId="117">
    <w:nsid w:val="3FC32E20"/>
    <w:multiLevelType w:val="hybridMultilevel"/>
    <w:lvl w:ilvl="0">
      <w:lvlJc w:val="left"/>
      <w:lvlText w:val="%1."/>
      <w:numFmt w:val="decimal"/>
      <w:start w:val="8"/>
    </w:lvl>
  </w:abstractNum>
  <w:abstractNum w:abstractNumId="118">
    <w:nsid w:val="49C0E823"/>
    <w:multiLevelType w:val="hybridMultilevel"/>
    <w:lvl w:ilvl="0">
      <w:lvlJc w:val="left"/>
      <w:lvlText w:val="%1."/>
      <w:numFmt w:val="decimal"/>
      <w:start w:val="13"/>
    </w:lvl>
  </w:abstractNum>
  <w:abstractNum w:abstractNumId="119">
    <w:nsid w:val="14D53685"/>
    <w:multiLevelType w:val="hybridMultilevel"/>
    <w:lvl w:ilvl="0">
      <w:lvlJc w:val="left"/>
      <w:lvlText w:val="%1."/>
      <w:numFmt w:val="decimal"/>
      <w:start w:val="20"/>
    </w:lvl>
  </w:abstractNum>
  <w:abstractNum w:abstractNumId="120">
    <w:nsid w:val="230F856C"/>
    <w:multiLevelType w:val="hybridMultilevel"/>
    <w:lvl w:ilvl="0">
      <w:lvlJc w:val="left"/>
      <w:lvlText w:val="%1."/>
      <w:numFmt w:val="decimal"/>
      <w:start w:val="22"/>
    </w:lvl>
    <w:lvl w:ilvl="1">
      <w:lvlJc w:val="left"/>
      <w:lvlText w:val="(%2)"/>
      <w:numFmt w:val="lowerLetter"/>
      <w:start w:val="1"/>
    </w:lvl>
    <w:lvl w:ilvl="2">
      <w:lvlJc w:val="left"/>
      <w:lvlText w:val="*"/>
      <w:numFmt w:val="bullet"/>
      <w:start w:val="1"/>
    </w:lvl>
  </w:abstractNum>
  <w:abstractNum w:abstractNumId="121">
    <w:nsid w:val="6EAA85FB"/>
    <w:multiLevelType w:val="hybridMultilevel"/>
    <w:lvl w:ilvl="0">
      <w:lvlJc w:val="left"/>
      <w:lvlText w:val="%1."/>
      <w:numFmt w:val="decimal"/>
      <w:start w:val="1"/>
    </w:lvl>
  </w:abstractNum>
  <w:abstractNum w:abstractNumId="122">
    <w:nsid w:val="3F06ECB2"/>
    <w:multiLevelType w:val="hybridMultilevel"/>
    <w:lvl w:ilvl="0">
      <w:lvlJc w:val="left"/>
      <w:lvlText w:val="(%1)"/>
      <w:numFmt w:val="lowerRoman"/>
      <w:start w:val="1"/>
    </w:lvl>
  </w:abstractNum>
  <w:abstractNum w:abstractNumId="123">
    <w:nsid w:val="3B594807"/>
    <w:multiLevelType w:val="hybridMultilevel"/>
    <w:lvl w:ilvl="0">
      <w:lvlJc w:val="left"/>
      <w:lvlText w:val="%1."/>
      <w:numFmt w:val="decimal"/>
      <w:start w:val="2"/>
    </w:lvl>
  </w:abstractNum>
  <w:abstractNum w:abstractNumId="124">
    <w:nsid w:val="6CAA2304"/>
    <w:multiLevelType w:val="hybridMultilevel"/>
    <w:lvl w:ilvl="0">
      <w:lvlJc w:val="left"/>
      <w:lvlText w:val="(%1)"/>
      <w:numFmt w:val="lowerRoman"/>
      <w:start w:val="3"/>
    </w:lvl>
  </w:abstractNum>
  <w:abstractNum w:abstractNumId="125">
    <w:nsid w:val="3F7C2FF4"/>
    <w:multiLevelType w:val="hybridMultilevel"/>
    <w:lvl w:ilvl="0">
      <w:lvlJc w:val="left"/>
      <w:lvlText w:val="%1."/>
      <w:numFmt w:val="decimal"/>
      <w:start w:val="3"/>
    </w:lvl>
  </w:abstractNum>
  <w:abstractNum w:abstractNumId="126">
    <w:nsid w:val="25413BEC"/>
    <w:multiLevelType w:val="hybridMultilevel"/>
    <w:lvl w:ilvl="0">
      <w:lvlJc w:val="left"/>
      <w:lvlText w:val="(%1)"/>
      <w:numFmt w:val="lowerRoman"/>
      <w:start w:val="1"/>
    </w:lvl>
  </w:abstractNum>
  <w:abstractNum w:abstractNumId="127">
    <w:nsid w:val="17180B0B"/>
    <w:multiLevelType w:val="hybridMultilevel"/>
    <w:lvl w:ilvl="0">
      <w:lvlJc w:val="left"/>
      <w:lvlText w:val="(%1)"/>
      <w:numFmt w:val="lowerRoman"/>
      <w:start w:val="14"/>
    </w:lvl>
  </w:abstractNum>
  <w:abstractNum w:abstractNumId="128">
    <w:nsid w:val="579328B9"/>
    <w:multiLevelType w:val="hybridMultilevel"/>
    <w:lvl w:ilvl="0">
      <w:lvlJc w:val="left"/>
      <w:lvlText w:val="%1."/>
      <w:numFmt w:val="decimal"/>
      <w:start w:val="4"/>
    </w:lvl>
  </w:abstractNum>
  <w:abstractNum w:abstractNumId="129">
    <w:nsid w:val="5D205E20"/>
    <w:multiLevelType w:val="hybridMultilevel"/>
    <w:lvl w:ilvl="0">
      <w:lvlJc w:val="left"/>
      <w:lvlText w:val="%1."/>
      <w:numFmt w:val="decimal"/>
      <w:start w:val="5"/>
    </w:lvl>
  </w:abstractNum>
  <w:abstractNum w:abstractNumId="130">
    <w:nsid w:val="11CCA8BA"/>
    <w:multiLevelType w:val="hybridMultilevel"/>
    <w:lvl w:ilvl="0">
      <w:lvlJc w:val="left"/>
      <w:lvlText w:val="%1."/>
      <w:numFmt w:val="decimal"/>
      <w:start w:val="6"/>
    </w:lvl>
  </w:abstractNum>
  <w:abstractNum w:abstractNumId="131">
    <w:nsid w:val="4D32AB86"/>
    <w:multiLevelType w:val="hybridMultilevel"/>
    <w:lvl w:ilvl="0">
      <w:lvlJc w:val="left"/>
      <w:lvlText w:val="(%1)"/>
      <w:numFmt w:val="decimal"/>
      <w:start w:val="3"/>
    </w:lvl>
  </w:abstractNum>
  <w:abstractNum w:abstractNumId="132">
    <w:nsid w:val="3F07ACC3"/>
    <w:multiLevelType w:val="hybridMultilevel"/>
    <w:lvl w:ilvl="0">
      <w:lvlJc w:val="left"/>
      <w:lvlText w:val="%1."/>
      <w:numFmt w:val="decimal"/>
      <w:start w:val="7"/>
    </w:lvl>
  </w:abstractNum>
  <w:abstractNum w:abstractNumId="133">
    <w:nsid w:val="6B47F63E"/>
    <w:multiLevelType w:val="hybridMultilevel"/>
    <w:lvl w:ilvl="0">
      <w:lvlJc w:val="left"/>
      <w:lvlText w:val="%1."/>
      <w:numFmt w:val="decimal"/>
      <w:start w:val="8"/>
    </w:lvl>
  </w:abstractNum>
  <w:abstractNum w:abstractNumId="134">
    <w:nsid w:val="5CB44A05"/>
    <w:multiLevelType w:val="hybridMultilevel"/>
    <w:lvl w:ilvl="0">
      <w:lvlJc w:val="left"/>
      <w:lvlText w:val="%1."/>
      <w:numFmt w:val="decimal"/>
      <w:start w:val="9"/>
    </w:lvl>
  </w:abstractNum>
  <w:abstractNum w:abstractNumId="135">
    <w:nsid w:val="16CF80F1"/>
    <w:multiLevelType w:val="hybridMultilevel"/>
    <w:lvl w:ilvl="0">
      <w:lvlJc w:val="left"/>
      <w:lvlText w:val="%1."/>
      <w:numFmt w:val="decimal"/>
      <w:start w:val="10"/>
    </w:lvl>
  </w:abstractNum>
  <w:abstractNum w:abstractNumId="136">
    <w:nsid w:val="1C695DEC"/>
    <w:multiLevelType w:val="hybridMultilevel"/>
    <w:lvl w:ilvl="0">
      <w:lvlJc w:val="left"/>
      <w:lvlText w:val="%1."/>
      <w:numFmt w:val="decimal"/>
      <w:start w:val="11"/>
    </w:lvl>
  </w:abstractNum>
  <w:abstractNum w:abstractNumId="137">
    <w:nsid w:val="3FCFAED9"/>
    <w:multiLevelType w:val="hybridMultilevel"/>
    <w:lvl w:ilvl="0">
      <w:lvlJc w:val="left"/>
      <w:lvlText w:val="%1."/>
      <w:numFmt w:val="decimal"/>
      <w:start w:val="12"/>
    </w:lvl>
  </w:abstractNum>
  <w:abstractNum w:abstractNumId="138">
    <w:nsid w:val="F856867"/>
    <w:multiLevelType w:val="hybridMultilevel"/>
    <w:lvl w:ilvl="0">
      <w:lvlJc w:val="left"/>
      <w:lvlText w:val="%1."/>
      <w:numFmt w:val="decimal"/>
      <w:start w:val="13"/>
    </w:lvl>
  </w:abstractNum>
  <w:abstractNum w:abstractNumId="139">
    <w:nsid w:val="11B1CC33"/>
    <w:multiLevelType w:val="hybridMultilevel"/>
    <w:lvl w:ilvl="0">
      <w:lvlJc w:val="left"/>
      <w:lvlText w:val="%1."/>
      <w:numFmt w:val="decimal"/>
      <w:start w:val="14"/>
    </w:lvl>
  </w:abstractNum>
  <w:abstractNum w:abstractNumId="140">
    <w:nsid w:val="2E22FBB7"/>
    <w:multiLevelType w:val="hybridMultilevel"/>
    <w:lvl w:ilvl="0">
      <w:lvlJc w:val="left"/>
      <w:lvlText w:val="%1."/>
      <w:numFmt w:val="decimal"/>
      <w:start w:val="15"/>
    </w:lvl>
  </w:abstractNum>
  <w:abstractNum w:abstractNumId="141">
    <w:nsid w:val="29934699"/>
    <w:multiLevelType w:val="hybridMultilevel"/>
    <w:lvl w:ilvl="0">
      <w:lvlJc w:val="left"/>
      <w:lvlText w:val="%1."/>
      <w:numFmt w:val="decimal"/>
      <w:start w:val="16"/>
    </w:lvl>
  </w:abstractNum>
  <w:abstractNum w:abstractNumId="142">
    <w:nsid w:val="77485850"/>
    <w:multiLevelType w:val="hybridMultilevel"/>
    <w:lvl w:ilvl="0">
      <w:lvlJc w:val="left"/>
      <w:lvlText w:val="%1."/>
      <w:numFmt w:val="decimal"/>
      <w:start w:val="17"/>
    </w:lvl>
  </w:abstractNum>
  <w:abstractNum w:abstractNumId="143">
    <w:nsid w:val="744939A3"/>
    <w:multiLevelType w:val="hybridMultilevel"/>
    <w:lvl w:ilvl="0">
      <w:lvlJc w:val="left"/>
      <w:lvlText w:val="%1."/>
      <w:numFmt w:val="decimal"/>
      <w:start w:val="18"/>
    </w:lvl>
  </w:abstractNum>
  <w:abstractNum w:abstractNumId="144">
    <w:nsid w:val="4FA0D2E3"/>
    <w:multiLevelType w:val="hybridMultilevel"/>
    <w:lvl w:ilvl="0">
      <w:lvlJc w:val="left"/>
      <w:lvlText w:val="%1."/>
      <w:numFmt w:val="decimal"/>
      <w:start w:val="19"/>
    </w:lvl>
  </w:abstractNum>
  <w:abstractNum w:abstractNumId="145">
    <w:nsid w:val="6B1D2C14"/>
    <w:multiLevelType w:val="hybridMultilevel"/>
    <w:lvl w:ilvl="0">
      <w:lvlJc w:val="left"/>
      <w:lvlText w:val="%1."/>
      <w:numFmt w:val="decimal"/>
      <w:start w:val="20"/>
    </w:lvl>
  </w:abstractNum>
  <w:abstractNum w:abstractNumId="146">
    <w:nsid w:val="68B867D3"/>
    <w:multiLevelType w:val="hybridMultilevel"/>
    <w:lvl w:ilvl="0">
      <w:lvlJc w:val="left"/>
      <w:lvlText w:val="%1."/>
      <w:numFmt w:val="decimal"/>
      <w:start w:val="21"/>
    </w:lvl>
  </w:abstractNum>
  <w:abstractNum w:abstractNumId="147">
    <w:nsid w:val="3F7F5DD9"/>
    <w:multiLevelType w:val="hybridMultilevel"/>
    <w:lvl w:ilvl="0">
      <w:lvlJc w:val="left"/>
      <w:lvlText w:val="%1."/>
      <w:numFmt w:val="decimal"/>
      <w:start w:val="22"/>
    </w:lvl>
  </w:abstractNum>
  <w:abstractNum w:abstractNumId="148">
    <w:nsid w:val="2AE05A34"/>
    <w:multiLevelType w:val="hybridMultilevel"/>
    <w:lvl w:ilvl="0">
      <w:lvlJc w:val="left"/>
      <w:lvlText w:val="%1."/>
      <w:numFmt w:val="decimal"/>
      <w:start w:val="23"/>
    </w:lvl>
  </w:abstractNum>
  <w:abstractNum w:abstractNumId="149">
    <w:nsid w:val="32794FF7"/>
    <w:multiLevelType w:val="hybridMultilevel"/>
    <w:lvl w:ilvl="0">
      <w:lvlJc w:val="left"/>
      <w:lvlText w:val="%1."/>
      <w:numFmt w:val="decimal"/>
      <w:start w:val="24"/>
    </w:lvl>
  </w:abstractNum>
  <w:abstractNum w:abstractNumId="150">
    <w:nsid w:val="5454945E"/>
    <w:multiLevelType w:val="hybridMultilevel"/>
    <w:lvl w:ilvl="0">
      <w:lvlJc w:val="left"/>
      <w:lvlText w:val="%1."/>
      <w:numFmt w:val="decimal"/>
      <w:start w:val="25"/>
    </w:lvl>
  </w:abstractNum>
  <w:abstractNum w:abstractNumId="151">
    <w:nsid w:val="4DEFDFA0"/>
    <w:multiLevelType w:val="hybridMultilevel"/>
    <w:lvl w:ilvl="0">
      <w:lvlJc w:val="left"/>
      <w:lvlText w:val="%1."/>
      <w:numFmt w:val="decimal"/>
      <w:start w:val="26"/>
    </w:lvl>
  </w:abstractNum>
  <w:abstractNum w:abstractNumId="152">
    <w:nsid w:val="2123D5F2"/>
    <w:multiLevelType w:val="hybridMultilevel"/>
    <w:lvl w:ilvl="0">
      <w:lvlJc w:val="left"/>
      <w:lvlText w:val="%1."/>
      <w:numFmt w:val="decimal"/>
      <w:start w:val="27"/>
    </w:lvl>
  </w:abstractNum>
  <w:abstractNum w:abstractNumId="153">
    <w:nsid w:val="135B8110"/>
    <w:multiLevelType w:val="hybridMultilevel"/>
    <w:lvl w:ilvl="0">
      <w:lvlJc w:val="left"/>
      <w:lvlText w:val="%1."/>
      <w:numFmt w:val="decimal"/>
      <w:start w:val="28"/>
    </w:lvl>
  </w:abstractNum>
  <w:abstractNum w:abstractNumId="154">
    <w:nsid w:val="94927A8"/>
    <w:multiLevelType w:val="hybridMultilevel"/>
    <w:lvl w:ilvl="0">
      <w:lvlJc w:val="left"/>
      <w:lvlText w:val="%1."/>
      <w:numFmt w:val="decimal"/>
      <w:start w:val="1"/>
    </w:lvl>
  </w:abstractNum>
  <w:abstractNum w:abstractNumId="155">
    <w:nsid w:val="DCDF8F6"/>
    <w:multiLevelType w:val="hybridMultilevel"/>
    <w:lvl w:ilvl="0">
      <w:lvlJc w:val="left"/>
      <w:lvlText w:val="%1."/>
      <w:numFmt w:val="decimal"/>
      <w:start w:val="3"/>
    </w:lvl>
  </w:abstractNum>
  <w:abstractNum w:abstractNumId="156">
    <w:nsid w:val="52D7B105"/>
    <w:multiLevelType w:val="hybridMultilevel"/>
    <w:lvl w:ilvl="0">
      <w:lvlJc w:val="left"/>
      <w:lvlText w:val="%1."/>
      <w:numFmt w:val="decimal"/>
      <w:start w:val="4"/>
    </w:lvl>
  </w:abstractNum>
  <w:abstractNum w:abstractNumId="157">
    <w:nsid w:val="2E8A6394"/>
    <w:multiLevelType w:val="hybridMultilevel"/>
    <w:lvl w:ilvl="0">
      <w:lvlJc w:val="left"/>
      <w:lvlText w:val="%1."/>
      <w:numFmt w:val="decimal"/>
      <w:start w:val="8"/>
    </w:lvl>
  </w:abstractNum>
  <w:abstractNum w:abstractNumId="158">
    <w:nsid w:val="24E60401"/>
    <w:multiLevelType w:val="hybridMultilevel"/>
    <w:lvl w:ilvl="0">
      <w:lvlJc w:val="left"/>
      <w:lvlText w:val="%1."/>
      <w:numFmt w:val="decimal"/>
      <w:start w:val="10"/>
    </w:lvl>
  </w:abstractNum>
  <w:abstractNum w:abstractNumId="159">
    <w:nsid w:val="2A6AD9BE"/>
    <w:multiLevelType w:val="hybridMultilevel"/>
    <w:lvl w:ilvl="0">
      <w:lvlJc w:val="left"/>
      <w:lvlText w:val="%1."/>
      <w:numFmt w:val="decimal"/>
      <w:start w:val="11"/>
    </w:lvl>
  </w:abstractNum>
  <w:abstractNum w:abstractNumId="160">
    <w:nsid w:val="BAAC1B4"/>
    <w:multiLevelType w:val="hybridMultilevel"/>
    <w:lvl w:ilvl="0">
      <w:lvlJc w:val="left"/>
      <w:lvlText w:val="(%1)"/>
      <w:numFmt w:val="decimal"/>
      <w:start w:val="1"/>
    </w:lvl>
  </w:abstractNum>
  <w:abstractNum w:abstractNumId="161">
    <w:nsid w:val="36B2ACBC"/>
    <w:multiLevelType w:val="hybridMultilevel"/>
    <w:lvl w:ilvl="0">
      <w:lvlJc w:val="left"/>
      <w:lvlText w:val="%1."/>
      <w:numFmt w:val="decimal"/>
      <w:start w:val="1"/>
    </w:lvl>
    <w:lvl w:ilvl="1">
      <w:lvlJc w:val="left"/>
      <w:lvlText w:val="%2)"/>
      <w:numFmt w:val="lowerLetter"/>
      <w:start w:val="1"/>
    </w:lvl>
  </w:abstractNum>
  <w:abstractNum w:abstractNumId="162">
    <w:nsid w:val="779D8544"/>
    <w:multiLevelType w:val="hybridMultilevel"/>
    <w:lvl w:ilvl="0">
      <w:lvlJc w:val="left"/>
      <w:lvlText w:val="%1."/>
      <w:numFmt w:val="decimal"/>
      <w:start w:val="1"/>
    </w:lvl>
  </w:abstractNum>
  <w:abstractNum w:abstractNumId="163">
    <w:nsid w:val="4AB26E78"/>
    <w:multiLevelType w:val="hybridMultilevel"/>
    <w:lvl w:ilvl="0">
      <w:lvlJc w:val="left"/>
      <w:lvlText w:val="%1"/>
      <w:numFmt w:val="decimal"/>
      <w:start w:val="1"/>
    </w:lvl>
    <w:lvl w:ilvl="1">
      <w:lvlJc w:val="left"/>
      <w:lvlText w:val="%2)"/>
      <w:numFmt w:val="lowerLetter"/>
      <w:start w:val="1"/>
    </w:lvl>
  </w:abstractNum>
  <w:abstractNum w:abstractNumId="164">
    <w:nsid w:val="21FAA2FA"/>
    <w:multiLevelType w:val="hybridMultilevel"/>
    <w:lvl w:ilvl="0">
      <w:lvlJc w:val="left"/>
      <w:lvlText w:val="%1."/>
      <w:numFmt w:val="decimal"/>
      <w:start w:val="5"/>
    </w:lvl>
    <w:lvl w:ilvl="1">
      <w:lvlJc w:val="left"/>
      <w:lvlText w:val="%2)"/>
      <w:numFmt w:val="lowerLetter"/>
      <w:start w:val="1"/>
    </w:lvl>
  </w:abstractNum>
  <w:abstractNum w:abstractNumId="165">
    <w:nsid w:val="5451CF49"/>
    <w:multiLevelType w:val="hybridMultilevel"/>
    <w:lvl w:ilvl="0">
      <w:lvlJc w:val="left"/>
      <w:lvlText w:val="(%1)"/>
      <w:numFmt w:val="decimal"/>
      <w:start w:val="1"/>
    </w:lvl>
  </w:abstractNum>
  <w:abstractNum w:abstractNumId="166">
    <w:nsid w:val="6181EF69"/>
    <w:multiLevelType w:val="hybridMultilevel"/>
    <w:lvl w:ilvl="0">
      <w:lvlJc w:val="left"/>
      <w:lvlText w:val="(%1)"/>
      <w:numFmt w:val="decimal"/>
      <w:start w:val="1"/>
    </w:lvl>
  </w:abstractNum>
  <w:abstractNum w:abstractNumId="167">
    <w:nsid w:val="3E6400E6"/>
    <w:multiLevelType w:val="hybridMultilevel"/>
    <w:lvl w:ilvl="0">
      <w:lvlJc w:val="left"/>
      <w:lvlText w:val="%1."/>
      <w:numFmt w:val="decimal"/>
      <w:start w:val="1"/>
    </w:lvl>
  </w:abstractNum>
  <w:abstractNum w:abstractNumId="168">
    <w:nsid w:val="14217E23"/>
    <w:multiLevelType w:val="hybridMultilevel"/>
    <w:lvl w:ilvl="0">
      <w:lvlJc w:val="left"/>
      <w:lvlText w:val="%1."/>
      <w:numFmt w:val="decimal"/>
      <w:start w:val="2"/>
    </w:lvl>
  </w:abstractNum>
  <w:abstractNum w:abstractNumId="169">
    <w:nsid w:val="710757D0"/>
    <w:multiLevelType w:val="hybridMultilevel"/>
    <w:lvl w:ilvl="0">
      <w:lvlJc w:val="left"/>
      <w:lvlText w:val="%1."/>
      <w:numFmt w:val="lowerRoman"/>
      <w:start w:val="1"/>
    </w:lvl>
  </w:abstractNum>
  <w:abstractNum w:abstractNumId="170">
    <w:nsid w:val="5015CD1A"/>
    <w:multiLevelType w:val="hybridMultilevel"/>
    <w:lvl w:ilvl="0">
      <w:lvlJc w:val="left"/>
      <w:lvlText w:val="%1."/>
      <w:numFmt w:val="decimal"/>
      <w:start w:val="3"/>
    </w:lvl>
  </w:abstractNum>
  <w:abstractNum w:abstractNumId="171">
    <w:nsid w:val="424479DA"/>
    <w:multiLevelType w:val="hybridMultilevel"/>
    <w:lvl w:ilvl="0">
      <w:lvlJc w:val="left"/>
      <w:lvlText w:val="%1."/>
      <w:numFmt w:val="decimal"/>
      <w:start w:val="4"/>
    </w:lvl>
  </w:abstractNum>
  <w:abstractNum w:abstractNumId="172">
    <w:nsid w:val="1A9A9E69"/>
    <w:multiLevelType w:val="hybridMultilevel"/>
    <w:lvl w:ilvl="0">
      <w:lvlJc w:val="left"/>
      <w:lvlText w:val="%1."/>
      <w:numFmt w:val="decimal"/>
      <w:start w:val="5"/>
    </w:lvl>
  </w:abstractNum>
  <w:abstractNum w:abstractNumId="173">
    <w:nsid w:val="475E256A"/>
    <w:multiLevelType w:val="hybridMultilevel"/>
    <w:lvl w:ilvl="0">
      <w:lvlJc w:val="left"/>
      <w:lvlText w:val="%1."/>
      <w:numFmt w:val="lowerRoman"/>
      <w:start w:val="1"/>
    </w:lvl>
  </w:abstractNum>
  <w:abstractNum w:abstractNumId="174">
    <w:nsid w:val="368DB37E"/>
    <w:multiLevelType w:val="hybridMultilevel"/>
    <w:lvl w:ilvl="0">
      <w:lvlJc w:val="left"/>
      <w:lvlText w:val="%1."/>
      <w:numFmt w:val="decimal"/>
      <w:start w:val="6"/>
    </w:lvl>
  </w:abstractNum>
  <w:abstractNum w:abstractNumId="175">
    <w:nsid w:val="6A3B714C"/>
    <w:multiLevelType w:val="hybridMultilevel"/>
    <w:lvl w:ilvl="0">
      <w:lvlJc w:val="left"/>
      <w:lvlText w:val="%1."/>
      <w:numFmt w:val="decimal"/>
      <w:start w:val="7"/>
    </w:lvl>
  </w:abstractNum>
  <w:abstractNum w:abstractNumId="176">
    <w:nsid w:val="327B517E"/>
    <w:multiLevelType w:val="hybridMultilevel"/>
    <w:lvl w:ilvl="0">
      <w:lvlJc w:val="left"/>
      <w:lvlText w:val="%1."/>
      <w:numFmt w:val="lowerRoman"/>
      <w:start w:val="1"/>
    </w:lvl>
  </w:abstractNum>
  <w:abstractNum w:abstractNumId="177">
    <w:nsid w:val="1F461B51"/>
    <w:multiLevelType w:val="hybridMultilevel"/>
    <w:lvl w:ilvl="0">
      <w:lvlJc w:val="left"/>
      <w:lvlText w:val="%1."/>
      <w:numFmt w:val="decimal"/>
      <w:start w:val="8"/>
    </w:lvl>
  </w:abstractNum>
  <w:abstractNum w:abstractNumId="178">
    <w:nsid w:val="29BACF25"/>
    <w:multiLevelType w:val="hybridMultilevel"/>
    <w:lvl w:ilvl="0">
      <w:lvlJc w:val="left"/>
      <w:lvlText w:val="%1."/>
      <w:numFmt w:val="decimal"/>
      <w:start w:val="9"/>
    </w:lvl>
  </w:abstractNum>
  <w:abstractNum w:abstractNumId="179">
    <w:nsid w:val="5D5BABB3"/>
    <w:multiLevelType w:val="hybridMultilevel"/>
    <w:lvl w:ilvl="0">
      <w:lvlJc w:val="left"/>
      <w:lvlText w:val="%1."/>
      <w:numFmt w:val="decimal"/>
      <w:start w:val="10"/>
    </w:lvl>
  </w:abstractNum>
  <w:abstractNum w:abstractNumId="180">
    <w:nsid w:val="51BF6B48"/>
    <w:multiLevelType w:val="hybridMultilevel"/>
    <w:lvl w:ilvl="0">
      <w:lvlJc w:val="left"/>
      <w:lvlText w:val="%1."/>
      <w:numFmt w:val="decimal"/>
      <w:start w:val="11"/>
    </w:lvl>
  </w:abstractNum>
  <w:abstractNum w:abstractNumId="181">
    <w:nsid w:val="7E0F6384"/>
    <w:multiLevelType w:val="hybridMultilevel"/>
    <w:lvl w:ilvl="0">
      <w:lvlJc w:val="left"/>
      <w:lvlText w:val="%1."/>
      <w:numFmt w:val="decimal"/>
      <w:start w:val="12"/>
    </w:lvl>
  </w:abstractNum>
  <w:abstractNum w:abstractNumId="182">
    <w:nsid w:val="2B4B8B53"/>
    <w:multiLevelType w:val="hybridMultilevel"/>
    <w:lvl w:ilvl="0">
      <w:lvlJc w:val="left"/>
      <w:lvlText w:val="%1."/>
      <w:numFmt w:val="decimal"/>
      <w:start w:val="13"/>
    </w:lvl>
  </w:abstractNum>
  <w:abstractNum w:abstractNumId="183">
    <w:nsid w:val="72E3413A"/>
    <w:multiLevelType w:val="hybridMultilevel"/>
    <w:lvl w:ilvl="0">
      <w:lvlJc w:val="left"/>
      <w:lvlText w:val="%1."/>
      <w:numFmt w:val="decimal"/>
      <w:start w:val="14"/>
    </w:lvl>
  </w:abstractNum>
  <w:abstractNum w:abstractNumId="184">
    <w:nsid w:val="116AE494"/>
    <w:multiLevelType w:val="hybridMultilevel"/>
    <w:lvl w:ilvl="0">
      <w:lvlJc w:val="left"/>
      <w:lvlText w:val="%1."/>
      <w:numFmt w:val="lowerRoman"/>
      <w:start w:val="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lowerRoman"/>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jpe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jpe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30" Type="http://schemas.openxmlformats.org/officeDocument/2006/relationships/hyperlink" Target="http://www.sec.gov/Archives/edgar/data/1384101/000110465913082910/a13-23874_1ex3d1.htm" TargetMode="External"/><Relationship Id="rId131" Type="http://schemas.openxmlformats.org/officeDocument/2006/relationships/hyperlink" Target="https://www.sec.gov/Archives/edgar/data/1384101/000138410123000007/ex31veracyte-amendedandres.htm" TargetMode="External"/><Relationship Id="rId132" Type="http://schemas.openxmlformats.org/officeDocument/2006/relationships/hyperlink" Target="http://www.sec.gov/Archives/edgar/data/1384101/000104746913009631/a2216954zex-4_1.htm" TargetMode="External"/><Relationship Id="rId133" Type="http://schemas.openxmlformats.org/officeDocument/2006/relationships/hyperlink" Target="http://www.sec.gov/Archives/edgar/data/1384101/000104746913009532/a2216908zex-10_1.htm" TargetMode="External"/><Relationship Id="rId134" Type="http://schemas.openxmlformats.org/officeDocument/2006/relationships/hyperlink" Target="http://www.sec.gov/Archives/edgar/data/1384101/000104746913009208/a2216719zex-10_2.htm" TargetMode="External"/><Relationship Id="rId135" Type="http://schemas.openxmlformats.org/officeDocument/2006/relationships/hyperlink" Target="https://www.sec.gov/Archives/edgar/data/1384101/000138410121000034/vcyt-2013stockincentivepla.htm" TargetMode="External"/><Relationship Id="rId136" Type="http://schemas.openxmlformats.org/officeDocument/2006/relationships/hyperlink" Target="https://www.sec.gov/Archives/edgar/data/1384101/000143774920022261/ex_207290.htm" TargetMode="External"/><Relationship Id="rId137" Type="http://schemas.openxmlformats.org/officeDocument/2006/relationships/hyperlink" Target="https://www.sec.gov/Archives/edgar/data/1384101/000143774920022261/ex_207336.htm" TargetMode="External"/><Relationship Id="rId138" Type="http://schemas.openxmlformats.org/officeDocument/2006/relationships/hyperlink" Target="https://www.sec.gov/Archives/edgar/data/1384101/000143774920016062/ex_194729.htm" TargetMode="External"/><Relationship Id="rId139" Type="http://schemas.openxmlformats.org/officeDocument/2006/relationships/hyperlink" Target="http://www.sec.gov/Archives/edgar/data/1384101/000104746913009208/a2216719zex-10_6.htm" TargetMode="External"/><Relationship Id="rId140" Type="http://schemas.openxmlformats.org/officeDocument/2006/relationships/hyperlink" Target="http://www.sec.gov/Archives/edgar/data/1384101/000138410117000068/vcyt-09302017xex101.htm" TargetMode="External"/><Relationship Id="rId144" Type="http://schemas.openxmlformats.org/officeDocument/2006/relationships/hyperlink" Target="http://www.sec.gov/Archives/edgar/data/1384101/000104746914002734/a2219000zex-10_7.htm" TargetMode="External"/><Relationship Id="rId145" Type="http://schemas.openxmlformats.org/officeDocument/2006/relationships/hyperlink" Target="http://www.sec.gov/Archives/edgar/data/1384101/000110465915059626/a15-12130_1ex10d2.htm" TargetMode="External"/><Relationship Id="rId146" Type="http://schemas.openxmlformats.org/officeDocument/2006/relationships/hyperlink" Target="http://www.sec.gov/Archives/edgar/data/1384101/000138410118000006/vcty-12312017xex109.htm" TargetMode="External"/><Relationship Id="rId147" Type="http://schemas.openxmlformats.org/officeDocument/2006/relationships/hyperlink" Target="http://www.sec.gov/Archives/edgar/data/1384101/000138410117000008/vcyt-12312016xex1010.htm" TargetMode="External"/><Relationship Id="rId148" Type="http://schemas.openxmlformats.org/officeDocument/2006/relationships/hyperlink" Target="http://www.sec.gov/Archives/edgar/data/1384101/000138410118000026/vcyt-03312018xex10.htm" TargetMode="External"/><Relationship Id="rId149" Type="http://schemas.openxmlformats.org/officeDocument/2006/relationships/hyperlink" Target="http://www.sec.gov/Archives/edgar/data/1384101/000138410119000146/vcyt-12320198xkxex21.htm" TargetMode="External"/><Relationship Id="rId150" Type="http://schemas.openxmlformats.org/officeDocument/2006/relationships/hyperlink" Target="https://www.sec.gov/Archives/edgar/data/1384101/000138410121000139/ex102-stapleyceoemployment.htm" TargetMode="External"/><Relationship Id="rId151" Type="http://schemas.openxmlformats.org/officeDocument/2006/relationships/hyperlink" Target="https://www.sec.gov/Archives/edgar/data/1384101/000138410121000139/ex103-stapleyceocicseveran.htm" TargetMode="External"/><Relationship Id="rId152" Type="http://schemas.openxmlformats.org/officeDocument/2006/relationships/hyperlink" Target="https://www.sec.gov/Archives/edgar/data/1384101/000138410121000174/ex101-chambersrebeccaoffer.htm" TargetMode="External"/><Relationship Id="rId153" Type="http://schemas.openxmlformats.org/officeDocument/2006/relationships/hyperlink" Target="https://www.sec.gov/Archives/edgar/data/1384101/000138410121000174/ex102-chambersrebeccachang.htm" TargetMode="External"/><Relationship Id="rId154" Type="http://schemas.openxmlformats.org/officeDocument/2006/relationships/hyperlink" Target="https://www.sec.gov/Archives/edgar/data/1384101/000138410123000016/ex1032-xofferletter_anniem.htm" TargetMode="External"/><Relationship Id="rId155" Type="http://schemas.openxmlformats.org/officeDocument/2006/relationships/hyperlink" Target="https://www.sec.gov/Archives/edgar/data/1384101/000138410123000016/ex1033-xevpgeneralcounsela.htm" TargetMode="External"/><Relationship Id="rId156" Type="http://schemas.openxmlformats.org/officeDocument/2006/relationships/hyperlink" Target="https://www.sec.gov/Archives/edgar/data/0001384101/000138410123000055/vcyt-20230427.htm" TargetMode="External"/><Relationship Id="rId157" Type="http://schemas.openxmlformats.org/officeDocument/2006/relationships/hyperlink" Target="https://www.sec.gov/Archives/edgar/data/1384101/000138410123000112/ex10-2x2023eipformof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2024-02-29T07:31:10Z</dcterms:created>
  <dcterms:modified xsi:type="dcterms:W3CDTF">2024-02-29T07:31:10Z</dcterms:modified>
</cp:coreProperties>
</file>